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B449" w14:textId="77777777" w:rsidR="00346FB9" w:rsidRPr="00346FB9" w:rsidRDefault="00346FB9" w:rsidP="00346FB9">
      <w:r>
        <w:rPr>
          <w:noProof/>
          <w:lang w:val="es-ES" w:eastAsia="es-ES"/>
        </w:rPr>
        <w:drawing>
          <wp:anchor distT="0" distB="0" distL="114300" distR="114300" simplePos="0" relativeHeight="251658240" behindDoc="0" locked="0" layoutInCell="1" allowOverlap="1" wp14:anchorId="6E27E59C" wp14:editId="6E27E59D">
            <wp:simplePos x="0" y="0"/>
            <wp:positionH relativeFrom="column">
              <wp:posOffset>-459740</wp:posOffset>
            </wp:positionH>
            <wp:positionV relativeFrom="paragraph">
              <wp:posOffset>-4445</wp:posOffset>
            </wp:positionV>
            <wp:extent cx="131445" cy="8088630"/>
            <wp:effectExtent l="1905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instal_3.jpg"/>
                    <pic:cNvPicPr/>
                  </pic:nvPicPr>
                  <pic:blipFill>
                    <a:blip r:embed="rId6">
                      <a:extLst>
                        <a:ext uri="{28A0092B-C50C-407E-A947-70E740481C1C}">
                          <a14:useLocalDpi xmlns:a14="http://schemas.microsoft.com/office/drawing/2010/main" val="0"/>
                        </a:ext>
                      </a:extLst>
                    </a:blip>
                    <a:stretch>
                      <a:fillRect/>
                    </a:stretch>
                  </pic:blipFill>
                  <pic:spPr>
                    <a:xfrm>
                      <a:off x="0" y="0"/>
                      <a:ext cx="131445" cy="8088630"/>
                    </a:xfrm>
                    <a:prstGeom prst="rect">
                      <a:avLst/>
                    </a:prstGeom>
                    <a:extLst>
                      <a:ext uri="{FAA26D3D-D897-4be2-8F04-BA451C77F1D7}">
                        <ma14:placeholderFlag xmlns:ve="http://schemas.openxmlformats.org/markup-compatibility/2006"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p>
    <w:p w14:paraId="61AE1249" w14:textId="77777777" w:rsidR="00A34129" w:rsidRDefault="00A34129" w:rsidP="00346FB9">
      <w:pPr>
        <w:spacing w:before="3600" w:after="240"/>
        <w:jc w:val="center"/>
        <w:rPr>
          <w:b/>
          <w:sz w:val="40"/>
          <w:szCs w:val="40"/>
        </w:rPr>
      </w:pPr>
      <w:r>
        <w:rPr>
          <w:b/>
          <w:sz w:val="40"/>
          <w:szCs w:val="40"/>
        </w:rPr>
        <w:t>CONTRATO DE MANTENIMIENTO INTEGRAL DE INSTALACIONES</w:t>
      </w:r>
    </w:p>
    <w:p w14:paraId="71BDEE2B" w14:textId="77777777" w:rsidR="00A34129" w:rsidRDefault="00A34129" w:rsidP="00A34129">
      <w:pPr>
        <w:jc w:val="center"/>
        <w:rPr>
          <w:rFonts w:ascii="Cambria" w:hAnsi="Cambria"/>
        </w:rPr>
      </w:pPr>
      <w:r w:rsidRPr="00A34129">
        <w:rPr>
          <w:rFonts w:ascii="Cambria" w:hAnsi="Cambria"/>
        </w:rPr>
        <w:t>Barcelona, 15 de enero de 2026</w:t>
      </w:r>
    </w:p>
    <w:p w14:paraId="6D14B89B" w14:textId="77777777" w:rsidR="00A34129" w:rsidRDefault="00A34129" w:rsidP="00A34129">
      <w:pPr>
        <w:jc w:val="center"/>
        <w:rPr>
          <w:rFonts w:ascii="Cambria" w:hAnsi="Cambria"/>
        </w:rPr>
      </w:pPr>
      <w:r w:rsidRPr="00A34129">
        <w:rPr>
          <w:rFonts w:ascii="Cambria" w:hAnsi="Cambria"/>
        </w:rPr>
        <w:t>Referencia: GEI-MNT-2026-041</w:t>
      </w:r>
    </w:p>
    <w:p w14:paraId="76B47E19" w14:textId="77777777" w:rsidR="00A34129" w:rsidRDefault="00A34129" w:rsidP="00A34129">
      <w:pPr>
        <w:jc w:val="center"/>
        <w:rPr>
          <w:rFonts w:ascii="Cambria" w:hAnsi="Cambria"/>
          <w:b/>
        </w:rPr>
      </w:pPr>
      <w:r w:rsidRPr="00A34129">
        <w:rPr>
          <w:rFonts w:ascii="Cambria" w:hAnsi="Cambria"/>
          <w:b/>
        </w:rPr>
        <w:t>Entre:</w:t>
      </w:r>
    </w:p>
    <w:p w14:paraId="22AD4046" w14:textId="77777777" w:rsidR="00A34129" w:rsidRDefault="00A34129" w:rsidP="00A34129">
      <w:pPr>
        <w:jc w:val="center"/>
        <w:rPr>
          <w:rFonts w:ascii="Cambria" w:hAnsi="Cambria"/>
          <w:b/>
          <w:sz w:val="28"/>
        </w:rPr>
      </w:pPr>
      <w:r w:rsidRPr="00A34129">
        <w:rPr>
          <w:rFonts w:ascii="Cambria" w:hAnsi="Cambria"/>
          <w:b/>
          <w:sz w:val="28"/>
        </w:rPr>
        <w:t>GEINSTAL, S.A.</w:t>
      </w:r>
    </w:p>
    <w:p w14:paraId="08865F19" w14:textId="77777777" w:rsidR="00A34129" w:rsidRDefault="00A34129" w:rsidP="00A34129">
      <w:pPr>
        <w:jc w:val="center"/>
        <w:rPr>
          <w:rFonts w:ascii="Cambria" w:hAnsi="Cambria"/>
          <w:b/>
          <w:sz w:val="22"/>
        </w:rPr>
      </w:pPr>
      <w:r w:rsidRPr="00A34129">
        <w:rPr>
          <w:rFonts w:ascii="Cambria" w:hAnsi="Cambria"/>
          <w:b/>
          <w:sz w:val="22"/>
        </w:rPr>
        <w:t>(el Mantenedor)</w:t>
      </w:r>
    </w:p>
    <w:p w14:paraId="34BB446B" w14:textId="77777777" w:rsidR="00A34129" w:rsidRDefault="00A34129" w:rsidP="00A34129">
      <w:pPr>
        <w:jc w:val="center"/>
        <w:rPr>
          <w:rFonts w:ascii="Cambria" w:hAnsi="Cambria"/>
          <w:b/>
        </w:rPr>
      </w:pPr>
      <w:r w:rsidRPr="00A34129">
        <w:rPr>
          <w:rFonts w:ascii="Cambria" w:hAnsi="Cambria"/>
          <w:b/>
        </w:rPr>
        <w:t>y</w:t>
      </w:r>
    </w:p>
    <w:p w14:paraId="1B34D70E" w14:textId="77777777" w:rsidR="00A34129" w:rsidRDefault="00A34129" w:rsidP="00A34129">
      <w:pPr>
        <w:jc w:val="center"/>
        <w:rPr>
          <w:rFonts w:ascii="Cambria" w:hAnsi="Cambria"/>
          <w:b/>
          <w:sz w:val="28"/>
        </w:rPr>
      </w:pPr>
      <w:r w:rsidRPr="00A34129">
        <w:rPr>
          <w:rFonts w:ascii="Cambria" w:hAnsi="Cambria"/>
          <w:b/>
          <w:sz w:val="28"/>
        </w:rPr>
        <w:t>CENTRO COMERCIAL TERRASSA PARC</w:t>
      </w:r>
    </w:p>
    <w:p w14:paraId="10AF21B6" w14:textId="221859AC" w:rsidR="00A34129" w:rsidRPr="00A34129" w:rsidRDefault="00A34129" w:rsidP="00A34129">
      <w:pPr>
        <w:jc w:val="center"/>
        <w:rPr>
          <w:rFonts w:ascii="Cambria" w:hAnsi="Cambria"/>
          <w:b/>
          <w:sz w:val="22"/>
        </w:rPr>
      </w:pPr>
      <w:r w:rsidRPr="00A34129">
        <w:rPr>
          <w:rFonts w:ascii="Cambria" w:hAnsi="Cambria"/>
          <w:b/>
          <w:sz w:val="22"/>
        </w:rPr>
        <w:t>(el Cliente)</w:t>
      </w:r>
    </w:p>
    <w:p w14:paraId="2093F797" w14:textId="0F782EFC" w:rsidR="00346FB9" w:rsidRPr="00A34129" w:rsidRDefault="00346FB9" w:rsidP="00A34129">
      <w:pPr>
        <w:jc w:val="center"/>
        <w:rPr>
          <w:rFonts w:ascii="Cambria" w:hAnsi="Cambria"/>
        </w:rPr>
        <w:sectPr w:rsidR="00346FB9" w:rsidRPr="00A34129">
          <w:headerReference w:type="even" r:id="rId7"/>
          <w:headerReference w:type="default" r:id="rId8"/>
          <w:footerReference w:type="even" r:id="rId9"/>
          <w:footerReference w:type="default" r:id="rId10"/>
          <w:headerReference w:type="first" r:id="rId11"/>
          <w:footerReference w:type="first" r:id="rId12"/>
          <w:pgSz w:w="11900" w:h="16840"/>
          <w:pgMar w:top="1440" w:right="1418" w:bottom="1440" w:left="1418" w:header="709" w:footer="709" w:gutter="0"/>
          <w:cols w:space="708"/>
        </w:sectPr>
      </w:pPr>
    </w:p>
    <w:p w14:paraId="3ECE334B" w14:textId="77777777" w:rsidR="00A34129" w:rsidRDefault="00A34129" w:rsidP="00A34129">
      <w:pPr>
        <w:jc w:val="center"/>
        <w:rPr>
          <w:rFonts w:ascii="Cambria" w:hAnsi="Cambria"/>
          <w:b/>
          <w:sz w:val="28"/>
        </w:rPr>
      </w:pPr>
      <w:r w:rsidRPr="00A34129">
        <w:rPr>
          <w:rFonts w:ascii="Cambria" w:hAnsi="Cambria"/>
          <w:b/>
          <w:sz w:val="28"/>
        </w:rPr>
        <w:lastRenderedPageBreak/>
        <w:t>REUNIDOS</w:t>
      </w:r>
    </w:p>
    <w:p w14:paraId="369A9F3B" w14:textId="77777777" w:rsidR="00A34129" w:rsidRDefault="00A34129" w:rsidP="00A34129">
      <w:pPr>
        <w:jc w:val="both"/>
        <w:rPr>
          <w:rFonts w:ascii="Cambria" w:hAnsi="Cambria"/>
          <w:sz w:val="22"/>
        </w:rPr>
      </w:pPr>
    </w:p>
    <w:p w14:paraId="01913424" w14:textId="77777777" w:rsidR="00A34129" w:rsidRDefault="00A34129" w:rsidP="00A34129">
      <w:pPr>
        <w:jc w:val="both"/>
        <w:rPr>
          <w:rFonts w:ascii="Cambria" w:hAnsi="Cambria"/>
          <w:sz w:val="22"/>
        </w:rPr>
      </w:pPr>
      <w:r w:rsidRPr="00A34129">
        <w:rPr>
          <w:rFonts w:ascii="Cambria" w:hAnsi="Cambria"/>
          <w:sz w:val="22"/>
        </w:rPr>
        <w:t xml:space="preserve">De una parte, GEINSTAL, S.A., sociedad mercantil española con domicilio social en Barcelona, calle Industria 45, CP 08025, provista de NIF A-58123456, inscrita en el Registro Mercantil de Barcelona, tomo 12.345, folio 210, hoja B-98765, representada en este acto por D. Jordi Martínez Puig, en calidad de </w:t>
      </w:r>
      <w:proofErr w:type="gramStart"/>
      <w:r w:rsidRPr="00A34129">
        <w:rPr>
          <w:rFonts w:ascii="Cambria" w:hAnsi="Cambria"/>
          <w:sz w:val="22"/>
        </w:rPr>
        <w:t>Director General</w:t>
      </w:r>
      <w:proofErr w:type="gramEnd"/>
      <w:r w:rsidRPr="00A34129">
        <w:rPr>
          <w:rFonts w:ascii="Cambria" w:hAnsi="Cambria"/>
          <w:sz w:val="22"/>
        </w:rPr>
        <w:t>, con facultades suficientes para este acto (en adelante, el «Mantenedor»).</w:t>
      </w:r>
    </w:p>
    <w:p w14:paraId="47C72035" w14:textId="77777777" w:rsidR="00A34129" w:rsidRDefault="00A34129" w:rsidP="00A34129">
      <w:pPr>
        <w:jc w:val="both"/>
        <w:rPr>
          <w:rFonts w:ascii="Cambria" w:hAnsi="Cambria"/>
          <w:sz w:val="22"/>
        </w:rPr>
      </w:pPr>
      <w:proofErr w:type="gramStart"/>
      <w:r w:rsidRPr="00A34129">
        <w:rPr>
          <w:rFonts w:ascii="Cambria" w:hAnsi="Cambria"/>
          <w:sz w:val="22"/>
        </w:rPr>
        <w:t>Y</w:t>
      </w:r>
      <w:proofErr w:type="gramEnd"/>
      <w:r w:rsidRPr="00A34129">
        <w:rPr>
          <w:rFonts w:ascii="Cambria" w:hAnsi="Cambria"/>
          <w:sz w:val="22"/>
        </w:rPr>
        <w:t xml:space="preserve"> de otra parte, CENTRO COMERCIAL TERRASSA PARC, S.L.U., sociedad mercantil española con domicilio social en Terrassa (Barcelona), avenida del Vallès 120, CP 08223, provista de NIF B-62987654, inscrita en el Registro Mercantil de Barcelona, tomo 34.567, folio 88, hoja B-123456, representada en este acto por Dña. Marta Ribera Soler, en calidad de </w:t>
      </w:r>
      <w:proofErr w:type="gramStart"/>
      <w:r w:rsidRPr="00A34129">
        <w:rPr>
          <w:rFonts w:ascii="Cambria" w:hAnsi="Cambria"/>
          <w:sz w:val="22"/>
        </w:rPr>
        <w:t>Directora</w:t>
      </w:r>
      <w:proofErr w:type="gramEnd"/>
      <w:r w:rsidRPr="00A34129">
        <w:rPr>
          <w:rFonts w:ascii="Cambria" w:hAnsi="Cambria"/>
          <w:sz w:val="22"/>
        </w:rPr>
        <w:t xml:space="preserve"> de Explotación, con facultades suficientes (en adelante, el «Cliente»).</w:t>
      </w:r>
    </w:p>
    <w:p w14:paraId="76D9FB41" w14:textId="77777777" w:rsidR="00A34129" w:rsidRDefault="00A34129" w:rsidP="00A34129">
      <w:pPr>
        <w:jc w:val="both"/>
        <w:rPr>
          <w:rFonts w:ascii="Cambria" w:hAnsi="Cambria"/>
          <w:sz w:val="22"/>
        </w:rPr>
      </w:pPr>
      <w:r w:rsidRPr="00A34129">
        <w:rPr>
          <w:rFonts w:ascii="Cambria" w:hAnsi="Cambria"/>
          <w:sz w:val="22"/>
        </w:rPr>
        <w:t>Ambas partes, en la representación que ostentan, se reconocen mutuamente la capacidad legal necesaria para contratar y obligarse, y al efecto</w:t>
      </w:r>
    </w:p>
    <w:p w14:paraId="53B324F9" w14:textId="77777777" w:rsidR="00A34129" w:rsidRDefault="00A34129" w:rsidP="00A34129">
      <w:pPr>
        <w:jc w:val="center"/>
        <w:rPr>
          <w:rFonts w:ascii="Cambria" w:hAnsi="Cambria"/>
          <w:b/>
          <w:sz w:val="28"/>
        </w:rPr>
      </w:pPr>
      <w:r w:rsidRPr="00A34129">
        <w:rPr>
          <w:rFonts w:ascii="Cambria" w:hAnsi="Cambria"/>
          <w:b/>
          <w:sz w:val="28"/>
        </w:rPr>
        <w:t>MANIFIESTAN</w:t>
      </w:r>
    </w:p>
    <w:p w14:paraId="1CA52689" w14:textId="77777777" w:rsidR="00A34129" w:rsidRDefault="00A34129" w:rsidP="00A34129">
      <w:pPr>
        <w:jc w:val="both"/>
        <w:rPr>
          <w:rFonts w:ascii="Cambria" w:hAnsi="Cambria"/>
          <w:sz w:val="22"/>
        </w:rPr>
      </w:pPr>
    </w:p>
    <w:p w14:paraId="2C2F3956" w14:textId="77777777" w:rsidR="00A34129" w:rsidRDefault="00A34129" w:rsidP="00A34129">
      <w:pPr>
        <w:jc w:val="both"/>
        <w:rPr>
          <w:rFonts w:ascii="Cambria" w:hAnsi="Cambria"/>
          <w:sz w:val="22"/>
        </w:rPr>
      </w:pPr>
      <w:r w:rsidRPr="00A34129">
        <w:rPr>
          <w:rFonts w:ascii="Cambria" w:hAnsi="Cambria"/>
          <w:sz w:val="22"/>
        </w:rPr>
        <w:t xml:space="preserve">I. Que el Cliente es titular de la explotación del complejo comercial denominado «Centro Comercial Terrassa </w:t>
      </w:r>
      <w:proofErr w:type="spellStart"/>
      <w:r w:rsidRPr="00A34129">
        <w:rPr>
          <w:rFonts w:ascii="Cambria" w:hAnsi="Cambria"/>
          <w:sz w:val="22"/>
        </w:rPr>
        <w:t>Parc</w:t>
      </w:r>
      <w:proofErr w:type="spellEnd"/>
      <w:r w:rsidRPr="00A34129">
        <w:rPr>
          <w:rFonts w:ascii="Cambria" w:hAnsi="Cambria"/>
          <w:sz w:val="22"/>
        </w:rPr>
        <w:t>», sito en avenida del Vallès 120, Terrassa (Barcelona), con una superficie bruta alquilable (SBA) aproximada de 38.500 m², que integra zonas de uso común, locales comerciales, aparcamiento, plantas técnicas y cubiertas.</w:t>
      </w:r>
    </w:p>
    <w:p w14:paraId="79EFAEEE" w14:textId="77777777" w:rsidR="00A34129" w:rsidRDefault="00A34129" w:rsidP="00A34129">
      <w:pPr>
        <w:jc w:val="both"/>
        <w:rPr>
          <w:rFonts w:ascii="Cambria" w:hAnsi="Cambria"/>
          <w:sz w:val="22"/>
        </w:rPr>
      </w:pPr>
      <w:r w:rsidRPr="00A34129">
        <w:rPr>
          <w:rFonts w:ascii="Cambria" w:hAnsi="Cambria"/>
          <w:sz w:val="22"/>
        </w:rPr>
        <w:t>II. Que el Cliente requiere la prestación de un servicio de mantenimiento integral de todas las instalaciones técnicas del edificio, comprendiendo climatización (HVAC), baja tensión y alumbrado, protección contra incendios (PCI), fontanería y saneamiento, y circuito cerrado de televisión (CCTV) y seguridad electrónica.</w:t>
      </w:r>
    </w:p>
    <w:p w14:paraId="63BD6000" w14:textId="77777777" w:rsidR="00A34129" w:rsidRDefault="00A34129" w:rsidP="00A34129">
      <w:pPr>
        <w:jc w:val="both"/>
        <w:rPr>
          <w:rFonts w:ascii="Cambria" w:hAnsi="Cambria"/>
          <w:sz w:val="22"/>
        </w:rPr>
      </w:pPr>
      <w:r w:rsidRPr="00A34129">
        <w:rPr>
          <w:rFonts w:ascii="Cambria" w:hAnsi="Cambria"/>
          <w:sz w:val="22"/>
        </w:rPr>
        <w:t>III. Que el Mantenedor es una empresa especializada en el mantenimiento integral de instalaciones, debidamente habilitada como empresa instaladora y mantenedora en las especialidades requeridas, y dispone de la organización, medios técnicos, personal cualificado y coberturas de seguro necesarios para prestar el servicio objeto de este contrato.</w:t>
      </w:r>
    </w:p>
    <w:p w14:paraId="0228272C" w14:textId="77777777" w:rsidR="00A34129" w:rsidRDefault="00A34129" w:rsidP="00A34129">
      <w:pPr>
        <w:jc w:val="both"/>
        <w:rPr>
          <w:rFonts w:ascii="Cambria" w:hAnsi="Cambria"/>
          <w:sz w:val="22"/>
        </w:rPr>
      </w:pPr>
      <w:r w:rsidRPr="00A34129">
        <w:rPr>
          <w:rFonts w:ascii="Cambria" w:hAnsi="Cambria"/>
          <w:sz w:val="22"/>
        </w:rPr>
        <w:t>IV. Que, en virtud de lo anterior, ambas partes han convenido formalizar el presente CONTRATO DE MANTENIMIENTO INTEGRAL DE INSTALACIONES, que se regirá por las siguientes</w:t>
      </w:r>
    </w:p>
    <w:p w14:paraId="0848BFCD" w14:textId="77777777" w:rsidR="00A34129" w:rsidRDefault="00A34129" w:rsidP="00A34129">
      <w:pPr>
        <w:jc w:val="center"/>
        <w:rPr>
          <w:rFonts w:ascii="Cambria" w:hAnsi="Cambria"/>
          <w:b/>
          <w:sz w:val="28"/>
        </w:rPr>
      </w:pPr>
      <w:r w:rsidRPr="00A34129">
        <w:rPr>
          <w:rFonts w:ascii="Cambria" w:hAnsi="Cambria"/>
          <w:b/>
          <w:sz w:val="28"/>
        </w:rPr>
        <w:t>CLÁUSULAS</w:t>
      </w:r>
    </w:p>
    <w:p w14:paraId="07C579EE" w14:textId="77777777" w:rsidR="00A34129" w:rsidRDefault="00A34129" w:rsidP="00A34129">
      <w:pPr>
        <w:rPr>
          <w:rFonts w:ascii="Cambria" w:hAnsi="Cambria"/>
        </w:rPr>
      </w:pPr>
    </w:p>
    <w:p w14:paraId="75C9CE1A"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PRIMERA — Objeto y alcance del servicio</w:t>
      </w:r>
    </w:p>
    <w:p w14:paraId="5B1E15F9" w14:textId="77777777" w:rsidR="00A34129" w:rsidRDefault="00A34129" w:rsidP="00A34129">
      <w:pPr>
        <w:jc w:val="both"/>
        <w:rPr>
          <w:rFonts w:ascii="Cambria" w:hAnsi="Cambria"/>
          <w:sz w:val="22"/>
        </w:rPr>
      </w:pPr>
      <w:r w:rsidRPr="00A34129">
        <w:rPr>
          <w:rFonts w:ascii="Cambria" w:hAnsi="Cambria"/>
          <w:sz w:val="22"/>
        </w:rPr>
        <w:t xml:space="preserve">1.1. Objeto. El presente contrato tiene por objeto la prestación por el Mantenedor, con carácter integral y en régimen de servicio continuado, de los trabajos de mantenimiento preventivo, correctivo, técnico-legal y de conducción de las instalaciones técnicas del complejo comercial Centro Comercial Terrassa </w:t>
      </w:r>
      <w:proofErr w:type="spellStart"/>
      <w:r w:rsidRPr="00A34129">
        <w:rPr>
          <w:rFonts w:ascii="Cambria" w:hAnsi="Cambria"/>
          <w:sz w:val="22"/>
        </w:rPr>
        <w:t>Parc</w:t>
      </w:r>
      <w:proofErr w:type="spellEnd"/>
      <w:r w:rsidRPr="00A34129">
        <w:rPr>
          <w:rFonts w:ascii="Cambria" w:hAnsi="Cambria"/>
          <w:sz w:val="22"/>
        </w:rPr>
        <w:t xml:space="preserve"> que se detallan en el Anexo I (Inventario de instalaciones).</w:t>
      </w:r>
    </w:p>
    <w:p w14:paraId="6A5B680E" w14:textId="77777777" w:rsidR="00A34129" w:rsidRDefault="00A34129" w:rsidP="00A34129">
      <w:pPr>
        <w:jc w:val="both"/>
        <w:rPr>
          <w:rFonts w:ascii="Cambria" w:hAnsi="Cambria"/>
          <w:sz w:val="22"/>
        </w:rPr>
      </w:pPr>
      <w:r w:rsidRPr="00A34129">
        <w:rPr>
          <w:rFonts w:ascii="Cambria" w:hAnsi="Cambria"/>
          <w:sz w:val="22"/>
        </w:rPr>
        <w:t>1.2. Alcance técnico. El servicio comprende las siguientes familias de instalaciones:</w:t>
      </w:r>
    </w:p>
    <w:p w14:paraId="20903F6C" w14:textId="77777777" w:rsidR="00A34129" w:rsidRDefault="00A34129" w:rsidP="00A34129">
      <w:pPr>
        <w:jc w:val="both"/>
        <w:rPr>
          <w:rFonts w:ascii="Cambria" w:hAnsi="Cambria"/>
          <w:sz w:val="22"/>
        </w:rPr>
      </w:pPr>
      <w:r w:rsidRPr="00A34129">
        <w:rPr>
          <w:rFonts w:ascii="Cambria" w:hAnsi="Cambria"/>
          <w:sz w:val="22"/>
        </w:rPr>
        <w:lastRenderedPageBreak/>
        <w:t xml:space="preserve">(a) Climatización y ventilación (HVAC): enfriadoras, </w:t>
      </w:r>
      <w:proofErr w:type="spellStart"/>
      <w:r w:rsidRPr="00A34129">
        <w:rPr>
          <w:rFonts w:ascii="Cambria" w:hAnsi="Cambria"/>
          <w:sz w:val="22"/>
        </w:rPr>
        <w:t>UTAs</w:t>
      </w:r>
      <w:proofErr w:type="spellEnd"/>
      <w:r w:rsidRPr="00A34129">
        <w:rPr>
          <w:rFonts w:ascii="Cambria" w:hAnsi="Cambria"/>
          <w:sz w:val="22"/>
        </w:rPr>
        <w:t xml:space="preserve">, </w:t>
      </w:r>
      <w:proofErr w:type="spellStart"/>
      <w:r w:rsidRPr="00A34129">
        <w:rPr>
          <w:rFonts w:ascii="Cambria" w:hAnsi="Cambria"/>
          <w:sz w:val="22"/>
        </w:rPr>
        <w:t>fancoils</w:t>
      </w:r>
      <w:proofErr w:type="spellEnd"/>
      <w:r w:rsidRPr="00A34129">
        <w:rPr>
          <w:rFonts w:ascii="Cambria" w:hAnsi="Cambria"/>
          <w:sz w:val="22"/>
        </w:rPr>
        <w:t xml:space="preserve">, </w:t>
      </w:r>
      <w:proofErr w:type="spellStart"/>
      <w:r w:rsidRPr="00A34129">
        <w:rPr>
          <w:rFonts w:ascii="Cambria" w:hAnsi="Cambria"/>
          <w:sz w:val="22"/>
        </w:rPr>
        <w:t>rooftops</w:t>
      </w:r>
      <w:proofErr w:type="spellEnd"/>
      <w:r w:rsidRPr="00A34129">
        <w:rPr>
          <w:rFonts w:ascii="Cambria" w:hAnsi="Cambria"/>
          <w:sz w:val="22"/>
        </w:rPr>
        <w:t>, red de conductos, torres de refrigeración, sistema de control y supervisión (BMS), y elementos terminales de difusión.</w:t>
      </w:r>
    </w:p>
    <w:p w14:paraId="2E5E44FF" w14:textId="77777777" w:rsidR="00A34129" w:rsidRDefault="00A34129" w:rsidP="00A34129">
      <w:pPr>
        <w:jc w:val="both"/>
        <w:rPr>
          <w:rFonts w:ascii="Cambria" w:hAnsi="Cambria"/>
          <w:sz w:val="22"/>
        </w:rPr>
      </w:pPr>
      <w:r w:rsidRPr="00A34129">
        <w:rPr>
          <w:rFonts w:ascii="Cambria" w:hAnsi="Cambria"/>
          <w:sz w:val="22"/>
        </w:rPr>
        <w:t>(b) Instalaciones eléctricas de baja tensión: cuadros generales y secundarios, canalizaciones, alumbrado general y de emergencia, grupo electrógeno, SAI, red de tierras y sistema de medida y gestión energética.</w:t>
      </w:r>
    </w:p>
    <w:p w14:paraId="39E694C9" w14:textId="77777777" w:rsidR="00A34129" w:rsidRDefault="00A34129" w:rsidP="00A34129">
      <w:pPr>
        <w:jc w:val="both"/>
        <w:rPr>
          <w:rFonts w:ascii="Cambria" w:hAnsi="Cambria"/>
          <w:sz w:val="22"/>
        </w:rPr>
      </w:pPr>
      <w:r w:rsidRPr="00A34129">
        <w:rPr>
          <w:rFonts w:ascii="Cambria" w:hAnsi="Cambria"/>
          <w:sz w:val="22"/>
        </w:rPr>
        <w:t xml:space="preserve">(c) Protección contra incendios (PCI): sistemas de detección automática y manual, centrales de alarma, rociadores automáticos, </w:t>
      </w:r>
      <w:proofErr w:type="spellStart"/>
      <w:r w:rsidRPr="00A34129">
        <w:rPr>
          <w:rFonts w:ascii="Cambria" w:hAnsi="Cambria"/>
          <w:sz w:val="22"/>
        </w:rPr>
        <w:t>BIEs</w:t>
      </w:r>
      <w:proofErr w:type="spellEnd"/>
      <w:r w:rsidRPr="00A34129">
        <w:rPr>
          <w:rFonts w:ascii="Cambria" w:hAnsi="Cambria"/>
          <w:sz w:val="22"/>
        </w:rPr>
        <w:t>, hidrantes, columna seca, extintores portátiles, exutorios y sistema de megafonía de emergencia.</w:t>
      </w:r>
    </w:p>
    <w:p w14:paraId="37A1169E" w14:textId="77777777" w:rsidR="00A34129" w:rsidRDefault="00A34129" w:rsidP="00A34129">
      <w:pPr>
        <w:jc w:val="both"/>
        <w:rPr>
          <w:rFonts w:ascii="Cambria" w:hAnsi="Cambria"/>
          <w:sz w:val="22"/>
        </w:rPr>
      </w:pPr>
      <w:r w:rsidRPr="00A34129">
        <w:rPr>
          <w:rFonts w:ascii="Cambria" w:hAnsi="Cambria"/>
          <w:sz w:val="22"/>
        </w:rPr>
        <w:t>(d) Fontanería y saneamiento: acometidas de agua fría y caliente sanitaria, grupos de presión, red de distribución, aparatos sanitarios de zonas comunes, red de saneamiento, arquetas, bombas de achique y sistema de riego de jardinería interior.</w:t>
      </w:r>
    </w:p>
    <w:p w14:paraId="1D87CECA" w14:textId="77777777" w:rsidR="00A34129" w:rsidRDefault="00A34129" w:rsidP="00A34129">
      <w:pPr>
        <w:jc w:val="both"/>
        <w:rPr>
          <w:rFonts w:ascii="Cambria" w:hAnsi="Cambria"/>
          <w:sz w:val="22"/>
        </w:rPr>
      </w:pPr>
      <w:r w:rsidRPr="00A34129">
        <w:rPr>
          <w:rFonts w:ascii="Cambria" w:hAnsi="Cambria"/>
          <w:sz w:val="22"/>
        </w:rPr>
        <w:t xml:space="preserve">(e) Circuito cerrado de televisión (CCTV) y seguridad electrónica: cámaras fijas y domos, grabadores, </w:t>
      </w:r>
      <w:proofErr w:type="spellStart"/>
      <w:r w:rsidRPr="00A34129">
        <w:rPr>
          <w:rFonts w:ascii="Cambria" w:hAnsi="Cambria"/>
          <w:sz w:val="22"/>
        </w:rPr>
        <w:t>videowall</w:t>
      </w:r>
      <w:proofErr w:type="spellEnd"/>
      <w:r w:rsidRPr="00A34129">
        <w:rPr>
          <w:rFonts w:ascii="Cambria" w:hAnsi="Cambria"/>
          <w:sz w:val="22"/>
        </w:rPr>
        <w:t xml:space="preserve"> del centro de control, sistema de control de accesos, intrusión perimetral y sistema de intercomunicación de emergencia.</w:t>
      </w:r>
    </w:p>
    <w:p w14:paraId="765B72CB" w14:textId="77777777" w:rsidR="00A34129" w:rsidRDefault="00A34129" w:rsidP="00A34129">
      <w:pPr>
        <w:jc w:val="both"/>
        <w:rPr>
          <w:rFonts w:ascii="Cambria" w:hAnsi="Cambria"/>
          <w:sz w:val="22"/>
        </w:rPr>
      </w:pPr>
      <w:r w:rsidRPr="00A34129">
        <w:rPr>
          <w:rFonts w:ascii="Cambria" w:hAnsi="Cambria"/>
          <w:sz w:val="22"/>
        </w:rPr>
        <w:t>1.3. Tipología de actuaciones. El servicio incluye, de forma enunciativa y no limitativa:</w:t>
      </w:r>
    </w:p>
    <w:p w14:paraId="2A98B631" w14:textId="77777777" w:rsidR="00A34129" w:rsidRDefault="00A34129" w:rsidP="00A34129">
      <w:pPr>
        <w:jc w:val="both"/>
        <w:rPr>
          <w:rFonts w:ascii="Cambria" w:hAnsi="Cambria"/>
          <w:sz w:val="22"/>
        </w:rPr>
      </w:pPr>
      <w:r w:rsidRPr="00A34129">
        <w:rPr>
          <w:rFonts w:ascii="Cambria" w:hAnsi="Cambria"/>
          <w:sz w:val="22"/>
        </w:rPr>
        <w:t>(a) Mantenimiento preventivo conforme al Plan Preventivo Anual del Anexo II, elaborado de acuerdo con la reglamentación aplicable (RITE, REBT, RIPCI, RD 486/1997 y demás normativa sectorial) y las recomendaciones de los fabricantes.</w:t>
      </w:r>
    </w:p>
    <w:p w14:paraId="13B29619" w14:textId="77777777" w:rsidR="00A34129" w:rsidRDefault="00A34129" w:rsidP="00A34129">
      <w:pPr>
        <w:jc w:val="both"/>
        <w:rPr>
          <w:rFonts w:ascii="Cambria" w:hAnsi="Cambria"/>
          <w:sz w:val="22"/>
        </w:rPr>
      </w:pPr>
      <w:r w:rsidRPr="00A34129">
        <w:rPr>
          <w:rFonts w:ascii="Cambria" w:hAnsi="Cambria"/>
          <w:sz w:val="22"/>
        </w:rPr>
        <w:t>(b) Mantenimiento correctivo de averías, incluyendo mano de obra, desplazamientos y pequeño material fungible según el Anexo III.</w:t>
      </w:r>
    </w:p>
    <w:p w14:paraId="65882676" w14:textId="77777777" w:rsidR="00A34129" w:rsidRDefault="00A34129" w:rsidP="00A34129">
      <w:pPr>
        <w:jc w:val="both"/>
        <w:rPr>
          <w:rFonts w:ascii="Cambria" w:hAnsi="Cambria"/>
          <w:sz w:val="22"/>
        </w:rPr>
      </w:pPr>
      <w:r w:rsidRPr="00A34129">
        <w:rPr>
          <w:rFonts w:ascii="Cambria" w:hAnsi="Cambria"/>
          <w:sz w:val="22"/>
        </w:rPr>
        <w:t>(c) Mantenimiento técnico-legal: inspecciones reglamentarias, actuación como empresa mantenedora habilitada ante la Administración, gestión del Libro de Mantenimiento y asistencia en las inspecciones de Organismos de Control Autorizados (</w:t>
      </w:r>
      <w:proofErr w:type="spellStart"/>
      <w:r w:rsidRPr="00A34129">
        <w:rPr>
          <w:rFonts w:ascii="Cambria" w:hAnsi="Cambria"/>
          <w:sz w:val="22"/>
        </w:rPr>
        <w:t>OCAs</w:t>
      </w:r>
      <w:proofErr w:type="spellEnd"/>
      <w:r w:rsidRPr="00A34129">
        <w:rPr>
          <w:rFonts w:ascii="Cambria" w:hAnsi="Cambria"/>
          <w:sz w:val="22"/>
        </w:rPr>
        <w:t>).</w:t>
      </w:r>
    </w:p>
    <w:p w14:paraId="493A8C6E" w14:textId="77777777" w:rsidR="00A34129" w:rsidRDefault="00A34129" w:rsidP="00A34129">
      <w:pPr>
        <w:jc w:val="both"/>
        <w:rPr>
          <w:rFonts w:ascii="Cambria" w:hAnsi="Cambria"/>
          <w:sz w:val="22"/>
        </w:rPr>
      </w:pPr>
      <w:r w:rsidRPr="00A34129">
        <w:rPr>
          <w:rFonts w:ascii="Cambria" w:hAnsi="Cambria"/>
          <w:sz w:val="22"/>
        </w:rPr>
        <w:t>(d) Conducción de instalaciones durante el horario comercial del centro, con presencia física mínima conforme a la cláusula CUARTA.</w:t>
      </w:r>
    </w:p>
    <w:p w14:paraId="2368E7B8" w14:textId="77777777" w:rsidR="00A34129" w:rsidRDefault="00A34129" w:rsidP="00A34129">
      <w:pPr>
        <w:jc w:val="both"/>
        <w:rPr>
          <w:rFonts w:ascii="Cambria" w:hAnsi="Cambria"/>
          <w:sz w:val="22"/>
        </w:rPr>
      </w:pPr>
      <w:r w:rsidRPr="00A34129">
        <w:rPr>
          <w:rFonts w:ascii="Cambria" w:hAnsi="Cambria"/>
          <w:sz w:val="22"/>
        </w:rPr>
        <w:t>(e) Atención de avisos 24 horas, 7 días a la semana, 365 días al año, conforme a los tiempos de respuesta por criticidad definidos en la cláusula CUARTA y al listado de contactos del Anexo IV.</w:t>
      </w:r>
    </w:p>
    <w:p w14:paraId="3B81F7B5" w14:textId="77777777" w:rsidR="00A34129" w:rsidRDefault="00A34129" w:rsidP="00A34129">
      <w:pPr>
        <w:jc w:val="both"/>
        <w:rPr>
          <w:rFonts w:ascii="Cambria" w:hAnsi="Cambria"/>
          <w:sz w:val="22"/>
        </w:rPr>
      </w:pPr>
      <w:r w:rsidRPr="00A34129">
        <w:rPr>
          <w:rFonts w:ascii="Cambria" w:hAnsi="Cambria"/>
          <w:sz w:val="22"/>
        </w:rPr>
        <w:t>1.4. Exclusiones. Quedan expresamente excluidos del precio alzado mensual: (i) las reformas, ampliaciones o nuevas instalaciones; (</w:t>
      </w:r>
      <w:proofErr w:type="spellStart"/>
      <w:r w:rsidRPr="00A34129">
        <w:rPr>
          <w:rFonts w:ascii="Cambria" w:hAnsi="Cambria"/>
          <w:sz w:val="22"/>
        </w:rPr>
        <w:t>ii</w:t>
      </w:r>
      <w:proofErr w:type="spellEnd"/>
      <w:r w:rsidRPr="00A34129">
        <w:rPr>
          <w:rFonts w:ascii="Cambria" w:hAnsi="Cambria"/>
          <w:sz w:val="22"/>
        </w:rPr>
        <w:t>) la reposición de equipos por obsolescencia, vandalismo, siniestro o caso fortuito; (</w:t>
      </w:r>
      <w:proofErr w:type="spellStart"/>
      <w:r w:rsidRPr="00A34129">
        <w:rPr>
          <w:rFonts w:ascii="Cambria" w:hAnsi="Cambria"/>
          <w:sz w:val="22"/>
        </w:rPr>
        <w:t>iii</w:t>
      </w:r>
      <w:proofErr w:type="spellEnd"/>
      <w:r w:rsidRPr="00A34129">
        <w:rPr>
          <w:rFonts w:ascii="Cambria" w:hAnsi="Cambria"/>
          <w:sz w:val="22"/>
        </w:rPr>
        <w:t>) los consumibles específicos de cada especialidad relacionados en el Anexo III cuando su coste unitario exceda de 150 € (IVA excluido); y (</w:t>
      </w:r>
      <w:proofErr w:type="spellStart"/>
      <w:r w:rsidRPr="00A34129">
        <w:rPr>
          <w:rFonts w:ascii="Cambria" w:hAnsi="Cambria"/>
          <w:sz w:val="22"/>
        </w:rPr>
        <w:t>iv</w:t>
      </w:r>
      <w:proofErr w:type="spellEnd"/>
      <w:r w:rsidRPr="00A34129">
        <w:rPr>
          <w:rFonts w:ascii="Cambria" w:hAnsi="Cambria"/>
          <w:sz w:val="22"/>
        </w:rPr>
        <w:t>) los trabajos derivados de modificaciones regulatorias sobrevenidas que impliquen adaptación de las instalaciones. Estos trabajos se presupuestarán por separado y requerirán aprobación previa y por escrito del Cliente.</w:t>
      </w:r>
    </w:p>
    <w:p w14:paraId="25E905D1" w14:textId="77777777" w:rsidR="00A34129" w:rsidRDefault="00A34129" w:rsidP="00A34129">
      <w:pPr>
        <w:rPr>
          <w:rFonts w:ascii="Cambria" w:hAnsi="Cambria"/>
        </w:rPr>
      </w:pPr>
    </w:p>
    <w:p w14:paraId="19E93DC4"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SEGUNDA — Duración, prórrogas y preaviso de denuncia</w:t>
      </w:r>
    </w:p>
    <w:p w14:paraId="62FEED80" w14:textId="77777777" w:rsidR="00A34129" w:rsidRDefault="00A34129" w:rsidP="00A34129">
      <w:pPr>
        <w:jc w:val="both"/>
        <w:rPr>
          <w:rFonts w:ascii="Cambria" w:hAnsi="Cambria"/>
          <w:sz w:val="22"/>
        </w:rPr>
      </w:pPr>
      <w:r w:rsidRPr="00A34129">
        <w:rPr>
          <w:rFonts w:ascii="Cambria" w:hAnsi="Cambria"/>
          <w:sz w:val="22"/>
        </w:rPr>
        <w:t>2.1. Duración inicial. El presente contrato entrará en vigor el 1 de febrero de 2026 y tendrá una duración inicial de tres (3) años, finalizando por tanto el 31 de enero de 2029, salvo resolución anticipada conforme a la cláusula NOVENA.</w:t>
      </w:r>
    </w:p>
    <w:p w14:paraId="6DDF131C" w14:textId="77777777" w:rsidR="00A34129" w:rsidRDefault="00A34129" w:rsidP="00A34129">
      <w:pPr>
        <w:jc w:val="both"/>
        <w:rPr>
          <w:rFonts w:ascii="Cambria" w:hAnsi="Cambria"/>
          <w:sz w:val="22"/>
        </w:rPr>
      </w:pPr>
      <w:r w:rsidRPr="00A34129">
        <w:rPr>
          <w:rFonts w:ascii="Cambria" w:hAnsi="Cambria"/>
          <w:sz w:val="22"/>
        </w:rPr>
        <w:lastRenderedPageBreak/>
        <w:t>2.2. Prórrogas. Finalizado el periodo inicial, el contrato se prorrogará tácitamente por periodos anuales sucesivos, salvo que cualquiera de las partes comunique a la otra su voluntad de no prorrogarlo con un preaviso mínimo de tres (3) meses respecto a la fecha de vencimiento del periodo en curso.</w:t>
      </w:r>
    </w:p>
    <w:p w14:paraId="7A55EA74" w14:textId="77777777" w:rsidR="00A34129" w:rsidRDefault="00A34129" w:rsidP="00A34129">
      <w:pPr>
        <w:jc w:val="both"/>
        <w:rPr>
          <w:rFonts w:ascii="Cambria" w:hAnsi="Cambria"/>
          <w:sz w:val="22"/>
        </w:rPr>
      </w:pPr>
      <w:r w:rsidRPr="00A34129">
        <w:rPr>
          <w:rFonts w:ascii="Cambria" w:hAnsi="Cambria"/>
          <w:sz w:val="22"/>
        </w:rPr>
        <w:t>2.3. Forma del preaviso. La denuncia del contrato deberá comunicarse mediante burofax con acuse de recibo y certificación de texto, o cualquier otro medio fehaciente que acredite la recepción por el destinatario, dirigido al domicilio social indicado en el encabezamiento o al que posteriormente se hubiera notificado por escrito.</w:t>
      </w:r>
    </w:p>
    <w:p w14:paraId="1D7420A2" w14:textId="77777777" w:rsidR="00A34129" w:rsidRDefault="00A34129" w:rsidP="00A34129">
      <w:pPr>
        <w:jc w:val="both"/>
        <w:rPr>
          <w:rFonts w:ascii="Cambria" w:hAnsi="Cambria"/>
          <w:sz w:val="22"/>
        </w:rPr>
      </w:pPr>
      <w:r w:rsidRPr="00A34129">
        <w:rPr>
          <w:rFonts w:ascii="Cambria" w:hAnsi="Cambria"/>
          <w:sz w:val="22"/>
        </w:rPr>
        <w:t>2.4. Obligaciones a la finalización. A la finalización del contrato, por cualquier causa, el Mantenedor entregará al Cliente, en un plazo máximo de quince (15) días naturales: (i) el Libro de Mantenimiento actualizado; (</w:t>
      </w:r>
      <w:proofErr w:type="spellStart"/>
      <w:r w:rsidRPr="00A34129">
        <w:rPr>
          <w:rFonts w:ascii="Cambria" w:hAnsi="Cambria"/>
          <w:sz w:val="22"/>
        </w:rPr>
        <w:t>ii</w:t>
      </w:r>
      <w:proofErr w:type="spellEnd"/>
      <w:r w:rsidRPr="00A34129">
        <w:rPr>
          <w:rFonts w:ascii="Cambria" w:hAnsi="Cambria"/>
          <w:sz w:val="22"/>
        </w:rPr>
        <w:t>) las claves, contraseñas y licencias de los sistemas de supervisión; (</w:t>
      </w:r>
      <w:proofErr w:type="spellStart"/>
      <w:r w:rsidRPr="00A34129">
        <w:rPr>
          <w:rFonts w:ascii="Cambria" w:hAnsi="Cambria"/>
          <w:sz w:val="22"/>
        </w:rPr>
        <w:t>iii</w:t>
      </w:r>
      <w:proofErr w:type="spellEnd"/>
      <w:r w:rsidRPr="00A34129">
        <w:rPr>
          <w:rFonts w:ascii="Cambria" w:hAnsi="Cambria"/>
          <w:sz w:val="22"/>
        </w:rPr>
        <w:t>) el histórico completo de intervenciones en formato digital; y (</w:t>
      </w:r>
      <w:proofErr w:type="spellStart"/>
      <w:r w:rsidRPr="00A34129">
        <w:rPr>
          <w:rFonts w:ascii="Cambria" w:hAnsi="Cambria"/>
          <w:sz w:val="22"/>
        </w:rPr>
        <w:t>iv</w:t>
      </w:r>
      <w:proofErr w:type="spellEnd"/>
      <w:r w:rsidRPr="00A34129">
        <w:rPr>
          <w:rFonts w:ascii="Cambria" w:hAnsi="Cambria"/>
          <w:sz w:val="22"/>
        </w:rPr>
        <w:t>) un informe de estado de cada familia de instalaciones. El Mantenedor colaborará de buena fe con el nuevo prestador del servicio durante un periodo transitorio de hasta treinta (30) días naturales.</w:t>
      </w:r>
    </w:p>
    <w:p w14:paraId="675A77A5"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TERCERA — Precio, revisión anual y forma de pago</w:t>
      </w:r>
    </w:p>
    <w:p w14:paraId="3B359DCB" w14:textId="77777777" w:rsidR="00A34129" w:rsidRDefault="00A34129" w:rsidP="00A34129">
      <w:pPr>
        <w:jc w:val="both"/>
        <w:rPr>
          <w:rFonts w:ascii="Cambria" w:hAnsi="Cambria"/>
          <w:sz w:val="22"/>
        </w:rPr>
      </w:pPr>
      <w:r w:rsidRPr="00A34129">
        <w:rPr>
          <w:rFonts w:ascii="Cambria" w:hAnsi="Cambria"/>
          <w:sz w:val="22"/>
        </w:rPr>
        <w:t>3.1. Precio. El Cliente abonará al Mantenedor, como contraprestación por los servicios objeto de este contrato, un precio alzado anual de CIENTO OCHENTA Y SEIS MIL EUROS (186.000 €), IVA excluido, correspondiente al ejercicio 2026. Dicho importe se desglosa, a efectos meramente informativos, del modo siguiente:</w:t>
      </w:r>
    </w:p>
    <w:p w14:paraId="79C3CEF8" w14:textId="77777777" w:rsidR="00A34129" w:rsidRDefault="00A34129" w:rsidP="00A34129">
      <w:pPr>
        <w:jc w:val="both"/>
        <w:rPr>
          <w:rFonts w:ascii="Cambria" w:hAnsi="Cambria"/>
          <w:sz w:val="22"/>
        </w:rPr>
      </w:pPr>
      <w:r w:rsidRPr="00A34129">
        <w:rPr>
          <w:rFonts w:ascii="Cambria" w:hAnsi="Cambria"/>
          <w:sz w:val="22"/>
        </w:rPr>
        <w:t>(a) HVAC y BMS: 78.000 €/año.</w:t>
      </w:r>
    </w:p>
    <w:p w14:paraId="09F48101" w14:textId="77777777" w:rsidR="00A34129" w:rsidRDefault="00A34129" w:rsidP="00A34129">
      <w:pPr>
        <w:jc w:val="both"/>
        <w:rPr>
          <w:rFonts w:ascii="Cambria" w:hAnsi="Cambria"/>
          <w:sz w:val="22"/>
        </w:rPr>
      </w:pPr>
      <w:r w:rsidRPr="00A34129">
        <w:rPr>
          <w:rFonts w:ascii="Cambria" w:hAnsi="Cambria"/>
          <w:sz w:val="22"/>
        </w:rPr>
        <w:t>(b) Baja tensión y alumbrado: 34.000 €/año.</w:t>
      </w:r>
    </w:p>
    <w:p w14:paraId="2E9B009D" w14:textId="77777777" w:rsidR="00A34129" w:rsidRDefault="00A34129" w:rsidP="00A34129">
      <w:pPr>
        <w:jc w:val="both"/>
        <w:rPr>
          <w:rFonts w:ascii="Cambria" w:hAnsi="Cambria"/>
          <w:sz w:val="22"/>
        </w:rPr>
      </w:pPr>
      <w:r w:rsidRPr="00A34129">
        <w:rPr>
          <w:rFonts w:ascii="Cambria" w:hAnsi="Cambria"/>
          <w:sz w:val="22"/>
        </w:rPr>
        <w:t>(c) Protección contra incendios: 28.000 €/año.</w:t>
      </w:r>
    </w:p>
    <w:p w14:paraId="448B4164" w14:textId="77777777" w:rsidR="00A34129" w:rsidRDefault="00A34129" w:rsidP="00A34129">
      <w:pPr>
        <w:jc w:val="both"/>
        <w:rPr>
          <w:rFonts w:ascii="Cambria" w:hAnsi="Cambria"/>
          <w:sz w:val="22"/>
        </w:rPr>
      </w:pPr>
      <w:r w:rsidRPr="00A34129">
        <w:rPr>
          <w:rFonts w:ascii="Cambria" w:hAnsi="Cambria"/>
          <w:sz w:val="22"/>
        </w:rPr>
        <w:t>(d) Fontanería y saneamiento: 18.000 €/año.</w:t>
      </w:r>
    </w:p>
    <w:p w14:paraId="134C5904" w14:textId="77777777" w:rsidR="00A34129" w:rsidRDefault="00A34129" w:rsidP="00A34129">
      <w:pPr>
        <w:jc w:val="both"/>
        <w:rPr>
          <w:rFonts w:ascii="Cambria" w:hAnsi="Cambria"/>
          <w:sz w:val="22"/>
        </w:rPr>
      </w:pPr>
      <w:r w:rsidRPr="00A34129">
        <w:rPr>
          <w:rFonts w:ascii="Cambria" w:hAnsi="Cambria"/>
          <w:sz w:val="22"/>
        </w:rPr>
        <w:t>(e) CCTV y seguridad electrónica: 28.000 €/año.</w:t>
      </w:r>
    </w:p>
    <w:p w14:paraId="66BF9479" w14:textId="77777777" w:rsidR="00A34129" w:rsidRDefault="00A34129" w:rsidP="00A34129">
      <w:pPr>
        <w:jc w:val="both"/>
        <w:rPr>
          <w:rFonts w:ascii="Cambria" w:hAnsi="Cambria"/>
          <w:sz w:val="22"/>
        </w:rPr>
      </w:pPr>
      <w:r w:rsidRPr="00A34129">
        <w:rPr>
          <w:rFonts w:ascii="Cambria" w:hAnsi="Cambria"/>
          <w:sz w:val="22"/>
        </w:rPr>
        <w:t xml:space="preserve">3.2. Revisión anual (IPC). El precio se revisará automáticamente con efectos del 1 de enero de cada año, a partir del 1 de enero de 2027, aplicando la variación interanual del Índice de Precios al Consumo (IPC) general nacional publicado por el Instituto Nacional de Estadística correspondiente al mes de noviembre inmediatamente anterior. La revisión se aplicará sobre el precio vigente en el ejercicio anterior. En caso de que el IPC arroje variación negativa, se mantendrá el precio del ejercicio anterior sin reducción. La revisión se incorporará automáticamente, sin necesidad de aceptación expresa, mediante </w:t>
      </w:r>
      <w:proofErr w:type="spellStart"/>
      <w:r w:rsidRPr="00A34129">
        <w:rPr>
          <w:rFonts w:ascii="Cambria" w:hAnsi="Cambria"/>
          <w:sz w:val="22"/>
        </w:rPr>
        <w:t>addendum</w:t>
      </w:r>
      <w:proofErr w:type="spellEnd"/>
      <w:r w:rsidRPr="00A34129">
        <w:rPr>
          <w:rFonts w:ascii="Cambria" w:hAnsi="Cambria"/>
          <w:sz w:val="22"/>
        </w:rPr>
        <w:t xml:space="preserve"> informativo suscrito en el mes de enero de cada año.</w:t>
      </w:r>
    </w:p>
    <w:p w14:paraId="684EEE16" w14:textId="77777777" w:rsidR="00A34129" w:rsidRDefault="00A34129" w:rsidP="00A34129">
      <w:pPr>
        <w:jc w:val="both"/>
        <w:rPr>
          <w:rFonts w:ascii="Cambria" w:hAnsi="Cambria"/>
          <w:sz w:val="22"/>
        </w:rPr>
      </w:pPr>
      <w:r w:rsidRPr="00A34129">
        <w:rPr>
          <w:rFonts w:ascii="Cambria" w:hAnsi="Cambria"/>
          <w:sz w:val="22"/>
        </w:rPr>
        <w:t>3.3. Forma de pago. El precio anual se facturará por mensualidades vencidas, por importe de quince mil quinientos euros (15.500 €) mensuales, IVA excluido, correspondientes al ejercicio 2026. El Mantenedor emitirá factura los días 1-5 de cada mes siguiente al servicio prestado, y el Cliente la abonará mediante transferencia bancaria a sesenta (60) días fecha factura, a la cuenta que el Mantenedor designe por escrito.</w:t>
      </w:r>
    </w:p>
    <w:p w14:paraId="66186F9B" w14:textId="77777777" w:rsidR="00A34129" w:rsidRDefault="00A34129" w:rsidP="00A34129">
      <w:pPr>
        <w:jc w:val="both"/>
        <w:rPr>
          <w:rFonts w:ascii="Cambria" w:hAnsi="Cambria"/>
          <w:sz w:val="22"/>
        </w:rPr>
      </w:pPr>
      <w:r w:rsidRPr="00A34129">
        <w:rPr>
          <w:rFonts w:ascii="Cambria" w:hAnsi="Cambria"/>
          <w:sz w:val="22"/>
        </w:rPr>
        <w:t>3.4. Trabajos fuera de alcance. Los trabajos excluidos conforme a la cláusula 1.4, así como los materiales cuyo coste exceda de los límites del Anexo III, se facturarán por separado, con sujeción a las tarifas horarias y de materiales del propio Anexo III y previa aceptación por escrito del presupuesto por parte del Cliente.</w:t>
      </w:r>
    </w:p>
    <w:p w14:paraId="5AA8FC0A" w14:textId="77777777" w:rsidR="00A34129" w:rsidRDefault="00A34129" w:rsidP="00A34129">
      <w:pPr>
        <w:jc w:val="both"/>
        <w:rPr>
          <w:rFonts w:ascii="Cambria" w:hAnsi="Cambria"/>
          <w:sz w:val="22"/>
        </w:rPr>
      </w:pPr>
      <w:r w:rsidRPr="00A34129">
        <w:rPr>
          <w:rFonts w:ascii="Cambria" w:hAnsi="Cambria"/>
          <w:sz w:val="22"/>
        </w:rPr>
        <w:lastRenderedPageBreak/>
        <w:t>3.5. Intereses de demora. En caso de impago en los plazos pactados, se devengarán automáticamente los intereses de demora previstos en la Ley 3/2004, de 29 de diciembre, por la que se establecen medidas de lucha contra la morosidad en las operaciones comerciales, sin necesidad de intimación previa.</w:t>
      </w:r>
    </w:p>
    <w:p w14:paraId="75CEE8A0" w14:textId="77777777" w:rsidR="00A34129" w:rsidRDefault="00A34129" w:rsidP="00A34129">
      <w:pPr>
        <w:rPr>
          <w:rFonts w:ascii="Cambria" w:hAnsi="Cambria"/>
        </w:rPr>
      </w:pPr>
    </w:p>
    <w:p w14:paraId="0A4DC87B"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CUARTA — Obligaciones del Mantenedor (SLA)</w:t>
      </w:r>
    </w:p>
    <w:p w14:paraId="5A4CF4C2" w14:textId="77777777" w:rsidR="00A34129" w:rsidRDefault="00A34129" w:rsidP="00A34129">
      <w:pPr>
        <w:jc w:val="both"/>
        <w:rPr>
          <w:rFonts w:ascii="Cambria" w:hAnsi="Cambria"/>
          <w:sz w:val="22"/>
        </w:rPr>
      </w:pPr>
      <w:r w:rsidRPr="00A34129">
        <w:rPr>
          <w:rFonts w:ascii="Cambria" w:hAnsi="Cambria"/>
          <w:sz w:val="22"/>
        </w:rPr>
        <w:t xml:space="preserve">4.1. Presencia mínima. El Mantenedor destinará al servicio un equipo estable formado, como mínimo, por: (i) un </w:t>
      </w:r>
      <w:proofErr w:type="gramStart"/>
      <w:r w:rsidRPr="00A34129">
        <w:rPr>
          <w:rFonts w:ascii="Cambria" w:hAnsi="Cambria"/>
          <w:sz w:val="22"/>
        </w:rPr>
        <w:t>Jefe</w:t>
      </w:r>
      <w:proofErr w:type="gramEnd"/>
      <w:r w:rsidRPr="00A34129">
        <w:rPr>
          <w:rFonts w:ascii="Cambria" w:hAnsi="Cambria"/>
          <w:sz w:val="22"/>
        </w:rPr>
        <w:t xml:space="preserve"> de Mantenimiento titulado, con dedicación del 50%; (</w:t>
      </w:r>
      <w:proofErr w:type="spellStart"/>
      <w:r w:rsidRPr="00A34129">
        <w:rPr>
          <w:rFonts w:ascii="Cambria" w:hAnsi="Cambria"/>
          <w:sz w:val="22"/>
        </w:rPr>
        <w:t>ii</w:t>
      </w:r>
      <w:proofErr w:type="spellEnd"/>
      <w:r w:rsidRPr="00A34129">
        <w:rPr>
          <w:rFonts w:ascii="Cambria" w:hAnsi="Cambria"/>
          <w:sz w:val="22"/>
        </w:rPr>
        <w:t>) dos oficiales polivalentes en régimen de presencia física completa en horario comercial del centro (de lunes a domingo, de 09:00 a 22:00); y (</w:t>
      </w:r>
      <w:proofErr w:type="spellStart"/>
      <w:r w:rsidRPr="00A34129">
        <w:rPr>
          <w:rFonts w:ascii="Cambria" w:hAnsi="Cambria"/>
          <w:sz w:val="22"/>
        </w:rPr>
        <w:t>iii</w:t>
      </w:r>
      <w:proofErr w:type="spellEnd"/>
      <w:r w:rsidRPr="00A34129">
        <w:rPr>
          <w:rFonts w:ascii="Cambria" w:hAnsi="Cambria"/>
          <w:sz w:val="22"/>
        </w:rPr>
        <w:t>) los especialistas de cada familia necesarios para ejecutar el Plan Preventivo Anual del Anexo II.</w:t>
      </w:r>
    </w:p>
    <w:p w14:paraId="0DF7C8D1" w14:textId="77777777" w:rsidR="00A34129" w:rsidRDefault="00A34129" w:rsidP="00A34129">
      <w:pPr>
        <w:jc w:val="both"/>
        <w:rPr>
          <w:rFonts w:ascii="Cambria" w:hAnsi="Cambria"/>
          <w:sz w:val="22"/>
        </w:rPr>
      </w:pPr>
      <w:r w:rsidRPr="00A34129">
        <w:rPr>
          <w:rFonts w:ascii="Cambria" w:hAnsi="Cambria"/>
          <w:sz w:val="22"/>
        </w:rPr>
        <w:t>4.2. Horario y guardias. El servicio cubrirá la totalidad del horario comercial mediante presencia física y, fuera de dicho horario, un régimen de guardia localizada 24/7/365 atendida por los contactos del Anexo IV, que garantizará la intervención en los plazos de respuesta de la cláusula 4.4.</w:t>
      </w:r>
    </w:p>
    <w:p w14:paraId="3F29E556" w14:textId="77777777" w:rsidR="00A34129" w:rsidRDefault="00A34129" w:rsidP="00A34129">
      <w:pPr>
        <w:jc w:val="both"/>
        <w:rPr>
          <w:rFonts w:ascii="Cambria" w:hAnsi="Cambria"/>
          <w:sz w:val="22"/>
        </w:rPr>
      </w:pPr>
      <w:r w:rsidRPr="00A34129">
        <w:rPr>
          <w:rFonts w:ascii="Cambria" w:hAnsi="Cambria"/>
          <w:sz w:val="22"/>
        </w:rPr>
        <w:t>4.3. Criticidad de las incidencias. Las incidencias se clasifican en cuatro niveles de criticidad:</w:t>
      </w:r>
    </w:p>
    <w:p w14:paraId="49716D47" w14:textId="77777777" w:rsidR="00A34129" w:rsidRDefault="00A34129" w:rsidP="00A34129">
      <w:pPr>
        <w:jc w:val="both"/>
        <w:rPr>
          <w:rFonts w:ascii="Cambria" w:hAnsi="Cambria"/>
          <w:sz w:val="22"/>
        </w:rPr>
      </w:pPr>
      <w:r w:rsidRPr="00A34129">
        <w:rPr>
          <w:rFonts w:ascii="Cambria" w:hAnsi="Cambria"/>
          <w:sz w:val="22"/>
        </w:rPr>
        <w:t>(a) Crítica: incidencia que afecte a la seguridad de personas, comprometa la evacuación del centro, inhabilite el sistema de PCI o el suministro eléctrico general, o impida la apertura del centro al público.</w:t>
      </w:r>
    </w:p>
    <w:p w14:paraId="755D93A1" w14:textId="77777777" w:rsidR="00A34129" w:rsidRDefault="00A34129" w:rsidP="00A34129">
      <w:pPr>
        <w:jc w:val="both"/>
        <w:rPr>
          <w:rFonts w:ascii="Cambria" w:hAnsi="Cambria"/>
          <w:sz w:val="22"/>
        </w:rPr>
      </w:pPr>
      <w:r w:rsidRPr="00A34129">
        <w:rPr>
          <w:rFonts w:ascii="Cambria" w:hAnsi="Cambria"/>
          <w:sz w:val="22"/>
        </w:rPr>
        <w:t>(b) Alta: incidencia que afecte a una zona completa del centro, a más del 30% de los locales, o a un servicio esencial (climatización de zonas comunes en periodo estival o invernal, CCTV del centro de control, grupo de presión de agua).</w:t>
      </w:r>
    </w:p>
    <w:p w14:paraId="4FB6EC9B" w14:textId="77777777" w:rsidR="00A34129" w:rsidRDefault="00A34129" w:rsidP="00A34129">
      <w:pPr>
        <w:jc w:val="both"/>
        <w:rPr>
          <w:rFonts w:ascii="Cambria" w:hAnsi="Cambria"/>
          <w:sz w:val="22"/>
        </w:rPr>
      </w:pPr>
      <w:r w:rsidRPr="00A34129">
        <w:rPr>
          <w:rFonts w:ascii="Cambria" w:hAnsi="Cambria"/>
          <w:sz w:val="22"/>
        </w:rPr>
        <w:t>(c) Media: incidencia localizada que afecte a un local, a un equipo individual o a un tramo de instalación sin impacto significativo en la operación general del centro.</w:t>
      </w:r>
    </w:p>
    <w:p w14:paraId="1AB14780" w14:textId="77777777" w:rsidR="00A34129" w:rsidRDefault="00A34129" w:rsidP="00A34129">
      <w:pPr>
        <w:jc w:val="both"/>
        <w:rPr>
          <w:rFonts w:ascii="Cambria" w:hAnsi="Cambria"/>
          <w:sz w:val="22"/>
        </w:rPr>
      </w:pPr>
      <w:r w:rsidRPr="00A34129">
        <w:rPr>
          <w:rFonts w:ascii="Cambria" w:hAnsi="Cambria"/>
          <w:sz w:val="22"/>
        </w:rPr>
        <w:t>(d) Baja: incidencias estéticas, de confort puntual o peticiones de pequeña entidad sin afectación al servicio.</w:t>
      </w:r>
    </w:p>
    <w:p w14:paraId="042FBD4F" w14:textId="77777777" w:rsidR="00A34129" w:rsidRDefault="00A34129" w:rsidP="00A34129">
      <w:pPr>
        <w:jc w:val="both"/>
        <w:rPr>
          <w:rFonts w:ascii="Cambria" w:hAnsi="Cambria"/>
          <w:sz w:val="22"/>
        </w:rPr>
      </w:pPr>
      <w:r w:rsidRPr="00A34129">
        <w:rPr>
          <w:rFonts w:ascii="Cambria" w:hAnsi="Cambria"/>
          <w:sz w:val="22"/>
        </w:rPr>
        <w:t xml:space="preserve">4.4. Tiempos máximos de respuesta y resolución. El Mantenedor garantiza los siguientes tiempos, medidos desde la apertura formal del aviso en la plataforma de </w:t>
      </w:r>
      <w:proofErr w:type="spellStart"/>
      <w:r w:rsidRPr="00A34129">
        <w:rPr>
          <w:rFonts w:ascii="Cambria" w:hAnsi="Cambria"/>
          <w:sz w:val="22"/>
        </w:rPr>
        <w:t>ticketing</w:t>
      </w:r>
      <w:proofErr w:type="spellEnd"/>
      <w:r w:rsidRPr="00A34129">
        <w:rPr>
          <w:rFonts w:ascii="Cambria" w:hAnsi="Cambria"/>
          <w:sz w:val="22"/>
        </w:rPr>
        <w:t xml:space="preserve"> o desde la llamada al teléfono 24/7:</w:t>
      </w:r>
    </w:p>
    <w:tbl>
      <w:tblPr>
        <w:tblStyle w:val="Tablaconcuadrcu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20" w:firstRow="1" w:lastRow="0" w:firstColumn="0" w:lastColumn="0" w:noHBand="0" w:noVBand="1"/>
      </w:tblPr>
      <w:tblGrid>
        <w:gridCol w:w="2260"/>
        <w:gridCol w:w="2260"/>
        <w:gridCol w:w="2260"/>
        <w:gridCol w:w="2264"/>
      </w:tblGrid>
      <w:tr w:rsidR="00A34129" w14:paraId="44284E21" w14:textId="77777777" w:rsidTr="00A34129">
        <w:tc>
          <w:tcPr>
            <w:tcW w:w="2301" w:type="dxa"/>
          </w:tcPr>
          <w:p w14:paraId="6B707B75" w14:textId="6589ED35" w:rsidR="00A34129" w:rsidRDefault="00A34129" w:rsidP="00A34129">
            <w:pPr>
              <w:rPr>
                <w:rFonts w:ascii="Cambria" w:hAnsi="Cambria"/>
                <w:sz w:val="22"/>
              </w:rPr>
            </w:pPr>
            <w:r>
              <w:rPr>
                <w:rFonts w:ascii="Cambria" w:hAnsi="Cambria"/>
                <w:sz w:val="22"/>
              </w:rPr>
              <w:t>Criticidad</w:t>
            </w:r>
          </w:p>
        </w:tc>
        <w:tc>
          <w:tcPr>
            <w:tcW w:w="2301" w:type="dxa"/>
          </w:tcPr>
          <w:p w14:paraId="553D2F9D" w14:textId="775E086E" w:rsidR="00A34129" w:rsidRDefault="00A34129" w:rsidP="00A34129">
            <w:pPr>
              <w:rPr>
                <w:rFonts w:ascii="Cambria" w:hAnsi="Cambria"/>
                <w:sz w:val="22"/>
              </w:rPr>
            </w:pPr>
            <w:r>
              <w:rPr>
                <w:rFonts w:ascii="Cambria" w:hAnsi="Cambria"/>
                <w:sz w:val="22"/>
              </w:rPr>
              <w:t>Tiempo de respuesta</w:t>
            </w:r>
          </w:p>
        </w:tc>
        <w:tc>
          <w:tcPr>
            <w:tcW w:w="2301" w:type="dxa"/>
          </w:tcPr>
          <w:p w14:paraId="27587A78" w14:textId="6D765FAA" w:rsidR="00A34129" w:rsidRDefault="00A34129" w:rsidP="00A34129">
            <w:pPr>
              <w:rPr>
                <w:rFonts w:ascii="Cambria" w:hAnsi="Cambria"/>
                <w:sz w:val="22"/>
              </w:rPr>
            </w:pPr>
            <w:r>
              <w:rPr>
                <w:rFonts w:ascii="Cambria" w:hAnsi="Cambria"/>
                <w:sz w:val="22"/>
              </w:rPr>
              <w:t>Presencia en sitio</w:t>
            </w:r>
          </w:p>
        </w:tc>
        <w:tc>
          <w:tcPr>
            <w:tcW w:w="2301" w:type="dxa"/>
          </w:tcPr>
          <w:p w14:paraId="085F1EAB" w14:textId="7140F8C3" w:rsidR="00A34129" w:rsidRDefault="00A34129" w:rsidP="00A34129">
            <w:pPr>
              <w:rPr>
                <w:rFonts w:ascii="Cambria" w:hAnsi="Cambria"/>
                <w:sz w:val="22"/>
              </w:rPr>
            </w:pPr>
            <w:r>
              <w:rPr>
                <w:rFonts w:ascii="Cambria" w:hAnsi="Cambria"/>
                <w:sz w:val="22"/>
              </w:rPr>
              <w:t>Resolución o paliativo</w:t>
            </w:r>
          </w:p>
        </w:tc>
      </w:tr>
      <w:tr w:rsidR="00A34129" w14:paraId="7D574003" w14:textId="77777777" w:rsidTr="00A34129">
        <w:tc>
          <w:tcPr>
            <w:tcW w:w="2301" w:type="dxa"/>
          </w:tcPr>
          <w:p w14:paraId="594A10D1" w14:textId="6494425B" w:rsidR="00A34129" w:rsidRDefault="00A34129" w:rsidP="00A34129">
            <w:pPr>
              <w:rPr>
                <w:rFonts w:ascii="Cambria" w:hAnsi="Cambria"/>
                <w:sz w:val="22"/>
              </w:rPr>
            </w:pPr>
            <w:r>
              <w:rPr>
                <w:rFonts w:ascii="Cambria" w:hAnsi="Cambria"/>
                <w:sz w:val="22"/>
              </w:rPr>
              <w:t>Crítica</w:t>
            </w:r>
          </w:p>
        </w:tc>
        <w:tc>
          <w:tcPr>
            <w:tcW w:w="2301" w:type="dxa"/>
          </w:tcPr>
          <w:p w14:paraId="0974110C" w14:textId="26C27E18" w:rsidR="00A34129" w:rsidRDefault="00A34129" w:rsidP="00A34129">
            <w:pPr>
              <w:rPr>
                <w:rFonts w:ascii="Cambria" w:hAnsi="Cambria"/>
                <w:sz w:val="22"/>
              </w:rPr>
            </w:pPr>
            <w:r>
              <w:rPr>
                <w:rFonts w:ascii="Cambria" w:hAnsi="Cambria"/>
                <w:sz w:val="22"/>
              </w:rPr>
              <w:t>15 minutos</w:t>
            </w:r>
          </w:p>
        </w:tc>
        <w:tc>
          <w:tcPr>
            <w:tcW w:w="2301" w:type="dxa"/>
          </w:tcPr>
          <w:p w14:paraId="44BEBB25" w14:textId="0E6C1AD1" w:rsidR="00A34129" w:rsidRDefault="00A34129" w:rsidP="00A34129">
            <w:pPr>
              <w:rPr>
                <w:rFonts w:ascii="Cambria" w:hAnsi="Cambria"/>
                <w:sz w:val="22"/>
              </w:rPr>
            </w:pPr>
            <w:r>
              <w:rPr>
                <w:rFonts w:ascii="Cambria" w:hAnsi="Cambria"/>
                <w:sz w:val="22"/>
              </w:rPr>
              <w:t>1 hora</w:t>
            </w:r>
          </w:p>
        </w:tc>
        <w:tc>
          <w:tcPr>
            <w:tcW w:w="2301" w:type="dxa"/>
          </w:tcPr>
          <w:p w14:paraId="641E66B6" w14:textId="644D6AF6" w:rsidR="00A34129" w:rsidRDefault="00A34129" w:rsidP="00A34129">
            <w:pPr>
              <w:rPr>
                <w:rFonts w:ascii="Cambria" w:hAnsi="Cambria"/>
                <w:sz w:val="22"/>
              </w:rPr>
            </w:pPr>
            <w:r>
              <w:rPr>
                <w:rFonts w:ascii="Cambria" w:hAnsi="Cambria"/>
                <w:sz w:val="22"/>
              </w:rPr>
              <w:t>4 horas</w:t>
            </w:r>
          </w:p>
        </w:tc>
      </w:tr>
      <w:tr w:rsidR="00A34129" w14:paraId="09E8B97B" w14:textId="77777777" w:rsidTr="00A34129">
        <w:tc>
          <w:tcPr>
            <w:tcW w:w="2301" w:type="dxa"/>
          </w:tcPr>
          <w:p w14:paraId="173FA283" w14:textId="090D5190" w:rsidR="00A34129" w:rsidRDefault="00A34129" w:rsidP="00A34129">
            <w:pPr>
              <w:rPr>
                <w:rFonts w:ascii="Cambria" w:hAnsi="Cambria"/>
                <w:sz w:val="22"/>
              </w:rPr>
            </w:pPr>
            <w:r>
              <w:rPr>
                <w:rFonts w:ascii="Cambria" w:hAnsi="Cambria"/>
                <w:sz w:val="22"/>
              </w:rPr>
              <w:t>Alta</w:t>
            </w:r>
          </w:p>
        </w:tc>
        <w:tc>
          <w:tcPr>
            <w:tcW w:w="2301" w:type="dxa"/>
          </w:tcPr>
          <w:p w14:paraId="7F4A32F5" w14:textId="5EFEADE5" w:rsidR="00A34129" w:rsidRDefault="00A34129" w:rsidP="00A34129">
            <w:pPr>
              <w:rPr>
                <w:rFonts w:ascii="Cambria" w:hAnsi="Cambria"/>
                <w:sz w:val="22"/>
              </w:rPr>
            </w:pPr>
            <w:r>
              <w:rPr>
                <w:rFonts w:ascii="Cambria" w:hAnsi="Cambria"/>
                <w:sz w:val="22"/>
              </w:rPr>
              <w:t>30 minutos</w:t>
            </w:r>
          </w:p>
        </w:tc>
        <w:tc>
          <w:tcPr>
            <w:tcW w:w="2301" w:type="dxa"/>
          </w:tcPr>
          <w:p w14:paraId="5C91EA1F" w14:textId="6B6206F3" w:rsidR="00A34129" w:rsidRDefault="00A34129" w:rsidP="00A34129">
            <w:pPr>
              <w:rPr>
                <w:rFonts w:ascii="Cambria" w:hAnsi="Cambria"/>
                <w:sz w:val="22"/>
              </w:rPr>
            </w:pPr>
            <w:r>
              <w:rPr>
                <w:rFonts w:ascii="Cambria" w:hAnsi="Cambria"/>
                <w:sz w:val="22"/>
              </w:rPr>
              <w:t>2 horas</w:t>
            </w:r>
          </w:p>
        </w:tc>
        <w:tc>
          <w:tcPr>
            <w:tcW w:w="2301" w:type="dxa"/>
          </w:tcPr>
          <w:p w14:paraId="64CF9089" w14:textId="2AB19389" w:rsidR="00A34129" w:rsidRDefault="00A34129" w:rsidP="00A34129">
            <w:pPr>
              <w:rPr>
                <w:rFonts w:ascii="Cambria" w:hAnsi="Cambria"/>
                <w:sz w:val="22"/>
              </w:rPr>
            </w:pPr>
            <w:r>
              <w:rPr>
                <w:rFonts w:ascii="Cambria" w:hAnsi="Cambria"/>
                <w:sz w:val="22"/>
              </w:rPr>
              <w:t>8 horas</w:t>
            </w:r>
          </w:p>
        </w:tc>
      </w:tr>
      <w:tr w:rsidR="00A34129" w14:paraId="7230639A" w14:textId="77777777" w:rsidTr="00A34129">
        <w:tc>
          <w:tcPr>
            <w:tcW w:w="2301" w:type="dxa"/>
          </w:tcPr>
          <w:p w14:paraId="402051C4" w14:textId="7975C0F6" w:rsidR="00A34129" w:rsidRDefault="00A34129" w:rsidP="00A34129">
            <w:pPr>
              <w:rPr>
                <w:rFonts w:ascii="Cambria" w:hAnsi="Cambria"/>
                <w:sz w:val="22"/>
              </w:rPr>
            </w:pPr>
            <w:r>
              <w:rPr>
                <w:rFonts w:ascii="Cambria" w:hAnsi="Cambria"/>
                <w:sz w:val="22"/>
              </w:rPr>
              <w:t>Media</w:t>
            </w:r>
          </w:p>
        </w:tc>
        <w:tc>
          <w:tcPr>
            <w:tcW w:w="2301" w:type="dxa"/>
          </w:tcPr>
          <w:p w14:paraId="32ED9AE1" w14:textId="3578A789" w:rsidR="00A34129" w:rsidRDefault="00A34129" w:rsidP="00A34129">
            <w:pPr>
              <w:rPr>
                <w:rFonts w:ascii="Cambria" w:hAnsi="Cambria"/>
                <w:sz w:val="22"/>
              </w:rPr>
            </w:pPr>
            <w:r>
              <w:rPr>
                <w:rFonts w:ascii="Cambria" w:hAnsi="Cambria"/>
                <w:sz w:val="22"/>
              </w:rPr>
              <w:t>2 horas</w:t>
            </w:r>
          </w:p>
        </w:tc>
        <w:tc>
          <w:tcPr>
            <w:tcW w:w="2301" w:type="dxa"/>
          </w:tcPr>
          <w:p w14:paraId="605B78F0" w14:textId="70C00A82" w:rsidR="00A34129" w:rsidRDefault="00A34129" w:rsidP="00A34129">
            <w:pPr>
              <w:rPr>
                <w:rFonts w:ascii="Cambria" w:hAnsi="Cambria"/>
                <w:sz w:val="22"/>
              </w:rPr>
            </w:pPr>
            <w:r>
              <w:rPr>
                <w:rFonts w:ascii="Cambria" w:hAnsi="Cambria"/>
                <w:sz w:val="22"/>
              </w:rPr>
              <w:t>mismo día laborable</w:t>
            </w:r>
          </w:p>
        </w:tc>
        <w:tc>
          <w:tcPr>
            <w:tcW w:w="2301" w:type="dxa"/>
          </w:tcPr>
          <w:p w14:paraId="303B68CE" w14:textId="126011F8" w:rsidR="00A34129" w:rsidRDefault="00A34129" w:rsidP="00A34129">
            <w:pPr>
              <w:rPr>
                <w:rFonts w:ascii="Cambria" w:hAnsi="Cambria"/>
                <w:sz w:val="22"/>
              </w:rPr>
            </w:pPr>
            <w:r>
              <w:rPr>
                <w:rFonts w:ascii="Cambria" w:hAnsi="Cambria"/>
                <w:sz w:val="22"/>
              </w:rPr>
              <w:t>48 horas</w:t>
            </w:r>
          </w:p>
        </w:tc>
      </w:tr>
      <w:tr w:rsidR="00A34129" w14:paraId="5A5AB977" w14:textId="77777777" w:rsidTr="00A34129">
        <w:tc>
          <w:tcPr>
            <w:tcW w:w="2301" w:type="dxa"/>
          </w:tcPr>
          <w:p w14:paraId="4569F0B3" w14:textId="0A9E0A6C" w:rsidR="00A34129" w:rsidRDefault="00A34129" w:rsidP="00A34129">
            <w:pPr>
              <w:rPr>
                <w:rFonts w:ascii="Cambria" w:hAnsi="Cambria"/>
                <w:sz w:val="22"/>
              </w:rPr>
            </w:pPr>
            <w:r>
              <w:rPr>
                <w:rFonts w:ascii="Cambria" w:hAnsi="Cambria"/>
                <w:sz w:val="22"/>
              </w:rPr>
              <w:t>Baja</w:t>
            </w:r>
          </w:p>
        </w:tc>
        <w:tc>
          <w:tcPr>
            <w:tcW w:w="2301" w:type="dxa"/>
          </w:tcPr>
          <w:p w14:paraId="0C43D022" w14:textId="6C0294F8" w:rsidR="00A34129" w:rsidRDefault="00A34129" w:rsidP="00A34129">
            <w:pPr>
              <w:rPr>
                <w:rFonts w:ascii="Cambria" w:hAnsi="Cambria"/>
                <w:sz w:val="22"/>
              </w:rPr>
            </w:pPr>
            <w:r>
              <w:rPr>
                <w:rFonts w:ascii="Cambria" w:hAnsi="Cambria"/>
                <w:sz w:val="22"/>
              </w:rPr>
              <w:t>24 horas</w:t>
            </w:r>
          </w:p>
        </w:tc>
        <w:tc>
          <w:tcPr>
            <w:tcW w:w="2301" w:type="dxa"/>
          </w:tcPr>
          <w:p w14:paraId="2094584F" w14:textId="3A19CFBA" w:rsidR="00A34129" w:rsidRDefault="00A34129" w:rsidP="00A34129">
            <w:pPr>
              <w:rPr>
                <w:rFonts w:ascii="Cambria" w:hAnsi="Cambria"/>
                <w:sz w:val="22"/>
              </w:rPr>
            </w:pPr>
            <w:r>
              <w:rPr>
                <w:rFonts w:ascii="Cambria" w:hAnsi="Cambria"/>
                <w:sz w:val="22"/>
              </w:rPr>
              <w:t>48 horas</w:t>
            </w:r>
          </w:p>
        </w:tc>
        <w:tc>
          <w:tcPr>
            <w:tcW w:w="2301" w:type="dxa"/>
          </w:tcPr>
          <w:p w14:paraId="760C8BC3" w14:textId="0B42E020" w:rsidR="00A34129" w:rsidRDefault="00A34129" w:rsidP="00A34129">
            <w:pPr>
              <w:rPr>
                <w:rFonts w:ascii="Cambria" w:hAnsi="Cambria"/>
                <w:sz w:val="22"/>
              </w:rPr>
            </w:pPr>
            <w:r>
              <w:rPr>
                <w:rFonts w:ascii="Cambria" w:hAnsi="Cambria"/>
                <w:sz w:val="22"/>
              </w:rPr>
              <w:t>5 días laborables</w:t>
            </w:r>
          </w:p>
        </w:tc>
      </w:tr>
    </w:tbl>
    <w:p w14:paraId="4AB360AB" w14:textId="77777777" w:rsidR="00A34129" w:rsidRDefault="00A34129" w:rsidP="00A34129">
      <w:pPr>
        <w:spacing w:before="280"/>
        <w:jc w:val="both"/>
        <w:rPr>
          <w:rFonts w:ascii="Cambria" w:hAnsi="Cambria"/>
          <w:sz w:val="22"/>
        </w:rPr>
      </w:pPr>
      <w:r w:rsidRPr="00A34129">
        <w:rPr>
          <w:rFonts w:ascii="Cambria" w:hAnsi="Cambria"/>
          <w:sz w:val="22"/>
        </w:rPr>
        <w:t>4.5. Plan Preventivo. El Mantenedor ejecutará el Plan Preventivo Anual del Anexo II conforme al calendario de gamas y frecuencias allí establecido, y dejará constancia de cada actuación en el Libro de Mantenimiento y en la plataforma de gestión.</w:t>
      </w:r>
    </w:p>
    <w:p w14:paraId="3B036A0C" w14:textId="77777777" w:rsidR="00A34129" w:rsidRDefault="00A34129" w:rsidP="00A34129">
      <w:pPr>
        <w:jc w:val="both"/>
        <w:rPr>
          <w:rFonts w:ascii="Cambria" w:hAnsi="Cambria"/>
          <w:sz w:val="22"/>
        </w:rPr>
      </w:pPr>
      <w:r w:rsidRPr="00A34129">
        <w:rPr>
          <w:rFonts w:ascii="Cambria" w:hAnsi="Cambria"/>
          <w:sz w:val="22"/>
        </w:rPr>
        <w:t xml:space="preserve">4.6. </w:t>
      </w:r>
      <w:proofErr w:type="spellStart"/>
      <w:r w:rsidRPr="00A34129">
        <w:rPr>
          <w:rFonts w:ascii="Cambria" w:hAnsi="Cambria"/>
          <w:sz w:val="22"/>
        </w:rPr>
        <w:t>Reporting</w:t>
      </w:r>
      <w:proofErr w:type="spellEnd"/>
      <w:r w:rsidRPr="00A34129">
        <w:rPr>
          <w:rFonts w:ascii="Cambria" w:hAnsi="Cambria"/>
          <w:sz w:val="22"/>
        </w:rPr>
        <w:t xml:space="preserve"> mensual. Dentro de los diez (10) primeros días naturales de cada mes, el Mantenedor entregará al Cliente un informe mensual de servicio que contendrá, como mínimo:</w:t>
      </w:r>
    </w:p>
    <w:p w14:paraId="781F27F3" w14:textId="77777777" w:rsidR="00A34129" w:rsidRDefault="00A34129" w:rsidP="00A34129">
      <w:pPr>
        <w:jc w:val="both"/>
        <w:rPr>
          <w:rFonts w:ascii="Cambria" w:hAnsi="Cambria"/>
          <w:sz w:val="22"/>
        </w:rPr>
      </w:pPr>
      <w:r w:rsidRPr="00A34129">
        <w:rPr>
          <w:rFonts w:ascii="Cambria" w:hAnsi="Cambria"/>
          <w:sz w:val="22"/>
        </w:rPr>
        <w:lastRenderedPageBreak/>
        <w:t>(a) Resumen ejecutivo: indicadores clave (</w:t>
      </w:r>
      <w:proofErr w:type="spellStart"/>
      <w:r w:rsidRPr="00A34129">
        <w:rPr>
          <w:rFonts w:ascii="Cambria" w:hAnsi="Cambria"/>
          <w:sz w:val="22"/>
        </w:rPr>
        <w:t>KPIs</w:t>
      </w:r>
      <w:proofErr w:type="spellEnd"/>
      <w:r w:rsidRPr="00A34129">
        <w:rPr>
          <w:rFonts w:ascii="Cambria" w:hAnsi="Cambria"/>
          <w:sz w:val="22"/>
        </w:rPr>
        <w:t>) del mes, cumplimiento de SLA por criticidad y comparativa con los dos meses anteriores.</w:t>
      </w:r>
    </w:p>
    <w:p w14:paraId="7B6AC88E" w14:textId="77777777" w:rsidR="00A34129" w:rsidRDefault="00A34129" w:rsidP="00A34129">
      <w:pPr>
        <w:jc w:val="both"/>
        <w:rPr>
          <w:rFonts w:ascii="Cambria" w:hAnsi="Cambria"/>
          <w:sz w:val="22"/>
        </w:rPr>
      </w:pPr>
      <w:r w:rsidRPr="00A34129">
        <w:rPr>
          <w:rFonts w:ascii="Cambria" w:hAnsi="Cambria"/>
          <w:sz w:val="22"/>
        </w:rPr>
        <w:t>(b) Preventivo: gamas ejecutadas frente a planificadas, desviaciones y plan de recuperación.</w:t>
      </w:r>
    </w:p>
    <w:p w14:paraId="0DD002DB" w14:textId="77777777" w:rsidR="00A34129" w:rsidRDefault="00A34129" w:rsidP="00A34129">
      <w:pPr>
        <w:jc w:val="both"/>
        <w:rPr>
          <w:rFonts w:ascii="Cambria" w:hAnsi="Cambria"/>
          <w:sz w:val="22"/>
        </w:rPr>
      </w:pPr>
      <w:r w:rsidRPr="00A34129">
        <w:rPr>
          <w:rFonts w:ascii="Cambria" w:hAnsi="Cambria"/>
          <w:sz w:val="22"/>
        </w:rPr>
        <w:t>(c) Correctivo: relación de avisos abiertos, cerrados y en curso, con tiempos de respuesta y resolución y análisis de causa raíz de las incidencias críticas.</w:t>
      </w:r>
    </w:p>
    <w:p w14:paraId="3C94F36A" w14:textId="77777777" w:rsidR="00A34129" w:rsidRDefault="00A34129" w:rsidP="00A34129">
      <w:pPr>
        <w:jc w:val="both"/>
        <w:rPr>
          <w:rFonts w:ascii="Cambria" w:hAnsi="Cambria"/>
          <w:sz w:val="22"/>
        </w:rPr>
      </w:pPr>
      <w:r w:rsidRPr="00A34129">
        <w:rPr>
          <w:rFonts w:ascii="Cambria" w:hAnsi="Cambria"/>
          <w:sz w:val="22"/>
        </w:rPr>
        <w:t>(d) Técnico-legal: inspecciones realizadas, próximas inspecciones y estado de cumplimiento reglamentario.</w:t>
      </w:r>
    </w:p>
    <w:p w14:paraId="03789725" w14:textId="77777777" w:rsidR="00A34129" w:rsidRDefault="00A34129" w:rsidP="00A34129">
      <w:pPr>
        <w:jc w:val="both"/>
        <w:rPr>
          <w:rFonts w:ascii="Cambria" w:hAnsi="Cambria"/>
          <w:sz w:val="22"/>
        </w:rPr>
      </w:pPr>
      <w:r w:rsidRPr="00A34129">
        <w:rPr>
          <w:rFonts w:ascii="Cambria" w:hAnsi="Cambria"/>
          <w:sz w:val="22"/>
        </w:rPr>
        <w:t>(e) Energético: consumos eléctricos y de agua del mes, comparativa con el mismo mes del ejercicio anterior, y propuestas de mejora.</w:t>
      </w:r>
    </w:p>
    <w:p w14:paraId="33685D44" w14:textId="77777777" w:rsidR="00A34129" w:rsidRDefault="00A34129" w:rsidP="00A34129">
      <w:pPr>
        <w:jc w:val="both"/>
        <w:rPr>
          <w:rFonts w:ascii="Cambria" w:hAnsi="Cambria"/>
          <w:sz w:val="22"/>
        </w:rPr>
      </w:pPr>
      <w:r w:rsidRPr="00A34129">
        <w:rPr>
          <w:rFonts w:ascii="Cambria" w:hAnsi="Cambria"/>
          <w:sz w:val="22"/>
        </w:rPr>
        <w:t>(f) Económico: actuaciones fuera de alcance facturadas o pendientes de aprobación.</w:t>
      </w:r>
    </w:p>
    <w:p w14:paraId="205F1DC2" w14:textId="77777777" w:rsidR="00A34129" w:rsidRDefault="00A34129" w:rsidP="00A34129">
      <w:pPr>
        <w:jc w:val="both"/>
        <w:rPr>
          <w:rFonts w:ascii="Cambria" w:hAnsi="Cambria"/>
          <w:sz w:val="22"/>
        </w:rPr>
      </w:pPr>
      <w:r w:rsidRPr="00A34129">
        <w:rPr>
          <w:rFonts w:ascii="Cambria" w:hAnsi="Cambria"/>
          <w:sz w:val="22"/>
        </w:rPr>
        <w:t xml:space="preserve">4.7. Reunión de seguimiento. Se celebrará una reunión mensual de seguimiento entre el </w:t>
      </w:r>
      <w:proofErr w:type="gramStart"/>
      <w:r w:rsidRPr="00A34129">
        <w:rPr>
          <w:rFonts w:ascii="Cambria" w:hAnsi="Cambria"/>
          <w:sz w:val="22"/>
        </w:rPr>
        <w:t>Jefe</w:t>
      </w:r>
      <w:proofErr w:type="gramEnd"/>
      <w:r w:rsidRPr="00A34129">
        <w:rPr>
          <w:rFonts w:ascii="Cambria" w:hAnsi="Cambria"/>
          <w:sz w:val="22"/>
        </w:rPr>
        <w:t xml:space="preserve"> de Mantenimiento del Mantenedor y el responsable designado por el Cliente, en las instalaciones del centro, dentro de los diez (10) días siguientes a la entrega del informe mensual.</w:t>
      </w:r>
    </w:p>
    <w:p w14:paraId="18E857F5" w14:textId="77777777" w:rsidR="00A34129" w:rsidRDefault="00A34129" w:rsidP="00A34129">
      <w:pPr>
        <w:jc w:val="both"/>
        <w:rPr>
          <w:rFonts w:ascii="Cambria" w:hAnsi="Cambria"/>
          <w:sz w:val="22"/>
        </w:rPr>
      </w:pPr>
      <w:r w:rsidRPr="00A34129">
        <w:rPr>
          <w:rFonts w:ascii="Cambria" w:hAnsi="Cambria"/>
          <w:sz w:val="22"/>
        </w:rPr>
        <w:t>4.8. Medios, materiales y subcontratación. El Mantenedor aportará a su cargo herramienta, vehículos, equipos de protección individual, uniforme identificativo y consumibles dentro de los límites del Anexo III. La subcontratación de especialidades requerirá comunicación previa al Cliente; en todo caso, el Mantenedor responderá frente al Cliente por la actuación de sus subcontratistas como si fuera propia.</w:t>
      </w:r>
    </w:p>
    <w:p w14:paraId="6024DA3F" w14:textId="77E7F67F" w:rsidR="00A34129" w:rsidRPr="00A34129" w:rsidRDefault="00A34129" w:rsidP="00A34129">
      <w:pPr>
        <w:jc w:val="both"/>
        <w:rPr>
          <w:rFonts w:ascii="Cambria" w:hAnsi="Cambria"/>
          <w:sz w:val="22"/>
        </w:rPr>
      </w:pPr>
      <w:r w:rsidRPr="00A34129">
        <w:rPr>
          <w:rFonts w:ascii="Cambria" w:hAnsi="Cambria"/>
          <w:sz w:val="22"/>
        </w:rPr>
        <w:t>4.9. Cumplimiento laboral y PRL. El Mantenedor declara estar al corriente de sus obligaciones laborales, fiscales y de Seguridad Social respecto del personal adscrito al servicio, y asumirá íntegramente las obligaciones de coordinación de actividades empresariales conforme al artículo 24 de la Ley 31/1995, de Prevención de Riesgos Laborales, y al RD 171/2004.</w:t>
      </w:r>
    </w:p>
    <w:p w14:paraId="0DDC7FAE" w14:textId="77777777" w:rsidR="00A34129" w:rsidRDefault="00A34129" w:rsidP="00A34129">
      <w:pPr>
        <w:rPr>
          <w:rFonts w:ascii="Cambria" w:hAnsi="Cambria"/>
        </w:rPr>
      </w:pPr>
    </w:p>
    <w:p w14:paraId="3DF4EEDC"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QUINTA — Obligaciones del Cliente</w:t>
      </w:r>
    </w:p>
    <w:p w14:paraId="3B7E1078" w14:textId="77777777" w:rsidR="00A34129" w:rsidRDefault="00A34129" w:rsidP="00A34129">
      <w:pPr>
        <w:jc w:val="both"/>
        <w:rPr>
          <w:rFonts w:ascii="Cambria" w:hAnsi="Cambria"/>
          <w:sz w:val="22"/>
        </w:rPr>
      </w:pPr>
      <w:r w:rsidRPr="00A34129">
        <w:rPr>
          <w:rFonts w:ascii="Cambria" w:hAnsi="Cambria"/>
          <w:sz w:val="22"/>
        </w:rPr>
        <w:t xml:space="preserve">5.1. Acceso a las instalaciones. El Cliente facilitará al personal del Mantenedor el acceso a todas las dependencias técnicas del centro (salas de máquinas, centros de transformación, cubiertas, cuartos de PCI, </w:t>
      </w:r>
      <w:proofErr w:type="spellStart"/>
      <w:r w:rsidRPr="00A34129">
        <w:rPr>
          <w:rFonts w:ascii="Cambria" w:hAnsi="Cambria"/>
          <w:sz w:val="22"/>
        </w:rPr>
        <w:t>CPDs</w:t>
      </w:r>
      <w:proofErr w:type="spellEnd"/>
      <w:r w:rsidRPr="00A34129">
        <w:rPr>
          <w:rFonts w:ascii="Cambria" w:hAnsi="Cambria"/>
          <w:sz w:val="22"/>
        </w:rPr>
        <w:t xml:space="preserve"> y centro de control), así como los medios de acceso vertical y horizontal necesarios.</w:t>
      </w:r>
    </w:p>
    <w:p w14:paraId="0D9951DE" w14:textId="77777777" w:rsidR="00A34129" w:rsidRDefault="00A34129" w:rsidP="00A34129">
      <w:pPr>
        <w:jc w:val="both"/>
        <w:rPr>
          <w:rFonts w:ascii="Cambria" w:hAnsi="Cambria"/>
          <w:sz w:val="22"/>
        </w:rPr>
      </w:pPr>
      <w:r w:rsidRPr="00A34129">
        <w:rPr>
          <w:rFonts w:ascii="Cambria" w:hAnsi="Cambria"/>
          <w:sz w:val="22"/>
        </w:rPr>
        <w:t>5.2. Suministros. Serán por cuenta del Cliente los consumos de electricidad, agua y combustible necesarios para el funcionamiento de las instalaciones y la ejecución de los trabajos de mantenimiento.</w:t>
      </w:r>
    </w:p>
    <w:p w14:paraId="3CC3CE23" w14:textId="77777777" w:rsidR="00A34129" w:rsidRDefault="00A34129" w:rsidP="00A34129">
      <w:pPr>
        <w:jc w:val="both"/>
        <w:rPr>
          <w:rFonts w:ascii="Cambria" w:hAnsi="Cambria"/>
          <w:sz w:val="22"/>
        </w:rPr>
      </w:pPr>
      <w:r w:rsidRPr="00A34129">
        <w:rPr>
          <w:rFonts w:ascii="Cambria" w:hAnsi="Cambria"/>
          <w:sz w:val="22"/>
        </w:rPr>
        <w:t>5.3. Documentación técnica. El Cliente entregará al Mantenedor, al inicio del contrato, la documentación disponible relativa a las instalaciones: proyectos, planos as-</w:t>
      </w:r>
      <w:proofErr w:type="spellStart"/>
      <w:r w:rsidRPr="00A34129">
        <w:rPr>
          <w:rFonts w:ascii="Cambria" w:hAnsi="Cambria"/>
          <w:sz w:val="22"/>
        </w:rPr>
        <w:t>built</w:t>
      </w:r>
      <w:proofErr w:type="spellEnd"/>
      <w:r w:rsidRPr="00A34129">
        <w:rPr>
          <w:rFonts w:ascii="Cambria" w:hAnsi="Cambria"/>
          <w:sz w:val="22"/>
        </w:rPr>
        <w:t>, manuales, Libros de Mantenimiento históricos y certificados reglamentarios. La ausencia o deficiencia de documentación no afectará al precio del contrato, pero se dejará constancia de las limitaciones que de ello pudieran derivarse.</w:t>
      </w:r>
    </w:p>
    <w:p w14:paraId="0FF69DCD" w14:textId="77777777" w:rsidR="00A34129" w:rsidRDefault="00A34129" w:rsidP="00A34129">
      <w:pPr>
        <w:jc w:val="both"/>
        <w:rPr>
          <w:rFonts w:ascii="Cambria" w:hAnsi="Cambria"/>
          <w:sz w:val="22"/>
        </w:rPr>
      </w:pPr>
      <w:r w:rsidRPr="00A34129">
        <w:rPr>
          <w:rFonts w:ascii="Cambria" w:hAnsi="Cambria"/>
          <w:sz w:val="22"/>
        </w:rPr>
        <w:t>5.4. Interlocutor único. El Cliente designará un interlocutor único con capacidad para aprobar presupuestos extraordinarios y resolver las incidencias operativas del día a día, así como un suplente para periodos de ausencia.</w:t>
      </w:r>
    </w:p>
    <w:p w14:paraId="13DCDCCF" w14:textId="77777777" w:rsidR="00A34129" w:rsidRDefault="00A34129" w:rsidP="00A34129">
      <w:pPr>
        <w:jc w:val="both"/>
        <w:rPr>
          <w:rFonts w:ascii="Cambria" w:hAnsi="Cambria"/>
          <w:sz w:val="22"/>
        </w:rPr>
      </w:pPr>
      <w:r w:rsidRPr="00A34129">
        <w:rPr>
          <w:rFonts w:ascii="Cambria" w:hAnsi="Cambria"/>
          <w:sz w:val="22"/>
        </w:rPr>
        <w:lastRenderedPageBreak/>
        <w:t>5.5. Aprobación de trabajos extraordinarios. El Cliente se compromete a responder a los presupuestos de trabajos fuera de alcance en un plazo máximo de cinco (5) días laborables desde su recepción, salvo urgencia que requiera tramitación inmediata.</w:t>
      </w:r>
    </w:p>
    <w:p w14:paraId="5437C114" w14:textId="77777777" w:rsidR="00A34129" w:rsidRDefault="00A34129" w:rsidP="00A34129">
      <w:pPr>
        <w:jc w:val="both"/>
        <w:rPr>
          <w:rFonts w:ascii="Cambria" w:hAnsi="Cambria"/>
          <w:sz w:val="22"/>
        </w:rPr>
      </w:pPr>
      <w:r w:rsidRPr="00A34129">
        <w:rPr>
          <w:rFonts w:ascii="Cambria" w:hAnsi="Cambria"/>
          <w:sz w:val="22"/>
        </w:rPr>
        <w:t>5.6. Pago. El Cliente abonará puntualmente las facturas emitidas conforme a la cláusula 3.3.</w:t>
      </w:r>
    </w:p>
    <w:p w14:paraId="57DD7E0D" w14:textId="77777777" w:rsidR="00A34129" w:rsidRDefault="00A34129" w:rsidP="00A34129">
      <w:pPr>
        <w:jc w:val="both"/>
        <w:rPr>
          <w:rFonts w:ascii="Cambria" w:hAnsi="Cambria"/>
          <w:sz w:val="22"/>
        </w:rPr>
      </w:pPr>
      <w:r w:rsidRPr="00A34129">
        <w:rPr>
          <w:rFonts w:ascii="Cambria" w:hAnsi="Cambria"/>
          <w:sz w:val="22"/>
        </w:rPr>
        <w:t>5.7. Uso adecuado. El Cliente se abstendrá de manipular directamente las instalaciones objeto del contrato o de encomendar su manipulación a terceros no autorizados por el Mantenedor. El incumplimiento de esta obligación exonerará al Mantenedor de responsabilidad respecto de las consecuencias derivadas de tal manipulación.</w:t>
      </w:r>
    </w:p>
    <w:p w14:paraId="7893C9D4"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SEXTA — Garantías y responsabilidad civil</w:t>
      </w:r>
    </w:p>
    <w:p w14:paraId="7B515DAD" w14:textId="77777777" w:rsidR="00A34129" w:rsidRDefault="00A34129" w:rsidP="00A34129">
      <w:pPr>
        <w:jc w:val="both"/>
        <w:rPr>
          <w:rFonts w:ascii="Cambria" w:hAnsi="Cambria"/>
          <w:sz w:val="22"/>
        </w:rPr>
      </w:pPr>
      <w:r w:rsidRPr="00A34129">
        <w:rPr>
          <w:rFonts w:ascii="Cambria" w:hAnsi="Cambria"/>
          <w:sz w:val="22"/>
        </w:rPr>
        <w:t>6.1. Garantía del servicio. El Mantenedor garantiza que el servicio se prestará conforme a las reglas del arte, a la normativa técnica aplicable y a las mejores prácticas del sector. Las intervenciones correctivas llevarán una garantía de seis (6) meses sobre la mano de obra y la garantía del fabricante sobre los materiales empleados.</w:t>
      </w:r>
    </w:p>
    <w:p w14:paraId="69B68B41" w14:textId="77777777" w:rsidR="00A34129" w:rsidRDefault="00A34129" w:rsidP="00A34129">
      <w:pPr>
        <w:jc w:val="both"/>
        <w:rPr>
          <w:rFonts w:ascii="Cambria" w:hAnsi="Cambria"/>
          <w:sz w:val="22"/>
        </w:rPr>
      </w:pPr>
      <w:r w:rsidRPr="00A34129">
        <w:rPr>
          <w:rFonts w:ascii="Cambria" w:hAnsi="Cambria"/>
          <w:sz w:val="22"/>
        </w:rPr>
        <w:t>6.2. Responsabilidad. El Mantenedor responderá de los daños directos causados al Cliente o a terceros como consecuencia de su actuación dolosa, culposa o gravemente negligente en la ejecución del contrato. Quedan excluidos los daños indirectos, lucro cesante, pérdida de clientela y cualquier otro daño consecuencial, salvo supuestos de dolo.</w:t>
      </w:r>
    </w:p>
    <w:p w14:paraId="0F232B41" w14:textId="77777777" w:rsidR="00A34129" w:rsidRDefault="00A34129" w:rsidP="00A34129">
      <w:pPr>
        <w:jc w:val="both"/>
        <w:rPr>
          <w:rFonts w:ascii="Cambria" w:hAnsi="Cambria"/>
          <w:sz w:val="22"/>
        </w:rPr>
      </w:pPr>
      <w:r w:rsidRPr="00A34129">
        <w:rPr>
          <w:rFonts w:ascii="Cambria" w:hAnsi="Cambria"/>
          <w:sz w:val="22"/>
        </w:rPr>
        <w:t xml:space="preserve">6.3. Límite cuantitativo. La responsabilidad total del Mantenedor frente al Cliente por todos los conceptos, acumulada por cada anualidad del contrato, quedará limitada al importe anual facturado por el Mantenedor en el ejercicio en que se produzca el hecho generador. Esta limitación no </w:t>
      </w:r>
      <w:proofErr w:type="gramStart"/>
      <w:r w:rsidRPr="00A34129">
        <w:rPr>
          <w:rFonts w:ascii="Cambria" w:hAnsi="Cambria"/>
          <w:sz w:val="22"/>
        </w:rPr>
        <w:t>será de aplicación</w:t>
      </w:r>
      <w:proofErr w:type="gramEnd"/>
      <w:r w:rsidRPr="00A34129">
        <w:rPr>
          <w:rFonts w:ascii="Cambria" w:hAnsi="Cambria"/>
          <w:sz w:val="22"/>
        </w:rPr>
        <w:t xml:space="preserve"> en los supuestos de dolo, culpa grave, daños personales, infracción de la normativa de protección de datos, ni en aquellos otros casos en que la limitación sea contraria a normas imperativas.</w:t>
      </w:r>
    </w:p>
    <w:p w14:paraId="5839C49E" w14:textId="77777777" w:rsidR="00A34129" w:rsidRDefault="00A34129" w:rsidP="00A34129">
      <w:pPr>
        <w:jc w:val="both"/>
        <w:rPr>
          <w:rFonts w:ascii="Cambria" w:hAnsi="Cambria"/>
          <w:sz w:val="22"/>
        </w:rPr>
      </w:pPr>
      <w:r w:rsidRPr="00A34129">
        <w:rPr>
          <w:rFonts w:ascii="Cambria" w:hAnsi="Cambria"/>
          <w:sz w:val="22"/>
        </w:rPr>
        <w:t>6.4. Póliza de responsabilidad civil. El Mantenedor mantendrá vigente durante toda la duración del contrato una póliza de responsabilidad civil general, patronal, cruzada y por productos, con límite mínimo de TRES MILLONES DE EUROS (3.000.000 €) por siniestro y anualidad, y sublímite por víctima de seiscientos mil euros (600.000 €). El Mantenedor entregará al Cliente, en el plazo de quince (15) días desde la firma, copia de la póliza y del recibo de pago de la prima, así como certificado anual de vigencia.</w:t>
      </w:r>
    </w:p>
    <w:p w14:paraId="052FBC63"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SÉPTIMA — Confidencialidad y protección de datos (RGPD)</w:t>
      </w:r>
    </w:p>
    <w:p w14:paraId="52380641" w14:textId="77777777" w:rsidR="00A34129" w:rsidRDefault="00A34129" w:rsidP="00A34129">
      <w:pPr>
        <w:jc w:val="both"/>
        <w:rPr>
          <w:rFonts w:ascii="Cambria" w:hAnsi="Cambria"/>
          <w:sz w:val="22"/>
        </w:rPr>
      </w:pPr>
      <w:r w:rsidRPr="00A34129">
        <w:rPr>
          <w:rFonts w:ascii="Cambria" w:hAnsi="Cambria"/>
          <w:sz w:val="22"/>
        </w:rPr>
        <w:t>7.1. Confidencialidad. Las partes se obligan recíprocamente a mantener la más estricta confidencialidad sobre la información de la otra parte a la que tengan acceso con ocasión del contrato, incluyendo planos, procedimientos, listados de contactos, datos económicos y de explotación del centro. Esta obligación subsistirá durante la vigencia del contrato y los cinco (5) años posteriores a su extinción.</w:t>
      </w:r>
    </w:p>
    <w:p w14:paraId="18F7D0ED" w14:textId="77777777" w:rsidR="00A34129" w:rsidRDefault="00A34129" w:rsidP="00A34129">
      <w:pPr>
        <w:jc w:val="both"/>
        <w:rPr>
          <w:rFonts w:ascii="Cambria" w:hAnsi="Cambria"/>
          <w:sz w:val="22"/>
        </w:rPr>
      </w:pPr>
      <w:r w:rsidRPr="00A34129">
        <w:rPr>
          <w:rFonts w:ascii="Cambria" w:hAnsi="Cambria"/>
          <w:sz w:val="22"/>
        </w:rPr>
        <w:t>7.2. Excepciones. No se considerará información confidencial la que sea de dominio público, la que la parte receptora ya conociera previamente, la que obtenga lícitamente de terceros sin obligación de confidencialidad, ni aquella cuya divulgación venga impuesta por norma imperativa o resolución judicial o administrativa.</w:t>
      </w:r>
    </w:p>
    <w:p w14:paraId="03D81B10" w14:textId="77777777" w:rsidR="00A34129" w:rsidRDefault="00A34129" w:rsidP="00A34129">
      <w:pPr>
        <w:jc w:val="both"/>
        <w:rPr>
          <w:rFonts w:ascii="Cambria" w:hAnsi="Cambria"/>
          <w:sz w:val="22"/>
        </w:rPr>
      </w:pPr>
      <w:r w:rsidRPr="00A34129">
        <w:rPr>
          <w:rFonts w:ascii="Cambria" w:hAnsi="Cambria"/>
          <w:sz w:val="22"/>
        </w:rPr>
        <w:t xml:space="preserve">7.3. Tratamiento de datos personales. En la medida en que la ejecución del contrato conlleve el acceso por el Mantenedor a datos personales responsabilidad del Cliente (especialmente en relación con el CCTV y el control de accesos), el Mantenedor tendrá la condición de encargado </w:t>
      </w:r>
      <w:r w:rsidRPr="00A34129">
        <w:rPr>
          <w:rFonts w:ascii="Cambria" w:hAnsi="Cambria"/>
          <w:sz w:val="22"/>
        </w:rPr>
        <w:lastRenderedPageBreak/>
        <w:t>del tratamiento, y ambas partes suscribirán el correspondiente contrato de encargo del tratamiento en los términos del artículo 28 del Reglamento (UE) 2016/679 (RGPD) y del artículo 33 de la Ley Orgánica 3/2018 (LOPDGDD), que se incorporará como anexo a este contrato.</w:t>
      </w:r>
    </w:p>
    <w:p w14:paraId="57F86461" w14:textId="77777777" w:rsidR="00A34129" w:rsidRDefault="00A34129" w:rsidP="00A34129">
      <w:pPr>
        <w:jc w:val="both"/>
        <w:rPr>
          <w:rFonts w:ascii="Cambria" w:hAnsi="Cambria"/>
          <w:sz w:val="22"/>
        </w:rPr>
      </w:pPr>
      <w:r w:rsidRPr="00A34129">
        <w:rPr>
          <w:rFonts w:ascii="Cambria" w:hAnsi="Cambria"/>
          <w:sz w:val="22"/>
        </w:rPr>
        <w:t>7.4. Medidas de seguridad. El Mantenedor implantará las medidas técnicas y organizativas apropiadas para garantizar un nivel de seguridad adecuado al riesgo, conforme al artículo 32 del RGPD, y formará a su personal en materia de protección de datos y deber de secreto.</w:t>
      </w:r>
    </w:p>
    <w:p w14:paraId="7FF9F3EE" w14:textId="77777777" w:rsidR="00A34129" w:rsidRDefault="00A34129" w:rsidP="00A34129">
      <w:pPr>
        <w:jc w:val="both"/>
        <w:rPr>
          <w:rFonts w:ascii="Cambria" w:hAnsi="Cambria"/>
          <w:sz w:val="22"/>
        </w:rPr>
      </w:pPr>
      <w:r w:rsidRPr="00A34129">
        <w:rPr>
          <w:rFonts w:ascii="Cambria" w:hAnsi="Cambria"/>
          <w:sz w:val="22"/>
        </w:rPr>
        <w:t xml:space="preserve">7.5. </w:t>
      </w:r>
      <w:proofErr w:type="spellStart"/>
      <w:r w:rsidRPr="00A34129">
        <w:rPr>
          <w:rFonts w:ascii="Cambria" w:hAnsi="Cambria"/>
          <w:sz w:val="22"/>
        </w:rPr>
        <w:t>Subencargados</w:t>
      </w:r>
      <w:proofErr w:type="spellEnd"/>
      <w:r w:rsidRPr="00A34129">
        <w:rPr>
          <w:rFonts w:ascii="Cambria" w:hAnsi="Cambria"/>
          <w:sz w:val="22"/>
        </w:rPr>
        <w:t xml:space="preserve">. El Mantenedor no recurrirá a </w:t>
      </w:r>
      <w:proofErr w:type="spellStart"/>
      <w:r w:rsidRPr="00A34129">
        <w:rPr>
          <w:rFonts w:ascii="Cambria" w:hAnsi="Cambria"/>
          <w:sz w:val="22"/>
        </w:rPr>
        <w:t>subencargados</w:t>
      </w:r>
      <w:proofErr w:type="spellEnd"/>
      <w:r w:rsidRPr="00A34129">
        <w:rPr>
          <w:rFonts w:ascii="Cambria" w:hAnsi="Cambria"/>
          <w:sz w:val="22"/>
        </w:rPr>
        <w:t xml:space="preserve"> del tratamiento sin autorización previa por escrito del Cliente. La autorización general para subcontratar servicios de mantenimiento de especialidad no comprende la autorización para tratar datos personales.</w:t>
      </w:r>
    </w:p>
    <w:p w14:paraId="65B4DBFE" w14:textId="4DE5B267" w:rsidR="00A34129" w:rsidRPr="00A34129" w:rsidRDefault="00A34129" w:rsidP="00A34129">
      <w:pPr>
        <w:jc w:val="both"/>
        <w:rPr>
          <w:rFonts w:ascii="Cambria" w:hAnsi="Cambria"/>
          <w:sz w:val="22"/>
        </w:rPr>
      </w:pPr>
      <w:r w:rsidRPr="00A34129">
        <w:rPr>
          <w:rFonts w:ascii="Cambria" w:hAnsi="Cambria"/>
          <w:sz w:val="22"/>
        </w:rPr>
        <w:t>7.6. Brechas de seguridad. El Mantenedor notificará al Cliente cualquier brecha de seguridad que afecte a datos personales en un plazo máximo de veinticuatro (24) horas desde que tenga conocimiento, aportando toda la información necesaria para que el Cliente cumpla con su obligación de notificación a la autoridad de control.</w:t>
      </w:r>
    </w:p>
    <w:p w14:paraId="0E276279" w14:textId="77777777" w:rsidR="00A34129" w:rsidRDefault="00A34129" w:rsidP="00A34129">
      <w:pPr>
        <w:rPr>
          <w:rFonts w:ascii="Cambria" w:hAnsi="Cambria"/>
        </w:rPr>
      </w:pPr>
    </w:p>
    <w:p w14:paraId="2B9B6F63"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OCTAVA — Penalizaciones por incumplimiento de SLA</w:t>
      </w:r>
    </w:p>
    <w:p w14:paraId="1FA17169" w14:textId="77777777" w:rsidR="00A34129" w:rsidRDefault="00A34129" w:rsidP="00A34129">
      <w:pPr>
        <w:jc w:val="both"/>
        <w:rPr>
          <w:rFonts w:ascii="Cambria" w:hAnsi="Cambria"/>
          <w:sz w:val="22"/>
        </w:rPr>
      </w:pPr>
      <w:r w:rsidRPr="00A34129">
        <w:rPr>
          <w:rFonts w:ascii="Cambria" w:hAnsi="Cambria"/>
          <w:sz w:val="22"/>
        </w:rPr>
        <w:t>8.1. Cómputo. El cumplimiento de los SLA de la cláusula 4.4 se medirá mensualmente, sobre el universo de avisos cerrados en el mes, por cada nivel de criticidad y por cada indicador (respuesta, presencia en sitio y resolución). Se considerará cumplimiento la ejecución dentro del tiempo pactado; se considerará incumplimiento la ejecución fuera de plazo o la no ejecución, salvo causa imputable al Cliente o fuerza mayor debidamente acreditada.</w:t>
      </w:r>
    </w:p>
    <w:p w14:paraId="37BE41AA" w14:textId="77777777" w:rsidR="00A34129" w:rsidRDefault="00A34129" w:rsidP="00A34129">
      <w:pPr>
        <w:jc w:val="both"/>
        <w:rPr>
          <w:rFonts w:ascii="Cambria" w:hAnsi="Cambria"/>
          <w:sz w:val="22"/>
        </w:rPr>
      </w:pPr>
      <w:r w:rsidRPr="00A34129">
        <w:rPr>
          <w:rFonts w:ascii="Cambria" w:hAnsi="Cambria"/>
          <w:sz w:val="22"/>
        </w:rPr>
        <w:t>8.2. Penalizaciones por aviso. Cada aviso incumplido generará una penalización fija según su criticidad, con independencia del tipo de indicador incumplido:</w:t>
      </w:r>
    </w:p>
    <w:p w14:paraId="5EC051A2" w14:textId="77777777" w:rsidR="00A34129" w:rsidRDefault="00A34129" w:rsidP="00A34129">
      <w:pPr>
        <w:jc w:val="both"/>
        <w:rPr>
          <w:rFonts w:ascii="Cambria" w:hAnsi="Cambria"/>
          <w:sz w:val="22"/>
        </w:rPr>
      </w:pPr>
      <w:r w:rsidRPr="00A34129">
        <w:rPr>
          <w:rFonts w:ascii="Cambria" w:hAnsi="Cambria"/>
          <w:sz w:val="22"/>
        </w:rPr>
        <w:t>(a) Crítica: 1.000 € por aviso.</w:t>
      </w:r>
    </w:p>
    <w:p w14:paraId="775D3B00" w14:textId="77777777" w:rsidR="00A34129" w:rsidRDefault="00A34129" w:rsidP="00A34129">
      <w:pPr>
        <w:jc w:val="both"/>
        <w:rPr>
          <w:rFonts w:ascii="Cambria" w:hAnsi="Cambria"/>
          <w:sz w:val="22"/>
        </w:rPr>
      </w:pPr>
      <w:r w:rsidRPr="00A34129">
        <w:rPr>
          <w:rFonts w:ascii="Cambria" w:hAnsi="Cambria"/>
          <w:sz w:val="22"/>
        </w:rPr>
        <w:t>(b) Alta: 500 € por aviso.</w:t>
      </w:r>
    </w:p>
    <w:p w14:paraId="5E05E96F" w14:textId="77777777" w:rsidR="00A34129" w:rsidRDefault="00A34129" w:rsidP="00A34129">
      <w:pPr>
        <w:jc w:val="both"/>
        <w:rPr>
          <w:rFonts w:ascii="Cambria" w:hAnsi="Cambria"/>
          <w:sz w:val="22"/>
        </w:rPr>
      </w:pPr>
      <w:r w:rsidRPr="00A34129">
        <w:rPr>
          <w:rFonts w:ascii="Cambria" w:hAnsi="Cambria"/>
          <w:sz w:val="22"/>
        </w:rPr>
        <w:t>(c) Media: 150 € por aviso.</w:t>
      </w:r>
    </w:p>
    <w:p w14:paraId="761A6076" w14:textId="77777777" w:rsidR="00A34129" w:rsidRDefault="00A34129" w:rsidP="00A34129">
      <w:pPr>
        <w:jc w:val="both"/>
        <w:rPr>
          <w:rFonts w:ascii="Cambria" w:hAnsi="Cambria"/>
          <w:sz w:val="22"/>
        </w:rPr>
      </w:pPr>
      <w:r w:rsidRPr="00A34129">
        <w:rPr>
          <w:rFonts w:ascii="Cambria" w:hAnsi="Cambria"/>
          <w:sz w:val="22"/>
        </w:rPr>
        <w:t>(d) Baja: 50 € por aviso.</w:t>
      </w:r>
    </w:p>
    <w:p w14:paraId="549C6920" w14:textId="77777777" w:rsidR="00A34129" w:rsidRDefault="00A34129" w:rsidP="00A34129">
      <w:pPr>
        <w:jc w:val="both"/>
        <w:rPr>
          <w:rFonts w:ascii="Cambria" w:hAnsi="Cambria"/>
          <w:sz w:val="22"/>
        </w:rPr>
      </w:pPr>
      <w:r w:rsidRPr="00A34129">
        <w:rPr>
          <w:rFonts w:ascii="Cambria" w:hAnsi="Cambria"/>
          <w:sz w:val="22"/>
        </w:rPr>
        <w:t xml:space="preserve">8.3. Penalización por incumplimiento sostenido. Adicionalmente, si en un mismo mes natural </w:t>
      </w:r>
      <w:proofErr w:type="gramStart"/>
      <w:r w:rsidRPr="00A34129">
        <w:rPr>
          <w:rFonts w:ascii="Cambria" w:hAnsi="Cambria"/>
          <w:sz w:val="22"/>
        </w:rPr>
        <w:t>el ratio</w:t>
      </w:r>
      <w:proofErr w:type="gramEnd"/>
      <w:r w:rsidRPr="00A34129">
        <w:rPr>
          <w:rFonts w:ascii="Cambria" w:hAnsi="Cambria"/>
          <w:sz w:val="22"/>
        </w:rPr>
        <w:t xml:space="preserve"> de cumplimiento global de SLA es inferior al 90%, el Mantenedor aplicará un descuento del 5% sobre la cuota mensual. Si dicho ratio es inferior al 80%, el descuento será del 10%. Si es inferior al 70%, del 20%.</w:t>
      </w:r>
    </w:p>
    <w:p w14:paraId="37AC86C4" w14:textId="77777777" w:rsidR="00A34129" w:rsidRDefault="00A34129" w:rsidP="00A34129">
      <w:pPr>
        <w:jc w:val="both"/>
        <w:rPr>
          <w:rFonts w:ascii="Cambria" w:hAnsi="Cambria"/>
          <w:sz w:val="22"/>
        </w:rPr>
      </w:pPr>
      <w:r w:rsidRPr="00A34129">
        <w:rPr>
          <w:rFonts w:ascii="Cambria" w:hAnsi="Cambria"/>
          <w:sz w:val="22"/>
        </w:rPr>
        <w:t>8.4. Tope mensual. Las penalizaciones acumuladas en un mes natural por los conceptos de las cláusulas 8.2 y 8.3 no excederán del 30% de la cuota mensual correspondiente.</w:t>
      </w:r>
    </w:p>
    <w:p w14:paraId="36C4E19F" w14:textId="77777777" w:rsidR="00A34129" w:rsidRDefault="00A34129" w:rsidP="00A34129">
      <w:pPr>
        <w:jc w:val="both"/>
        <w:rPr>
          <w:rFonts w:ascii="Cambria" w:hAnsi="Cambria"/>
          <w:sz w:val="22"/>
        </w:rPr>
      </w:pPr>
      <w:r w:rsidRPr="00A34129">
        <w:rPr>
          <w:rFonts w:ascii="Cambria" w:hAnsi="Cambria"/>
          <w:sz w:val="22"/>
        </w:rPr>
        <w:t>8.5. Procedimiento. Las penalizaciones se reflejarán como descuento en la factura del mes siguiente a aquel en que se produzca el incumplimiento, tras contraste en la reunión mensual de seguimiento. Las discrepancias se resolverán conforme a la cláusula DÉCIMA.</w:t>
      </w:r>
    </w:p>
    <w:p w14:paraId="76CBAACD" w14:textId="77777777" w:rsidR="00A34129" w:rsidRDefault="00A34129" w:rsidP="00A34129">
      <w:pPr>
        <w:jc w:val="both"/>
        <w:rPr>
          <w:rFonts w:ascii="Cambria" w:hAnsi="Cambria"/>
          <w:sz w:val="22"/>
        </w:rPr>
      </w:pPr>
      <w:r w:rsidRPr="00A34129">
        <w:rPr>
          <w:rFonts w:ascii="Cambria" w:hAnsi="Cambria"/>
          <w:sz w:val="22"/>
        </w:rPr>
        <w:t>8.6. Compatibilidad. Las penalizaciones de esta cláusula son compatibles con la indemnización de los daños y perjuicios efectivamente causados que excedan de su importe, así como con la facultad de resolución prevista en la cláusula NOVENA.</w:t>
      </w:r>
    </w:p>
    <w:p w14:paraId="471EF7AE"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lastRenderedPageBreak/>
        <w:t>NOVENA — Causas de resolución</w:t>
      </w:r>
    </w:p>
    <w:p w14:paraId="555164EB" w14:textId="77777777" w:rsidR="00A34129" w:rsidRDefault="00A34129" w:rsidP="00A34129">
      <w:pPr>
        <w:jc w:val="both"/>
        <w:rPr>
          <w:rFonts w:ascii="Cambria" w:hAnsi="Cambria"/>
          <w:sz w:val="22"/>
        </w:rPr>
      </w:pPr>
      <w:r w:rsidRPr="00A34129">
        <w:rPr>
          <w:rFonts w:ascii="Cambria" w:hAnsi="Cambria"/>
          <w:sz w:val="22"/>
        </w:rPr>
        <w:t>9.1. Causas. Serán causas de resolución del presente contrato, sin perjuicio de las generales del ordenamiento jurídico:</w:t>
      </w:r>
    </w:p>
    <w:p w14:paraId="6282D572" w14:textId="77777777" w:rsidR="00A34129" w:rsidRDefault="00A34129" w:rsidP="00A34129">
      <w:pPr>
        <w:jc w:val="both"/>
        <w:rPr>
          <w:rFonts w:ascii="Cambria" w:hAnsi="Cambria"/>
          <w:sz w:val="22"/>
        </w:rPr>
      </w:pPr>
      <w:r w:rsidRPr="00A34129">
        <w:rPr>
          <w:rFonts w:ascii="Cambria" w:hAnsi="Cambria"/>
          <w:sz w:val="22"/>
        </w:rPr>
        <w:t>(a) El mutuo acuerdo de las partes, documentado por escrito.</w:t>
      </w:r>
    </w:p>
    <w:p w14:paraId="27F22FBC" w14:textId="77777777" w:rsidR="00A34129" w:rsidRDefault="00A34129" w:rsidP="00A34129">
      <w:pPr>
        <w:jc w:val="both"/>
        <w:rPr>
          <w:rFonts w:ascii="Cambria" w:hAnsi="Cambria"/>
          <w:sz w:val="22"/>
        </w:rPr>
      </w:pPr>
      <w:r w:rsidRPr="00A34129">
        <w:rPr>
          <w:rFonts w:ascii="Cambria" w:hAnsi="Cambria"/>
          <w:sz w:val="22"/>
        </w:rPr>
        <w:t>(b) El incumplimiento grave o reiterado por cualquiera de las partes de las obligaciones esenciales asumidas en este contrato, previa intimación escrita concediendo un plazo de quince (15) días para subsanar y no habiéndose producido la subsanación.</w:t>
      </w:r>
    </w:p>
    <w:p w14:paraId="4F9BD95F" w14:textId="77777777" w:rsidR="00A34129" w:rsidRDefault="00A34129" w:rsidP="00A34129">
      <w:pPr>
        <w:jc w:val="both"/>
        <w:rPr>
          <w:rFonts w:ascii="Cambria" w:hAnsi="Cambria"/>
          <w:sz w:val="22"/>
        </w:rPr>
      </w:pPr>
      <w:r w:rsidRPr="00A34129">
        <w:rPr>
          <w:rFonts w:ascii="Cambria" w:hAnsi="Cambria"/>
          <w:sz w:val="22"/>
        </w:rPr>
        <w:t>(c) El impago por el Cliente de dos (2) mensualidades consecutivas o de tres (3) alternas, previa intimación escrita concediendo un plazo de quince (15) días.</w:t>
      </w:r>
    </w:p>
    <w:p w14:paraId="55114890" w14:textId="77777777" w:rsidR="00A34129" w:rsidRDefault="00A34129" w:rsidP="00A34129">
      <w:pPr>
        <w:jc w:val="both"/>
        <w:rPr>
          <w:rFonts w:ascii="Cambria" w:hAnsi="Cambria"/>
          <w:sz w:val="22"/>
        </w:rPr>
      </w:pPr>
      <w:r w:rsidRPr="00A34129">
        <w:rPr>
          <w:rFonts w:ascii="Cambria" w:hAnsi="Cambria"/>
          <w:sz w:val="22"/>
        </w:rPr>
        <w:t xml:space="preserve">(d) Que </w:t>
      </w:r>
      <w:proofErr w:type="gramStart"/>
      <w:r w:rsidRPr="00A34129">
        <w:rPr>
          <w:rFonts w:ascii="Cambria" w:hAnsi="Cambria"/>
          <w:sz w:val="22"/>
        </w:rPr>
        <w:t>el ratio mensual</w:t>
      </w:r>
      <w:proofErr w:type="gramEnd"/>
      <w:r w:rsidRPr="00A34129">
        <w:rPr>
          <w:rFonts w:ascii="Cambria" w:hAnsi="Cambria"/>
          <w:sz w:val="22"/>
        </w:rPr>
        <w:t xml:space="preserve"> de cumplimiento de SLA sea inferior al 70% durante tres (3) meses consecutivos o cinco (5) alternos dentro de un mismo periodo de doce (12) meses.</w:t>
      </w:r>
    </w:p>
    <w:p w14:paraId="5AE39981" w14:textId="77777777" w:rsidR="00A34129" w:rsidRDefault="00A34129" w:rsidP="00A34129">
      <w:pPr>
        <w:jc w:val="both"/>
        <w:rPr>
          <w:rFonts w:ascii="Cambria" w:hAnsi="Cambria"/>
          <w:sz w:val="22"/>
        </w:rPr>
      </w:pPr>
      <w:r w:rsidRPr="00A34129">
        <w:rPr>
          <w:rFonts w:ascii="Cambria" w:hAnsi="Cambria"/>
          <w:sz w:val="22"/>
        </w:rPr>
        <w:t>(e) La pérdida por el Mantenedor de las habilitaciones administrativas necesarias para prestar el servicio, o la cancelación de la póliza de responsabilidad civil sin reemplazo inmediato.</w:t>
      </w:r>
    </w:p>
    <w:p w14:paraId="4BA63D2C" w14:textId="77777777" w:rsidR="00A34129" w:rsidRDefault="00A34129" w:rsidP="00A34129">
      <w:pPr>
        <w:jc w:val="both"/>
        <w:rPr>
          <w:rFonts w:ascii="Cambria" w:hAnsi="Cambria"/>
          <w:sz w:val="22"/>
        </w:rPr>
      </w:pPr>
      <w:r w:rsidRPr="00A34129">
        <w:rPr>
          <w:rFonts w:ascii="Cambria" w:hAnsi="Cambria"/>
          <w:sz w:val="22"/>
        </w:rPr>
        <w:t>(f) La declaración de concurso de acreedores de cualquiera de las partes cuando afecte a la solvencia o a la capacidad de cumplir el contrato, en los términos del Texto Refundido de la Ley Concursal.</w:t>
      </w:r>
    </w:p>
    <w:p w14:paraId="457065ED" w14:textId="77777777" w:rsidR="00A34129" w:rsidRDefault="00A34129" w:rsidP="00A34129">
      <w:pPr>
        <w:jc w:val="both"/>
        <w:rPr>
          <w:rFonts w:ascii="Cambria" w:hAnsi="Cambria"/>
          <w:sz w:val="22"/>
        </w:rPr>
      </w:pPr>
      <w:r w:rsidRPr="00A34129">
        <w:rPr>
          <w:rFonts w:ascii="Cambria" w:hAnsi="Cambria"/>
          <w:sz w:val="22"/>
        </w:rPr>
        <w:t>(g) La fuerza mayor prolongada por más de sesenta (60) días consecutivos que impida la prestación sustancial del servicio.</w:t>
      </w:r>
    </w:p>
    <w:p w14:paraId="4AA457EB" w14:textId="77777777" w:rsidR="00A34129" w:rsidRDefault="00A34129" w:rsidP="00A34129">
      <w:pPr>
        <w:jc w:val="both"/>
        <w:rPr>
          <w:rFonts w:ascii="Cambria" w:hAnsi="Cambria"/>
          <w:sz w:val="22"/>
        </w:rPr>
      </w:pPr>
      <w:r w:rsidRPr="00A34129">
        <w:rPr>
          <w:rFonts w:ascii="Cambria" w:hAnsi="Cambria"/>
          <w:sz w:val="22"/>
        </w:rPr>
        <w:t>9.2. Efectos. Resuelto el contrato, el Mantenedor liquidará los servicios efectivamente prestados hasta la fecha de efectos y cumplirá las obligaciones de entrega y transición de la cláusula 2.4. La resolución por incumplimiento imputable al Mantenedor no generará derecho a indemnización alguna a su favor y facultará al Cliente a reclamar los daños y perjuicios causados.</w:t>
      </w:r>
    </w:p>
    <w:p w14:paraId="7EFC2790"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DÉCIMA — Jurisdicción y ley aplicable</w:t>
      </w:r>
    </w:p>
    <w:p w14:paraId="676B4BEA" w14:textId="77777777" w:rsidR="00A34129" w:rsidRDefault="00A34129" w:rsidP="00A34129">
      <w:pPr>
        <w:jc w:val="both"/>
        <w:rPr>
          <w:rFonts w:ascii="Cambria" w:hAnsi="Cambria"/>
          <w:sz w:val="22"/>
        </w:rPr>
      </w:pPr>
      <w:r w:rsidRPr="00A34129">
        <w:rPr>
          <w:rFonts w:ascii="Cambria" w:hAnsi="Cambria"/>
          <w:sz w:val="22"/>
        </w:rPr>
        <w:t>10.1. Ley aplicable. El presente contrato se rige por la legislación española común y por la normativa técnica sectorial aplicable a cada una de las especialidades objeto del servicio.</w:t>
      </w:r>
    </w:p>
    <w:p w14:paraId="4AF5A0D0" w14:textId="77777777" w:rsidR="00A34129" w:rsidRDefault="00A34129" w:rsidP="00A34129">
      <w:pPr>
        <w:jc w:val="both"/>
        <w:rPr>
          <w:rFonts w:ascii="Cambria" w:hAnsi="Cambria"/>
          <w:sz w:val="22"/>
        </w:rPr>
      </w:pPr>
      <w:r w:rsidRPr="00A34129">
        <w:rPr>
          <w:rFonts w:ascii="Cambria" w:hAnsi="Cambria"/>
          <w:sz w:val="22"/>
        </w:rPr>
        <w:t>10.2. Negociación previa. Las partes se comprometen a intentar resolver amistosamente, en un plazo máximo de treinta (30) días desde la primera comunicación escrita, cualquier controversia derivada de la interpretación o ejecución de este contrato, mediante reunión entre interlocutores con poder de decisión.</w:t>
      </w:r>
    </w:p>
    <w:p w14:paraId="0263FECA" w14:textId="03F78D55" w:rsidR="00A34129" w:rsidRPr="00A34129" w:rsidRDefault="00A34129" w:rsidP="00A34129">
      <w:pPr>
        <w:jc w:val="both"/>
        <w:rPr>
          <w:rFonts w:ascii="Cambria" w:hAnsi="Cambria"/>
          <w:sz w:val="22"/>
        </w:rPr>
      </w:pPr>
      <w:r w:rsidRPr="00A34129">
        <w:rPr>
          <w:rFonts w:ascii="Cambria" w:hAnsi="Cambria"/>
          <w:sz w:val="22"/>
        </w:rPr>
        <w:t>10.3. Jurisdicción. Transcurrido infructuosamente el plazo anterior, las partes, con renuncia expresa a cualquier otro fuero que pudiera corresponderles, se someten a la jurisdicción exclusiva de los Juzgados y Tribunales de Barcelona capital para la resolución de cuantas cuestiones se deriven del presente contrato.</w:t>
      </w:r>
    </w:p>
    <w:p w14:paraId="2478C6EB" w14:textId="77777777" w:rsidR="00A34129" w:rsidRDefault="00A34129" w:rsidP="00A34129">
      <w:pPr>
        <w:rPr>
          <w:rFonts w:ascii="Cambria" w:hAnsi="Cambria"/>
        </w:rPr>
      </w:pPr>
    </w:p>
    <w:p w14:paraId="65B3B9B3" w14:textId="77777777" w:rsidR="00A34129" w:rsidRPr="00A34129" w:rsidRDefault="00A34129" w:rsidP="00A34129">
      <w:pPr>
        <w:spacing w:before="360" w:after="240"/>
        <w:jc w:val="center"/>
        <w:rPr>
          <w:rFonts w:ascii="Cambria" w:hAnsi="Cambria"/>
          <w:b/>
          <w:color w:val="000000"/>
          <w:sz w:val="28"/>
        </w:rPr>
      </w:pPr>
      <w:r w:rsidRPr="00A34129">
        <w:rPr>
          <w:rFonts w:ascii="Cambria" w:hAnsi="Cambria"/>
          <w:b/>
          <w:color w:val="000000"/>
          <w:sz w:val="28"/>
        </w:rPr>
        <w:t>UNDÉCIMA — Anexos</w:t>
      </w:r>
    </w:p>
    <w:p w14:paraId="5E93A855" w14:textId="77777777" w:rsidR="00A34129" w:rsidRDefault="00A34129" w:rsidP="00A34129">
      <w:pPr>
        <w:jc w:val="both"/>
        <w:rPr>
          <w:rFonts w:ascii="Cambria" w:hAnsi="Cambria"/>
          <w:sz w:val="22"/>
        </w:rPr>
      </w:pPr>
      <w:r w:rsidRPr="00A34129">
        <w:rPr>
          <w:rFonts w:ascii="Cambria" w:hAnsi="Cambria"/>
          <w:sz w:val="22"/>
        </w:rPr>
        <w:t>11.1. Forman parte integrante de este contrato, y se consideran suscritos por las partes junto con el cuerpo principal, los siguientes anexos:</w:t>
      </w:r>
    </w:p>
    <w:p w14:paraId="7AF9E502" w14:textId="77777777" w:rsidR="00A34129" w:rsidRDefault="00A34129" w:rsidP="00A34129">
      <w:pPr>
        <w:jc w:val="both"/>
        <w:rPr>
          <w:rFonts w:ascii="Cambria" w:hAnsi="Cambria"/>
          <w:sz w:val="22"/>
        </w:rPr>
      </w:pPr>
      <w:r w:rsidRPr="00A34129">
        <w:rPr>
          <w:rFonts w:ascii="Cambria" w:hAnsi="Cambria"/>
          <w:sz w:val="22"/>
        </w:rPr>
        <w:lastRenderedPageBreak/>
        <w:t>Anexo I — Inventario de instalaciones.</w:t>
      </w:r>
    </w:p>
    <w:p w14:paraId="322515F9" w14:textId="77777777" w:rsidR="00A34129" w:rsidRDefault="00A34129" w:rsidP="00A34129">
      <w:pPr>
        <w:jc w:val="both"/>
        <w:rPr>
          <w:rFonts w:ascii="Cambria" w:hAnsi="Cambria"/>
          <w:sz w:val="22"/>
        </w:rPr>
      </w:pPr>
      <w:r w:rsidRPr="00A34129">
        <w:rPr>
          <w:rFonts w:ascii="Cambria" w:hAnsi="Cambria"/>
          <w:sz w:val="22"/>
        </w:rPr>
        <w:t>Anexo II — Plan preventivo anual.</w:t>
      </w:r>
    </w:p>
    <w:p w14:paraId="3210B2AA" w14:textId="77777777" w:rsidR="00A34129" w:rsidRDefault="00A34129" w:rsidP="00A34129">
      <w:pPr>
        <w:jc w:val="both"/>
        <w:rPr>
          <w:rFonts w:ascii="Cambria" w:hAnsi="Cambria"/>
          <w:sz w:val="22"/>
        </w:rPr>
      </w:pPr>
      <w:r w:rsidRPr="00A34129">
        <w:rPr>
          <w:rFonts w:ascii="Cambria" w:hAnsi="Cambria"/>
          <w:sz w:val="22"/>
        </w:rPr>
        <w:t>Anexo III — Tarifa de materiales y precios unitarios.</w:t>
      </w:r>
    </w:p>
    <w:p w14:paraId="3A232991" w14:textId="77777777" w:rsidR="00A34129" w:rsidRDefault="00A34129" w:rsidP="00A34129">
      <w:pPr>
        <w:jc w:val="both"/>
        <w:rPr>
          <w:rFonts w:ascii="Cambria" w:hAnsi="Cambria"/>
          <w:sz w:val="22"/>
        </w:rPr>
      </w:pPr>
      <w:r w:rsidRPr="00A34129">
        <w:rPr>
          <w:rFonts w:ascii="Cambria" w:hAnsi="Cambria"/>
          <w:sz w:val="22"/>
        </w:rPr>
        <w:t>Anexo IV — Listado de contactos 24/7.</w:t>
      </w:r>
    </w:p>
    <w:p w14:paraId="5248215C" w14:textId="77777777" w:rsidR="00A34129" w:rsidRDefault="00A34129" w:rsidP="00A34129">
      <w:pPr>
        <w:jc w:val="both"/>
        <w:rPr>
          <w:rFonts w:ascii="Cambria" w:hAnsi="Cambria"/>
          <w:sz w:val="22"/>
        </w:rPr>
      </w:pPr>
      <w:r w:rsidRPr="00A34129">
        <w:rPr>
          <w:rFonts w:ascii="Cambria" w:hAnsi="Cambria"/>
          <w:sz w:val="22"/>
        </w:rPr>
        <w:t>Anexo V — Contrato de encargo del tratamiento (artículo 28 RGPD).</w:t>
      </w:r>
    </w:p>
    <w:p w14:paraId="15488CCA" w14:textId="4AF5C9B6" w:rsidR="00A34129" w:rsidRPr="00A34129" w:rsidRDefault="00A34129" w:rsidP="00A34129">
      <w:pPr>
        <w:jc w:val="both"/>
        <w:rPr>
          <w:rFonts w:ascii="Cambria" w:hAnsi="Cambria"/>
          <w:sz w:val="22"/>
        </w:rPr>
      </w:pPr>
      <w:r w:rsidRPr="00A34129">
        <w:rPr>
          <w:rFonts w:ascii="Cambria" w:hAnsi="Cambria"/>
          <w:sz w:val="22"/>
        </w:rPr>
        <w:t>11.2. En caso de contradicción entre el cuerpo principal del contrato y cualquiera de los anexos, prevalecerá lo dispuesto en el cuerpo principal, salvo que el anexo sea posterior y así se haga constar expresamente.</w:t>
      </w:r>
    </w:p>
    <w:p w14:paraId="45A38C50" w14:textId="77777777" w:rsidR="00A34129" w:rsidRDefault="00A34129" w:rsidP="00A34129">
      <w:pPr>
        <w:rPr>
          <w:rFonts w:ascii="Cambria" w:hAnsi="Cambria"/>
        </w:rPr>
      </w:pPr>
    </w:p>
    <w:p w14:paraId="01D26433" w14:textId="77777777" w:rsidR="00A34129" w:rsidRDefault="00A34129" w:rsidP="00A34129">
      <w:pPr>
        <w:jc w:val="both"/>
        <w:rPr>
          <w:rFonts w:ascii="Cambria" w:hAnsi="Cambria"/>
          <w:sz w:val="22"/>
        </w:rPr>
      </w:pPr>
      <w:r w:rsidRPr="00A34129">
        <w:rPr>
          <w:rFonts w:ascii="Cambria" w:hAnsi="Cambria"/>
          <w:sz w:val="22"/>
        </w:rPr>
        <w:t>Y en prueba de conformidad, las partes firman el presente contrato por duplicado y a un solo efecto, en el lugar y fecha indicados en la portada.</w:t>
      </w:r>
    </w:p>
    <w:p w14:paraId="535A817D" w14:textId="77777777" w:rsidR="00A34129" w:rsidRDefault="00A34129" w:rsidP="00A34129">
      <w:pPr>
        <w:jc w:val="both"/>
        <w:rPr>
          <w:rFonts w:ascii="Cambria" w:hAnsi="Cambria"/>
          <w:sz w:val="22"/>
        </w:rPr>
      </w:pPr>
    </w:p>
    <w:p w14:paraId="4C0236AE" w14:textId="77777777" w:rsidR="00A34129" w:rsidRDefault="00A34129" w:rsidP="00A34129">
      <w:pPr>
        <w:jc w:val="both"/>
        <w:rPr>
          <w:rFonts w:ascii="Cambria" w:hAnsi="Cambria"/>
          <w:sz w:val="22"/>
        </w:rPr>
      </w:pPr>
    </w:p>
    <w:p w14:paraId="5BC70331" w14:textId="77777777" w:rsidR="00A34129" w:rsidRDefault="00A34129" w:rsidP="00A34129">
      <w:pPr>
        <w:rPr>
          <w:rFonts w:ascii="Cambria" w:hAnsi="Cambria"/>
          <w:b/>
          <w:sz w:val="22"/>
        </w:rPr>
      </w:pPr>
      <w:r w:rsidRPr="00A34129">
        <w:rPr>
          <w:rFonts w:ascii="Cambria" w:hAnsi="Cambria"/>
          <w:b/>
          <w:sz w:val="22"/>
        </w:rPr>
        <w:t>Por el Mantenedor                                                                   Por el Cliente</w:t>
      </w:r>
    </w:p>
    <w:p w14:paraId="2B9B1D58" w14:textId="77777777" w:rsidR="00A34129" w:rsidRDefault="00A34129" w:rsidP="00A34129">
      <w:pPr>
        <w:rPr>
          <w:rFonts w:ascii="Cambria" w:hAnsi="Cambria"/>
          <w:b/>
          <w:sz w:val="22"/>
        </w:rPr>
      </w:pPr>
    </w:p>
    <w:p w14:paraId="33E22F9E" w14:textId="77777777" w:rsidR="00A34129" w:rsidRDefault="00A34129" w:rsidP="00A34129">
      <w:pPr>
        <w:rPr>
          <w:rFonts w:ascii="Cambria" w:hAnsi="Cambria"/>
          <w:b/>
          <w:sz w:val="22"/>
        </w:rPr>
      </w:pPr>
    </w:p>
    <w:p w14:paraId="4E2E8AA1" w14:textId="77777777" w:rsidR="00A34129" w:rsidRDefault="00A34129" w:rsidP="00A34129">
      <w:pPr>
        <w:rPr>
          <w:rFonts w:ascii="Cambria" w:hAnsi="Cambria"/>
          <w:b/>
          <w:sz w:val="22"/>
        </w:rPr>
      </w:pPr>
    </w:p>
    <w:p w14:paraId="1FA41828" w14:textId="77777777" w:rsidR="00A34129" w:rsidRDefault="00A34129" w:rsidP="00A34129">
      <w:pPr>
        <w:rPr>
          <w:rFonts w:ascii="Cambria" w:hAnsi="Cambria"/>
          <w:sz w:val="22"/>
        </w:rPr>
      </w:pPr>
      <w:r w:rsidRPr="00A34129">
        <w:rPr>
          <w:rFonts w:ascii="Cambria" w:hAnsi="Cambria"/>
          <w:sz w:val="22"/>
        </w:rPr>
        <w:t>_______________________________                        _______________________________</w:t>
      </w:r>
    </w:p>
    <w:p w14:paraId="516D5C0A" w14:textId="77777777" w:rsidR="00A34129" w:rsidRDefault="00A34129" w:rsidP="00A34129">
      <w:pPr>
        <w:rPr>
          <w:rFonts w:ascii="Cambria" w:hAnsi="Cambria"/>
          <w:sz w:val="22"/>
        </w:rPr>
      </w:pPr>
      <w:r w:rsidRPr="00A34129">
        <w:rPr>
          <w:rFonts w:ascii="Cambria" w:hAnsi="Cambria"/>
          <w:sz w:val="22"/>
        </w:rPr>
        <w:t>D. Jordi Martínez Puig                                                   Dña. Marta Ribera Soler</w:t>
      </w:r>
    </w:p>
    <w:p w14:paraId="6259977C" w14:textId="1D11DD8E" w:rsidR="00A34129" w:rsidRPr="00A34129" w:rsidRDefault="00A34129" w:rsidP="00A34129">
      <w:pPr>
        <w:rPr>
          <w:rFonts w:ascii="Cambria" w:hAnsi="Cambria"/>
          <w:sz w:val="22"/>
        </w:rPr>
      </w:pPr>
      <w:r w:rsidRPr="00A34129">
        <w:rPr>
          <w:rFonts w:ascii="Cambria" w:hAnsi="Cambria"/>
          <w:sz w:val="22"/>
        </w:rPr>
        <w:t xml:space="preserve">Director General — GEINSTAL, S.A.                         Directora de Explotación — CC Terrassa </w:t>
      </w:r>
      <w:proofErr w:type="spellStart"/>
      <w:r w:rsidRPr="00A34129">
        <w:rPr>
          <w:rFonts w:ascii="Cambria" w:hAnsi="Cambria"/>
          <w:sz w:val="22"/>
        </w:rPr>
        <w:t>Parc</w:t>
      </w:r>
      <w:proofErr w:type="spellEnd"/>
    </w:p>
    <w:p w14:paraId="678E0FA1" w14:textId="3434A2E2" w:rsidR="00AD15A2" w:rsidRPr="00A34129" w:rsidRDefault="00AD15A2" w:rsidP="00A34129">
      <w:pPr>
        <w:rPr>
          <w:rFonts w:ascii="Cambria" w:hAnsi="Cambria"/>
          <w:sz w:val="22"/>
        </w:rPr>
      </w:pPr>
    </w:p>
    <w:sectPr w:rsidR="00AD15A2" w:rsidRPr="00A34129" w:rsidSect="00517588">
      <w:headerReference w:type="default" r:id="rId13"/>
      <w:footerReference w:type="default" r:id="rId14"/>
      <w:pgSz w:w="11900" w:h="16840"/>
      <w:pgMar w:top="1701" w:right="1418" w:bottom="1440"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10BE4" w14:textId="77777777" w:rsidR="002744FF" w:rsidRDefault="002744FF" w:rsidP="00346FB9">
      <w:pPr>
        <w:spacing w:after="0"/>
      </w:pPr>
      <w:r>
        <w:separator/>
      </w:r>
    </w:p>
  </w:endnote>
  <w:endnote w:type="continuationSeparator" w:id="0">
    <w:p w14:paraId="7BA4A2A8" w14:textId="77777777" w:rsidR="002744FF" w:rsidRDefault="002744FF" w:rsidP="00346F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46F6" w14:textId="77777777" w:rsidR="00A34129" w:rsidRDefault="00A341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E6EE" w14:textId="77777777" w:rsidR="006D3A2F" w:rsidRDefault="006D3A2F" w:rsidP="00346FB9">
    <w:pPr>
      <w:pStyle w:val="Piedepgina"/>
      <w:jc w:val="center"/>
    </w:pPr>
    <w:r>
      <w:rPr>
        <w:noProof/>
        <w:lang w:val="es-ES" w:eastAsia="es-ES"/>
      </w:rPr>
      <w:drawing>
        <wp:inline distT="0" distB="0" distL="0" distR="0" wp14:anchorId="6E27E5A6" wp14:editId="6E27E5A7">
          <wp:extent cx="5071872" cy="71932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instal_1.jpg"/>
                  <pic:cNvPicPr/>
                </pic:nvPicPr>
                <pic:blipFill>
                  <a:blip r:embed="rId1">
                    <a:extLst>
                      <a:ext uri="{28A0092B-C50C-407E-A947-70E740481C1C}">
                        <a14:useLocalDpi xmlns:a14="http://schemas.microsoft.com/office/drawing/2010/main" val="0"/>
                      </a:ext>
                    </a:extLst>
                  </a:blip>
                  <a:stretch>
                    <a:fillRect/>
                  </a:stretch>
                </pic:blipFill>
                <pic:spPr>
                  <a:xfrm>
                    <a:off x="0" y="0"/>
                    <a:ext cx="5071872" cy="719328"/>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E598" w14:textId="77777777" w:rsidR="00A34129" w:rsidRDefault="00A3412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0410" w14:textId="77777777" w:rsidR="00AD15A2" w:rsidRDefault="00AD15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81E80" w14:textId="77777777" w:rsidR="002744FF" w:rsidRDefault="002744FF" w:rsidP="00346FB9">
      <w:pPr>
        <w:spacing w:after="0"/>
      </w:pPr>
      <w:r>
        <w:separator/>
      </w:r>
    </w:p>
  </w:footnote>
  <w:footnote w:type="continuationSeparator" w:id="0">
    <w:p w14:paraId="5027DB1B" w14:textId="77777777" w:rsidR="002744FF" w:rsidRDefault="002744FF" w:rsidP="00346F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C290" w14:textId="77777777" w:rsidR="00A34129" w:rsidRDefault="00A341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A7BA" w14:textId="77777777" w:rsidR="006D3A2F" w:rsidRDefault="006D3A2F">
    <w:pPr>
      <w:pStyle w:val="Encabezado"/>
    </w:pPr>
    <w:r>
      <w:rPr>
        <w:noProof/>
        <w:lang w:val="es-ES" w:eastAsia="es-ES"/>
      </w:rPr>
      <w:drawing>
        <wp:inline distT="0" distB="0" distL="0" distR="0" wp14:anchorId="6E27E5A4" wp14:editId="6E27E5A5">
          <wp:extent cx="1889760" cy="719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instal_2.jpg"/>
                  <pic:cNvPicPr/>
                </pic:nvPicPr>
                <pic:blipFill>
                  <a:blip r:embed="rId1">
                    <a:extLst>
                      <a:ext uri="{28A0092B-C50C-407E-A947-70E740481C1C}">
                        <a14:useLocalDpi xmlns:a14="http://schemas.microsoft.com/office/drawing/2010/main" val="0"/>
                      </a:ext>
                    </a:extLst>
                  </a:blip>
                  <a:stretch>
                    <a:fillRect/>
                  </a:stretch>
                </pic:blipFill>
                <pic:spPr>
                  <a:xfrm>
                    <a:off x="0" y="0"/>
                    <a:ext cx="1889760" cy="71932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CA1C4" w14:textId="77777777" w:rsidR="00A34129" w:rsidRDefault="00A3412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34F74" w14:textId="77777777" w:rsidR="00000000" w:rsidRDefault="00000000" w:rsidP="00003DE3">
    <w:pPr>
      <w:jc w:val="right"/>
    </w:pPr>
    <w:r>
      <w:rPr>
        <w:noProof/>
        <w:lang w:val="en-US" w:eastAsia="en-US"/>
      </w:rPr>
      <w:drawing>
        <wp:inline distT="0" distB="0" distL="0" distR="0" wp14:anchorId="4651C9BE" wp14:editId="4AB54ECC">
          <wp:extent cx="429768" cy="429768"/>
          <wp:effectExtent l="0" t="0" r="2540" b="2540"/>
          <wp:docPr id="202419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instal_4.jpg"/>
                  <pic:cNvPicPr/>
                </pic:nvPicPr>
                <pic:blipFill>
                  <a:blip r:embed="rId1">
                    <a:extLst>
                      <a:ext uri="{28A0092B-C50C-407E-A947-70E740481C1C}">
                        <a14:useLocalDpi xmlns:a14="http://schemas.microsoft.com/office/drawing/2010/main" val="0"/>
                      </a:ext>
                    </a:extLst>
                  </a:blip>
                  <a:stretch>
                    <a:fillRect/>
                  </a:stretch>
                </pic:blipFill>
                <pic:spPr>
                  <a:xfrm>
                    <a:off x="0" y="0"/>
                    <a:ext cx="429768" cy="42976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B9"/>
    <w:rsid w:val="00125C26"/>
    <w:rsid w:val="002744FF"/>
    <w:rsid w:val="003153CE"/>
    <w:rsid w:val="00346FB9"/>
    <w:rsid w:val="003543A5"/>
    <w:rsid w:val="00517588"/>
    <w:rsid w:val="005355A6"/>
    <w:rsid w:val="0055692B"/>
    <w:rsid w:val="006D3A2F"/>
    <w:rsid w:val="00877894"/>
    <w:rsid w:val="00A240D3"/>
    <w:rsid w:val="00A27BF4"/>
    <w:rsid w:val="00A34129"/>
    <w:rsid w:val="00AD15A2"/>
    <w:rsid w:val="00CC09AF"/>
    <w:rsid w:val="00D73730"/>
    <w:rsid w:val="00F1560C"/>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037780"/>
  <w15:docId w15:val="{EB83B8FF-E767-45B2-8B8F-2F7782A3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60C"/>
  </w:style>
  <w:style w:type="paragraph" w:styleId="Ttulo1">
    <w:name w:val="heading 1"/>
    <w:basedOn w:val="Normal"/>
    <w:next w:val="Normal"/>
    <w:link w:val="Ttulo1Car"/>
    <w:uiPriority w:val="9"/>
    <w:qFormat/>
    <w:rsid w:val="00A3412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46FB9"/>
    <w:pPr>
      <w:tabs>
        <w:tab w:val="center" w:pos="4153"/>
        <w:tab w:val="right" w:pos="8306"/>
      </w:tabs>
      <w:spacing w:after="0"/>
    </w:pPr>
  </w:style>
  <w:style w:type="character" w:customStyle="1" w:styleId="EncabezadoCar">
    <w:name w:val="Encabezado Car"/>
    <w:basedOn w:val="Fuentedeprrafopredeter"/>
    <w:link w:val="Encabezado"/>
    <w:uiPriority w:val="99"/>
    <w:rsid w:val="00346FB9"/>
  </w:style>
  <w:style w:type="paragraph" w:styleId="Piedepgina">
    <w:name w:val="footer"/>
    <w:basedOn w:val="Normal"/>
    <w:link w:val="PiedepginaCar"/>
    <w:uiPriority w:val="99"/>
    <w:unhideWhenUsed/>
    <w:rsid w:val="00346FB9"/>
    <w:pPr>
      <w:tabs>
        <w:tab w:val="center" w:pos="4153"/>
        <w:tab w:val="right" w:pos="8306"/>
      </w:tabs>
      <w:spacing w:after="0"/>
    </w:pPr>
  </w:style>
  <w:style w:type="character" w:customStyle="1" w:styleId="PiedepginaCar">
    <w:name w:val="Pie de página Car"/>
    <w:basedOn w:val="Fuentedeprrafopredeter"/>
    <w:link w:val="Piedepgina"/>
    <w:uiPriority w:val="99"/>
    <w:rsid w:val="00346FB9"/>
  </w:style>
  <w:style w:type="paragraph" w:styleId="Textodeglobo">
    <w:name w:val="Balloon Text"/>
    <w:basedOn w:val="Normal"/>
    <w:link w:val="TextodegloboCar"/>
    <w:uiPriority w:val="99"/>
    <w:semiHidden/>
    <w:unhideWhenUsed/>
    <w:rsid w:val="00346FB9"/>
    <w:pPr>
      <w:spacing w:after="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46FB9"/>
    <w:rPr>
      <w:rFonts w:ascii="Lucida Grande" w:hAnsi="Lucida Grande" w:cs="Lucida Grande"/>
      <w:sz w:val="18"/>
      <w:szCs w:val="18"/>
    </w:rPr>
  </w:style>
  <w:style w:type="paragraph" w:styleId="Descripcin">
    <w:name w:val="caption"/>
    <w:basedOn w:val="Normal"/>
    <w:next w:val="Normal"/>
    <w:uiPriority w:val="35"/>
    <w:unhideWhenUsed/>
    <w:qFormat/>
    <w:rsid w:val="00346FB9"/>
    <w:rPr>
      <w:b/>
      <w:bCs/>
      <w:color w:val="4F81BD" w:themeColor="accent1"/>
      <w:sz w:val="18"/>
      <w:szCs w:val="18"/>
    </w:rPr>
  </w:style>
  <w:style w:type="character" w:styleId="Fuerte">
    <w:name w:val="Strong"/>
    <w:basedOn w:val="Fuentedeprrafopredeter"/>
    <w:uiPriority w:val="22"/>
    <w:qFormat/>
    <w:rsid w:val="00346FB9"/>
    <w:rPr>
      <w:b/>
      <w:bCs/>
    </w:rPr>
  </w:style>
  <w:style w:type="character" w:customStyle="1" w:styleId="Ttulo1Car">
    <w:name w:val="Título 1 Car"/>
    <w:basedOn w:val="Fuentedeprrafopredeter"/>
    <w:link w:val="Ttulo1"/>
    <w:uiPriority w:val="9"/>
    <w:rsid w:val="00A34129"/>
    <w:rPr>
      <w:rFonts w:asciiTheme="majorHAnsi" w:eastAsiaTheme="majorEastAsia" w:hAnsiTheme="majorHAnsi" w:cstheme="majorBidi"/>
      <w:color w:val="365F91" w:themeColor="accent1" w:themeShade="BF"/>
      <w:sz w:val="32"/>
      <w:szCs w:val="32"/>
    </w:rPr>
  </w:style>
  <w:style w:type="table" w:styleId="Tablaconcuadrcula">
    <w:name w:val="Table Grid"/>
    <w:basedOn w:val="Tablanormal"/>
    <w:uiPriority w:val="59"/>
    <w:rsid w:val="00A341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23CEB6-8BEF-9E4C-A9E1-CEC0CA71E258}">
  <we:reference id="wa200010453" version="1.0.0.1" store="en-US" storeType="OMEX"/>
  <we:alternateReferences>
    <we:reference id="wa200010453" version="1.0.0.1" store="en-US" storeType="OMEX"/>
  </we:alternateReferences>
  <we:properties>
    <we:property name="claude.fileId" value="&quot;6410a1f4-7f50-4822-aadc-3345f0b8e14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10</Pages>
  <Words>3163</Words>
  <Characters>21606</Characters>
  <Application>Microsoft Office Word</Application>
  <DocSecurity>0</DocSecurity>
  <Lines>2160</Lines>
  <Paragraphs>1179</Paragraphs>
  <ScaleCrop>false</ScaleCrop>
  <Company>melon</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blanca</dc:creator>
  <cp:keywords/>
  <dc:description/>
  <cp:lastModifiedBy>Daniel Sevilla Guerra</cp:lastModifiedBy>
  <cp:revision>2</cp:revision>
  <cp:lastPrinted>2026-04-18T18:23:00Z</cp:lastPrinted>
  <dcterms:created xsi:type="dcterms:W3CDTF">2026-04-18T18:25:00Z</dcterms:created>
  <dcterms:modified xsi:type="dcterms:W3CDTF">2026-04-18T18:25:00Z</dcterms:modified>
</cp:coreProperties>
</file>