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Notas de reunión · IT · Integraciones viables</w:t>
      </w:r>
    </w:p>
    <w:p>
      <w:pPr>
        <w:jc w:val="center"/>
      </w:pPr>
      <w:r>
        <w:rPr>
          <w:i/>
          <w:sz w:val="20"/>
        </w:rPr>
        <w:t>Oficinas centrales · 14 abril 2026 · 15:00–16:30</w:t>
      </w:r>
    </w:p>
    <w:p/>
    <w:p>
      <w:r>
        <w:rPr>
          <w:b/>
          <w:sz w:val="24"/>
        </w:rPr>
        <w:t>Asistentes</w:t>
      </w:r>
    </w:p>
    <w:p>
      <w:r>
        <w:t>IT: Albert Herreros, David Ramos, Valeria Ortiz. Estudios: director + 1 técnico. Explotación: responsable.</w:t>
      </w:r>
    </w:p>
    <w:p>
      <w:r>
        <w:rPr>
          <w:b/>
          <w:sz w:val="24"/>
        </w:rPr>
        <w:t>Punto de partida</w:t>
      </w:r>
    </w:p>
    <w:p>
      <w:r>
        <w:t>IT valida viabilidad técnica de las dos iniciativas ALTA (Skill /analiza-pliego + Consolidador de Excels) y evalúa posibles riesgos de seguridad.</w:t>
      </w:r>
    </w:p>
    <w:p>
      <w:r>
        <w:rPr>
          <w:b/>
          <w:sz w:val="24"/>
        </w:rPr>
        <w:t>Conclusiones técnicas</w:t>
      </w:r>
    </w:p>
    <w:p>
      <w:pPr>
        <w:pStyle w:val="ListBullet"/>
      </w:pPr>
      <w:r>
        <w:t>Claude Cowork con plan Team (que ya estamos preparando) es viable. El historial se guarda localmente, no en servidores externos.</w:t>
      </w:r>
    </w:p>
    <w:p>
      <w:pPr>
        <w:pStyle w:val="ListBullet"/>
      </w:pPr>
      <w:r>
        <w:t>Conectores a Outlook y OneDrive vía Microsoft 365 — ambos soportados oficialmente.</w:t>
      </w:r>
    </w:p>
    <w:p>
      <w:pPr>
        <w:pStyle w:val="ListBullet"/>
      </w:pPr>
      <w:r>
        <w:t>SAGE: no hay conector oficial. IT evaluará exportación semanal por CSV si hace falta.</w:t>
      </w:r>
    </w:p>
    <w:p>
      <w:pPr>
        <w:pStyle w:val="ListBullet"/>
      </w:pPr>
      <w:r>
        <w:t>GIM (TCMAN): no relevante para estas 2 iniciativas. Queda para fase 2.</w:t>
      </w:r>
    </w:p>
    <w:p>
      <w:pPr>
        <w:pStyle w:val="ListBullet"/>
      </w:pPr>
      <w:r>
        <w:t>Pliegos confidenciales: recomendación de IT de usar una carpeta específica con acceso controlado para Cowork, no toda la unidad.</w:t>
      </w:r>
    </w:p>
    <w:p>
      <w:r>
        <w:rPr>
          <w:b/>
          <w:sz w:val="24"/>
        </w:rPr>
        <w:t>Requerimientos de seguridad</w:t>
      </w:r>
    </w:p>
    <w:p>
      <w:pPr>
        <w:pStyle w:val="ListBullet"/>
      </w:pPr>
      <w:r>
        <w:t>No activar la extensión de Chrome todavía — IT necesita 2 semanas más para validar políticas.</w:t>
      </w:r>
    </w:p>
    <w:p>
      <w:pPr>
        <w:pStyle w:val="ListBullet"/>
      </w:pPr>
      <w:r>
        <w:t>Licencias Team sólo para los 6 técnicos + director de Estudios en la primera tanda.</w:t>
      </w:r>
    </w:p>
    <w:p>
      <w:pPr>
        <w:pStyle w:val="ListBullet"/>
      </w:pPr>
      <w:r>
        <w:t>Logs de uso revisables trimestralmente por IT.</w:t>
      </w:r>
    </w:p>
    <w:p>
      <w:r>
        <w:rPr>
          <w:b/>
          <w:sz w:val="24"/>
        </w:rPr>
        <w:t>Estimación de esfuerzo IT</w:t>
      </w:r>
    </w:p>
    <w:p>
      <w:r>
        <w:t>Configuración inicial: 4-6 horas de Albert + 2 horas de David. Soporte durante las primeras 2 semanas: 1 hora/día en modo reactivo.</w:t>
      </w:r>
    </w:p>
    <w:p>
      <w:r>
        <w:rPr>
          <w:b/>
          <w:sz w:val="24"/>
        </w:rPr>
        <w:t>Próximos pasos</w:t>
      </w:r>
    </w:p>
    <w:p>
      <w:r>
        <w:t>Formación con Dani Sevilla los días 21 y 28 de abril. Piloto inicia 29 de abril. Comité de seguimiento a 6 semanas con KPIs cuantitativos.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