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F1D9E" w14:textId="2C792891" w:rsidR="003960D7" w:rsidRDefault="003960D7" w:rsidP="003960D7">
      <w:pPr>
        <w:pStyle w:val="1"/>
        <w:rPr>
          <w:sz w:val="24"/>
          <w:szCs w:val="20"/>
        </w:rPr>
      </w:pPr>
      <w:r w:rsidRPr="0000339F">
        <w:rPr>
          <w:sz w:val="24"/>
          <w:szCs w:val="20"/>
        </w:rPr>
        <w:t xml:space="preserve">1 </w:t>
      </w:r>
      <w:r>
        <w:rPr>
          <w:sz w:val="24"/>
          <w:szCs w:val="20"/>
        </w:rPr>
        <w:t>Введение</w:t>
      </w:r>
    </w:p>
    <w:p w14:paraId="14546D99" w14:textId="77777777" w:rsidR="005963A6" w:rsidRDefault="003960D7" w:rsidP="005963A6">
      <w:pPr>
        <w:ind w:firstLine="709"/>
        <w:jc w:val="both"/>
      </w:pPr>
      <w:r w:rsidRPr="003960D7">
        <w:t xml:space="preserve">Современный уровень развития науки и техники требует применения бесконтактных методов и средств измерений параметров фазовых объектов, обладающих высокой разрешающей способностью и точностью [1]. В соответствии с </w:t>
      </w:r>
      <w:r w:rsidR="00CE4407">
        <w:t xml:space="preserve">определением, приведенным в работе </w:t>
      </w:r>
      <w:r w:rsidRPr="003960D7">
        <w:t>[2]</w:t>
      </w:r>
      <w:r w:rsidR="00CE4407">
        <w:t>,</w:t>
      </w:r>
      <w:r w:rsidRPr="003960D7">
        <w:t xml:space="preserve"> фазовыми называются такие объекты, которые изменяет фазовую составляющую комплексной амплитуды волнового фронта оптического излучения. Электромагнитное поле может или отражаться от таких объектов или проходить через них, поэтому фазовые объекты могут быть как отражающие, так и прозрачные. Фазовые объекты, исследуемые с помощью микроскопа, широко распространены. К отражающим фазовым объектам можно отнести изделия микроэлектроники, микроэлектромеханические системы, оптические зеркальные поверхности, подложки лазерных зеркал, структурированные покрытия и пр. Примером прозрачных фазовых объектов могут служить оптические стекловолокна, микрорезонаторы, оптические микродетали, а также широкий класс биологических микрообъектов, включая клетки, бактерии и т.п. Возникающая при взаимодействии с такими объектами модуляция фазовой составляющей поля, связана с</w:t>
      </w:r>
      <w:r w:rsidR="00BD6C26">
        <w:t xml:space="preserve"> их</w:t>
      </w:r>
      <w:r w:rsidRPr="003960D7">
        <w:t xml:space="preserve"> </w:t>
      </w:r>
      <w:r w:rsidR="00485A14">
        <w:t xml:space="preserve">локальными пространственными </w:t>
      </w:r>
      <w:r w:rsidRPr="003960D7">
        <w:t>параметрами [1]</w:t>
      </w:r>
      <w:r w:rsidR="00BD6C26">
        <w:t xml:space="preserve"> – оптической разностью хода (для прозрачных объектов) и распределением высот профиля поверхности (для отражающих объектов). </w:t>
      </w:r>
      <w:r w:rsidR="00947CB7">
        <w:t>На основании</w:t>
      </w:r>
      <w:r w:rsidR="00485A14">
        <w:t xml:space="preserve"> </w:t>
      </w:r>
      <w:r w:rsidR="00947CB7">
        <w:t>оценок данных локальных параметров могут быть вычисленные другие физические параметры объект</w:t>
      </w:r>
      <w:r w:rsidR="001D5E6A">
        <w:t>ов</w:t>
      </w:r>
      <w:r w:rsidR="00947CB7">
        <w:t>, такие как: плотность, температура, концентрация, шероховатость поверхности, морфологические характеристики клеток (размер, форма, строение) и т.п.</w:t>
      </w:r>
      <w:r w:rsidR="005963A6">
        <w:t xml:space="preserve"> </w:t>
      </w:r>
      <w:r w:rsidRPr="003960D7">
        <w:t xml:space="preserve">Задача количественного измерения интегральных и локальных параметров как статических, так и динамических фазовых объектов с высокой точностью является актуальной научно-технической задачей. Количественным методом получения информации о фазовой модуляции электромагнитного поля исследуемым объектом является метод интерферометрии. </w:t>
      </w:r>
    </w:p>
    <w:p w14:paraId="4B404F4E" w14:textId="3017A366" w:rsidR="00777174" w:rsidRDefault="00777174" w:rsidP="00777174">
      <w:pPr>
        <w:pStyle w:val="1"/>
        <w:rPr>
          <w:sz w:val="24"/>
          <w:szCs w:val="24"/>
        </w:rPr>
      </w:pPr>
      <w:r>
        <w:rPr>
          <w:sz w:val="24"/>
          <w:szCs w:val="24"/>
        </w:rPr>
        <w:lastRenderedPageBreak/>
        <w:t>2 Литературный обзор</w:t>
      </w:r>
    </w:p>
    <w:p w14:paraId="1DFADF54" w14:textId="65E9FF3C" w:rsidR="006A495B" w:rsidRDefault="002D00B5" w:rsidP="006A495B">
      <w:pPr>
        <w:ind w:firstLine="709"/>
        <w:jc w:val="both"/>
      </w:pPr>
      <w:r>
        <w:t>Основным параметро</w:t>
      </w:r>
      <w:r w:rsidR="00AA6CF6">
        <w:t xml:space="preserve">м </w:t>
      </w:r>
      <w:r>
        <w:t>трехмерного фазового объекта, оцениваемым в ходе решения задачи интерферометрии, является двумерное распределение сдвига фазы электромагнитного излучения, вносимого этим объектом</w:t>
      </w:r>
      <w:r w:rsidR="00733403" w:rsidRPr="00733403">
        <w:t xml:space="preserve"> [3</w:t>
      </w:r>
      <w:r w:rsidR="00733403" w:rsidRPr="00BC3C94">
        <w:t>]</w:t>
      </w:r>
      <w:r>
        <w:t xml:space="preserve">. </w:t>
      </w:r>
      <w:r w:rsidR="006A495B">
        <w:t>Д</w:t>
      </w:r>
      <w:r>
        <w:t>анное</w:t>
      </w:r>
      <w:r w:rsidRPr="003960D7">
        <w:t xml:space="preserve"> распределение тем или иным образом </w:t>
      </w:r>
      <w:r>
        <w:t>характеризует (</w:t>
      </w:r>
      <w:r w:rsidR="006A495B">
        <w:t>«</w:t>
      </w:r>
      <w:r w:rsidRPr="003960D7">
        <w:t>изображает</w:t>
      </w:r>
      <w:r w:rsidR="006A495B">
        <w:t>»</w:t>
      </w:r>
      <w:r>
        <w:t xml:space="preserve">) </w:t>
      </w:r>
      <w:r w:rsidRPr="003960D7">
        <w:t>фазовый объект</w:t>
      </w:r>
      <w:r w:rsidR="006A495B">
        <w:t xml:space="preserve"> и </w:t>
      </w:r>
      <w:r w:rsidR="00AA6CF6">
        <w:t>потому</w:t>
      </w:r>
      <w:r w:rsidRPr="003960D7">
        <w:t xml:space="preserve"> называется фазовым изображением</w:t>
      </w:r>
      <w:r w:rsidR="005F2164">
        <w:t>.</w:t>
      </w:r>
      <w:r w:rsidR="006A495B">
        <w:t xml:space="preserve"> </w:t>
      </w:r>
      <w:r w:rsidR="003B629F">
        <w:t>Поскольку о</w:t>
      </w:r>
      <w:r w:rsidR="006A495B">
        <w:t xml:space="preserve">сновные приемные устройства излучения оптического диапазона не позволяют непосредственно регистрировать фазовое изображение (комплексную амплитуду поля), а реагируют лишь на интенсивность принимаемого излучения </w:t>
      </w:r>
      <w:r w:rsidR="006A495B" w:rsidRPr="006A495B">
        <w:t>[</w:t>
      </w:r>
      <w:r w:rsidR="00CE0EAE">
        <w:t>4</w:t>
      </w:r>
      <w:r w:rsidR="006A495B" w:rsidRPr="00AA6CF6">
        <w:t>]</w:t>
      </w:r>
      <w:r w:rsidR="003B629F">
        <w:t xml:space="preserve">, то существующие методы </w:t>
      </w:r>
      <w:r w:rsidR="007D1937">
        <w:t>регистрации комплексной амплитуды, основанные на принципах интерферометрии,</w:t>
      </w:r>
      <w:r w:rsidR="003B629F">
        <w:t xml:space="preserve"> являются косвенными</w:t>
      </w:r>
      <w:r w:rsidR="00AA6CF6" w:rsidRPr="00AA6CF6">
        <w:t xml:space="preserve">. </w:t>
      </w:r>
      <w:r w:rsidR="00073775">
        <w:t>В данном разделе приведен обзор методов реконструкции фазы волнового фронта по интерферограммам.</w:t>
      </w:r>
    </w:p>
    <w:p w14:paraId="73458447" w14:textId="1F9A64F1" w:rsidR="00777174" w:rsidRPr="00777174" w:rsidRDefault="00065608" w:rsidP="00937CAD">
      <w:pPr>
        <w:ind w:firstLine="709"/>
        <w:jc w:val="both"/>
      </w:pPr>
      <w:r>
        <w:t>Методы вычисления фазы волнового фронта, основанные на анализе интерферограмм, принято разделять на</w:t>
      </w:r>
      <w:r w:rsidRPr="00065608">
        <w:t xml:space="preserve"> </w:t>
      </w:r>
      <w:r>
        <w:t>две группы</w:t>
      </w:r>
      <w:r w:rsidR="004E0D3E">
        <w:t xml:space="preserve"> </w:t>
      </w:r>
      <w:r w:rsidR="004E0D3E" w:rsidRPr="004E0D3E">
        <w:t>[3,4]</w:t>
      </w:r>
      <w:r>
        <w:t>. К первой группе относятся методы, в которых восстановление осуществляется по одной интерферограмме: методы, основанные на выделении координатных полос</w:t>
      </w:r>
      <w:r w:rsidR="004E0D3E" w:rsidRPr="004E0D3E">
        <w:t xml:space="preserve"> [5,6]</w:t>
      </w:r>
      <w:r>
        <w:t xml:space="preserve"> и разделении частотных составляющих в спектральной плоскости</w:t>
      </w:r>
      <w:r w:rsidR="004E0D3E" w:rsidRPr="004E0D3E">
        <w:t xml:space="preserve"> [</w:t>
      </w:r>
      <w:r w:rsidR="00DE5ED8" w:rsidRPr="00DE5ED8">
        <w:t>7</w:t>
      </w:r>
      <w:r w:rsidR="00787E27" w:rsidRPr="0000339F">
        <w:t>,8</w:t>
      </w:r>
      <w:r w:rsidR="004E0D3E" w:rsidRPr="004E0D3E">
        <w:t>]</w:t>
      </w:r>
      <w:r>
        <w:t>, соответственно.</w:t>
      </w:r>
      <w:r w:rsidR="00C00BB1">
        <w:t xml:space="preserve"> Для реализации этих методов не требуется изменение технических возможностей известных интерферометров </w:t>
      </w:r>
      <w:r w:rsidR="00C00BB1" w:rsidRPr="00C00BB1">
        <w:t>[</w:t>
      </w:r>
      <w:r w:rsidR="002D1678" w:rsidRPr="0000339F">
        <w:t>9</w:t>
      </w:r>
      <w:r w:rsidR="00C00BB1" w:rsidRPr="00C00BB1">
        <w:t>]</w:t>
      </w:r>
      <w:r w:rsidR="00DD4921">
        <w:t>, точность реконструкции зависит от пространственного разрешения спектров полезных и шумовых составляющих регистрируемого сигнала.</w:t>
      </w:r>
      <w:r w:rsidR="00270A50">
        <w:t xml:space="preserve"> Также необходимость наличия достаточного числа полос на интерферограмме ограничивает использование методов, основанных на разделении частотных составляющих, при реконструкции фазы в схемах интерферометров, работающих на т.н. «нулевой» полосе, например, в тех схемах, где используется низкокогерентное излучение </w:t>
      </w:r>
      <w:r w:rsidR="00270A50" w:rsidRPr="00270A50">
        <w:t>[</w:t>
      </w:r>
      <w:r w:rsidR="00DA287D">
        <w:t>3</w:t>
      </w:r>
      <w:r w:rsidR="00270A50" w:rsidRPr="00270A50">
        <w:t>]</w:t>
      </w:r>
      <w:r w:rsidR="00270A50">
        <w:t>.</w:t>
      </w:r>
      <w:r w:rsidR="009D6E0E">
        <w:t xml:space="preserve"> Вторую группу составляют методы, в которых восстановление производится по серии интерферограмм, полученных при некотором известном изменении параметров интерферометра. </w:t>
      </w:r>
      <w:r w:rsidR="00787E27">
        <w:t>В зависимости от</w:t>
      </w:r>
      <w:r w:rsidR="00787E27" w:rsidRPr="00787E27">
        <w:t xml:space="preserve"> способ</w:t>
      </w:r>
      <w:r w:rsidR="00787E27">
        <w:t xml:space="preserve">а </w:t>
      </w:r>
      <w:r w:rsidR="00787E27" w:rsidRPr="00787E27">
        <w:t>внесения фазового сдвига методы</w:t>
      </w:r>
      <w:r w:rsidR="00FA7DE0">
        <w:t xml:space="preserve"> разделяют на</w:t>
      </w:r>
      <w:r w:rsidR="00787E27" w:rsidRPr="00787E27">
        <w:t xml:space="preserve"> подгруппы:</w:t>
      </w:r>
      <w:r w:rsidR="00FA7DE0">
        <w:t xml:space="preserve"> </w:t>
      </w:r>
      <w:r w:rsidR="00FA7DE0" w:rsidRPr="00FA7DE0">
        <w:t>фазо-</w:t>
      </w:r>
      <w:r w:rsidR="00FA7DE0" w:rsidRPr="00FA7DE0">
        <w:lastRenderedPageBreak/>
        <w:t>фиксируюш</w:t>
      </w:r>
      <w:r w:rsidR="00FA7DE0">
        <w:t xml:space="preserve">ие </w:t>
      </w:r>
      <w:r w:rsidR="00FA7DE0" w:rsidRPr="0000339F">
        <w:t>[</w:t>
      </w:r>
      <w:r w:rsidR="00811C28">
        <w:t>10</w:t>
      </w:r>
      <w:r w:rsidR="007F5EA1">
        <w:t>,11</w:t>
      </w:r>
      <w:r w:rsidR="00FA7DE0" w:rsidRPr="0000339F">
        <w:t>],</w:t>
      </w:r>
      <w:r w:rsidR="0070186A" w:rsidRPr="0000339F">
        <w:t xml:space="preserve"> гетеродинн</w:t>
      </w:r>
      <w:r w:rsidR="0070186A">
        <w:t>ые</w:t>
      </w:r>
      <w:r w:rsidR="0070186A" w:rsidRPr="0000339F">
        <w:t xml:space="preserve"> [</w:t>
      </w:r>
      <w:r w:rsidR="00BD18BA">
        <w:t>1</w:t>
      </w:r>
      <w:r w:rsidR="007F5EA1">
        <w:t>2</w:t>
      </w:r>
      <w:r w:rsidR="00C67DE3">
        <w:t>,1</w:t>
      </w:r>
      <w:r w:rsidR="007F5EA1">
        <w:t>3</w:t>
      </w:r>
      <w:r w:rsidR="0070186A" w:rsidRPr="0000339F">
        <w:t>]</w:t>
      </w:r>
      <w:r w:rsidR="0070186A">
        <w:t xml:space="preserve">, фазово-сдвигающие </w:t>
      </w:r>
      <w:r w:rsidR="0070186A" w:rsidRPr="0000339F">
        <w:t>[</w:t>
      </w:r>
      <w:r w:rsidR="008E61F0">
        <w:t>14,15</w:t>
      </w:r>
      <w:r w:rsidR="0070186A" w:rsidRPr="0000339F">
        <w:t xml:space="preserve">] </w:t>
      </w:r>
      <w:r w:rsidR="0070186A">
        <w:t>методы интерферометрии, соответственно</w:t>
      </w:r>
      <w:r w:rsidR="00EF7160">
        <w:t>.</w:t>
      </w:r>
    </w:p>
    <w:p w14:paraId="3A04B991" w14:textId="1855EAB8" w:rsidR="003960D7" w:rsidRDefault="009D2772" w:rsidP="003960D7">
      <w:pPr>
        <w:pStyle w:val="1"/>
        <w:rPr>
          <w:sz w:val="24"/>
          <w:szCs w:val="20"/>
        </w:rPr>
      </w:pPr>
      <w:r>
        <w:rPr>
          <w:sz w:val="24"/>
          <w:szCs w:val="20"/>
        </w:rPr>
        <w:t xml:space="preserve">3 </w:t>
      </w:r>
      <w:r w:rsidR="00937CAD">
        <w:rPr>
          <w:sz w:val="24"/>
          <w:szCs w:val="20"/>
        </w:rPr>
        <w:t>Цель работы</w:t>
      </w:r>
    </w:p>
    <w:p w14:paraId="74F7F19F" w14:textId="77777777" w:rsidR="00571103" w:rsidRPr="0029240A" w:rsidRDefault="00937CAD" w:rsidP="00937CAD">
      <w:pPr>
        <w:ind w:firstLine="709"/>
        <w:jc w:val="both"/>
      </w:pPr>
      <w:r>
        <w:t>Целью настоящей работы является разработка программного обеспечения для восстановления фазового распределения исследуемого объекта по одной интерферограмме</w:t>
      </w:r>
      <w:r w:rsidR="00E37FC9">
        <w:t xml:space="preserve"> с использованием преобразования Фурье. Для </w:t>
      </w:r>
      <w:r>
        <w:t xml:space="preserve"> получ</w:t>
      </w:r>
      <w:r w:rsidR="00E37FC9">
        <w:t>ения интерференционного изображения используется микроскоп Линника МИИ-4</w:t>
      </w:r>
      <w:r w:rsidR="00B542F4" w:rsidRPr="0029240A">
        <w:t xml:space="preserve"> [9]</w:t>
      </w:r>
      <w:r w:rsidR="00571103" w:rsidRPr="0029240A">
        <w:t>.</w:t>
      </w:r>
    </w:p>
    <w:p w14:paraId="66FD4DEE" w14:textId="59209571" w:rsidR="00571103" w:rsidRPr="0029240A" w:rsidRDefault="00571103" w:rsidP="00571103">
      <w:pPr>
        <w:pStyle w:val="1"/>
        <w:rPr>
          <w:sz w:val="24"/>
          <w:szCs w:val="20"/>
        </w:rPr>
      </w:pPr>
      <w:r w:rsidRPr="0029240A">
        <w:rPr>
          <w:sz w:val="24"/>
          <w:szCs w:val="20"/>
        </w:rPr>
        <w:t>4</w:t>
      </w:r>
      <w:r>
        <w:rPr>
          <w:sz w:val="24"/>
          <w:szCs w:val="20"/>
        </w:rPr>
        <w:t xml:space="preserve"> </w:t>
      </w:r>
      <w:r w:rsidRPr="00571103">
        <w:rPr>
          <w:sz w:val="24"/>
          <w:szCs w:val="20"/>
        </w:rPr>
        <w:t>Основное уравнение двухлучевой интерферометрии</w:t>
      </w:r>
    </w:p>
    <w:p w14:paraId="5CDB7EA8" w14:textId="2FC2FD82" w:rsidR="0029240A" w:rsidRDefault="0029240A" w:rsidP="00FF01AE">
      <w:pPr>
        <w:ind w:firstLine="709"/>
        <w:jc w:val="both"/>
      </w:pPr>
      <w:r w:rsidRPr="0029240A">
        <w:t xml:space="preserve">Наиболее часто используются двухлучевые интерферометры, т.е. оптические системы, в которых происходит интерференция двух волновых фронтов. </w:t>
      </w:r>
      <w:r>
        <w:t xml:space="preserve">В </w:t>
      </w:r>
      <w:r w:rsidRPr="00FF01AE">
        <w:t xml:space="preserve">[16] </w:t>
      </w:r>
      <w:r>
        <w:t>р</w:t>
      </w:r>
      <w:r w:rsidRPr="0029240A">
        <w:t>ассм</w:t>
      </w:r>
      <w:r w:rsidR="00FF01AE">
        <w:t>а</w:t>
      </w:r>
      <w:r w:rsidRPr="0029240A">
        <w:t>три</w:t>
      </w:r>
      <w:r>
        <w:t>вается</w:t>
      </w:r>
      <w:r w:rsidRPr="0029240A">
        <w:t xml:space="preserve"> математическое описание процесса интерференции.     Напряженность электрического поля</w:t>
      </w:r>
      <w:r w:rsidR="00FF01AE">
        <w:t xml:space="preserve"> представляет собой</w:t>
      </w:r>
      <w:r w:rsidRPr="0029240A">
        <w:t xml:space="preserve"> комплексн</w:t>
      </w:r>
      <w:r w:rsidR="00FF01AE">
        <w:t>ую</w:t>
      </w:r>
      <w:r w:rsidRPr="0029240A">
        <w:t xml:space="preserve"> величин</w:t>
      </w:r>
      <w:r w:rsidR="00FF01AE">
        <w:t xml:space="preserve">у </w:t>
      </w:r>
      <w:r w:rsidR="00FF01AE" w:rsidRPr="0029240A">
        <w:t>с комплексной пространственной амплитудой и гармонической зависимостью от времени</w:t>
      </w:r>
      <w:r w:rsidR="00FF01AE">
        <w:t>:</w:t>
      </w:r>
    </w:p>
    <w:p w14:paraId="7A9B805A" w14:textId="77777777" w:rsidR="00FF01AE" w:rsidRDefault="00FF01AE" w:rsidP="00FF01AE">
      <w:pPr>
        <w:ind w:firstLine="709"/>
        <w:jc w:val="both"/>
      </w:pP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FF01AE" w14:paraId="0B36B664" w14:textId="77777777" w:rsidTr="00FF01AE">
        <w:tc>
          <w:tcPr>
            <w:tcW w:w="8359" w:type="dxa"/>
            <w:gridSpan w:val="2"/>
            <w:vAlign w:val="center"/>
          </w:tcPr>
          <w:p w14:paraId="09949EB7" w14:textId="5CB5CA1B" w:rsidR="00FF01AE" w:rsidRDefault="00FF01AE" w:rsidP="00FF01AE">
            <w:pPr>
              <w:jc w:val="center"/>
            </w:pPr>
            <m:oMathPara>
              <m:oMath>
                <m:acc>
                  <m:accPr>
                    <m:chr m:val="̅"/>
                    <m:ctrlPr>
                      <w:rPr>
                        <w:rFonts w:ascii="Cambria Math" w:hAnsi="Cambria Math"/>
                        <w:i/>
                        <w:lang w:val="en-US"/>
                      </w:rPr>
                    </m:ctrlPr>
                  </m:accPr>
                  <m:e>
                    <m:r>
                      <w:rPr>
                        <w:rFonts w:ascii="Cambria Math" w:hAnsi="Cambria Math"/>
                        <w:lang w:val="en-US"/>
                      </w:rPr>
                      <m:t>E</m:t>
                    </m:r>
                  </m:e>
                </m:acc>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m:t>
                </m:r>
                <m:r>
                  <w:rPr>
                    <w:rFonts w:ascii="Cambria Math" w:hAnsi="Cambria Math"/>
                    <w:lang w:val="en-US"/>
                  </w:rPr>
                  <m:t>t</m:t>
                </m:r>
                <m:r>
                  <w:rPr>
                    <w:rFonts w:ascii="Cambria Math" w:hAnsi="Cambria Math"/>
                  </w:rPr>
                  <m:t xml:space="preserve">) </m:t>
                </m:r>
                <m:r>
                  <w:rPr>
                    <w:rFonts w:ascii="Cambria Math" w:hAnsi="Cambria Math"/>
                    <w:i/>
                  </w:rPr>
                  <w:sym w:font="Symbol" w:char="F03D"/>
                </m:r>
                <m:r>
                  <w:rPr>
                    <w:rFonts w:ascii="Cambria Math" w:hAnsi="Cambria Math"/>
                  </w:rPr>
                  <m:t xml:space="preserve"> </m:t>
                </m:r>
                <m:acc>
                  <m:accPr>
                    <m:chr m:val="̅"/>
                    <m:ctrlPr>
                      <w:rPr>
                        <w:rFonts w:ascii="Cambria Math" w:hAnsi="Cambria Math"/>
                        <w:i/>
                        <w:lang w:val="en-US"/>
                      </w:rPr>
                    </m:ctrlPr>
                  </m:accPr>
                  <m:e>
                    <m:r>
                      <w:rPr>
                        <w:rFonts w:ascii="Cambria Math" w:hAnsi="Cambria Math"/>
                        <w:lang w:val="en-US"/>
                      </w:rPr>
                      <m:t>E</m:t>
                    </m:r>
                  </m:e>
                </m:acc>
                <m:r>
                  <w:rPr>
                    <w:rFonts w:ascii="Cambria Math" w:hAnsi="Cambria Math"/>
                  </w:rPr>
                  <m:t>(</m:t>
                </m:r>
                <m:r>
                  <w:rPr>
                    <w:rFonts w:ascii="Cambria Math" w:hAnsi="Cambria Math"/>
                    <w:lang w:val="en-US"/>
                  </w:rPr>
                  <m:t>x</m:t>
                </m:r>
                <m:r>
                  <w:rPr>
                    <w:rFonts w:ascii="Cambria Math" w:hAnsi="Cambria Math"/>
                  </w:rPr>
                  <m:t xml:space="preserve">, </m:t>
                </m:r>
                <m:r>
                  <w:rPr>
                    <w:rFonts w:ascii="Cambria Math" w:hAnsi="Cambria Math"/>
                    <w:lang w:val="en-US"/>
                  </w:rPr>
                  <m:t>y</m:t>
                </m:r>
                <m:r>
                  <w:rPr>
                    <w:rFonts w:ascii="Cambria Math" w:hAnsi="Cambria Math"/>
                  </w:rPr>
                  <m:t>)</m:t>
                </m:r>
                <m:r>
                  <w:rPr>
                    <w:rFonts w:ascii="Cambria Math" w:hAnsi="Cambria Math"/>
                  </w:rPr>
                  <m:t>∙</m:t>
                </m:r>
                <m:r>
                  <w:rPr>
                    <w:rFonts w:ascii="Cambria Math" w:hAnsi="Cambria Math"/>
                    <w:lang w:val="en-US"/>
                  </w:rPr>
                  <m:t>exp</m:t>
                </m:r>
                <m:r>
                  <w:rPr>
                    <w:rFonts w:ascii="Cambria Math" w:hAnsi="Cambria Math"/>
                  </w:rPr>
                  <m:t>(</m:t>
                </m:r>
                <m:r>
                  <w:rPr>
                    <w:rFonts w:ascii="Cambria Math" w:hAnsi="Cambria Math"/>
                    <w:i/>
                  </w:rPr>
                  <w:sym w:font="Symbol" w:char="F02D"/>
                </m:r>
                <m:r>
                  <w:rPr>
                    <w:rFonts w:ascii="Cambria Math" w:hAnsi="Cambria Math"/>
                  </w:rPr>
                  <m:t xml:space="preserve"> </m:t>
                </m:r>
                <m:r>
                  <w:rPr>
                    <w:rFonts w:ascii="Cambria Math" w:hAnsi="Cambria Math"/>
                    <w:lang w:val="en-US"/>
                  </w:rPr>
                  <m:t>j</m:t>
                </m:r>
                <m:r>
                  <w:rPr>
                    <w:rFonts w:ascii="Cambria Math" w:hAnsi="Cambria Math"/>
                    <w:i/>
                  </w:rPr>
                  <w:sym w:font="Symbol" w:char="F077"/>
                </m:r>
                <m:r>
                  <w:rPr>
                    <w:rFonts w:ascii="Cambria Math" w:hAnsi="Cambria Math"/>
                    <w:lang w:val="en-US"/>
                  </w:rPr>
                  <m:t>t</m:t>
                </m:r>
                <m:r>
                  <w:rPr>
                    <w:rFonts w:ascii="Cambria Math" w:hAnsi="Cambria Math"/>
                  </w:rPr>
                  <m:t>)</m:t>
                </m:r>
              </m:oMath>
            </m:oMathPara>
          </w:p>
        </w:tc>
        <w:tc>
          <w:tcPr>
            <w:tcW w:w="986" w:type="dxa"/>
            <w:vAlign w:val="center"/>
          </w:tcPr>
          <w:p w14:paraId="25997553" w14:textId="2E6A534E" w:rsidR="00FF01AE" w:rsidRDefault="00FF01AE" w:rsidP="00FF01AE">
            <w:pPr>
              <w:jc w:val="center"/>
            </w:pPr>
            <w:r>
              <w:t>(1)</w:t>
            </w:r>
          </w:p>
        </w:tc>
      </w:tr>
      <w:tr w:rsidR="00FF01AE" w14:paraId="09357ACE" w14:textId="77777777" w:rsidTr="00FF01AE">
        <w:tc>
          <w:tcPr>
            <w:tcW w:w="885" w:type="dxa"/>
            <w:vAlign w:val="center"/>
          </w:tcPr>
          <w:p w14:paraId="4CFFC782" w14:textId="77777777" w:rsidR="00FF01AE" w:rsidRDefault="00FF01AE" w:rsidP="00FF01AE">
            <w:pPr>
              <w:jc w:val="center"/>
            </w:pPr>
          </w:p>
        </w:tc>
        <w:tc>
          <w:tcPr>
            <w:tcW w:w="8460" w:type="dxa"/>
            <w:gridSpan w:val="2"/>
            <w:vAlign w:val="center"/>
          </w:tcPr>
          <w:p w14:paraId="0B95B460" w14:textId="0C4DB086" w:rsidR="00FF01AE" w:rsidRDefault="00FF01AE" w:rsidP="00FF01AE">
            <w:pPr>
              <w:jc w:val="center"/>
            </w:pPr>
          </w:p>
        </w:tc>
      </w:tr>
    </w:tbl>
    <w:p w14:paraId="52689720" w14:textId="5F66FFDC" w:rsidR="0029240A" w:rsidRPr="0029240A" w:rsidRDefault="0029240A" w:rsidP="00EE257C">
      <w:pPr>
        <w:ind w:firstLine="709"/>
        <w:jc w:val="both"/>
      </w:pPr>
      <w:r w:rsidRPr="0029240A">
        <w:t>Комплексная пространственная амплитуда определяется как</w:t>
      </w:r>
      <w:r w:rsidR="00EE257C">
        <w:t>:</w:t>
      </w:r>
    </w:p>
    <w:p w14:paraId="117A8C02" w14:textId="77777777" w:rsidR="0029240A" w:rsidRDefault="0029240A" w:rsidP="0029240A">
      <w:pPr>
        <w:jc w:val="both"/>
      </w:pP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435B4B" w14:paraId="4705C672" w14:textId="77777777" w:rsidTr="00BB2311">
        <w:tc>
          <w:tcPr>
            <w:tcW w:w="8359" w:type="dxa"/>
            <w:gridSpan w:val="2"/>
            <w:vAlign w:val="center"/>
          </w:tcPr>
          <w:p w14:paraId="156C2C99" w14:textId="7C861C88" w:rsidR="00435B4B" w:rsidRDefault="00AC51F1" w:rsidP="00083405">
            <w:pPr>
              <w:jc w:val="center"/>
            </w:pPr>
            <m:oMathPara>
              <m:oMath>
                <m:acc>
                  <m:accPr>
                    <m:chr m:val="̅"/>
                    <m:ctrlPr>
                      <w:rPr>
                        <w:rFonts w:ascii="Cambria Math" w:hAnsi="Cambria Math"/>
                        <w:i/>
                        <w:lang w:val="en-US"/>
                      </w:rPr>
                    </m:ctrlPr>
                  </m:accPr>
                  <m:e>
                    <m:r>
                      <w:rPr>
                        <w:rFonts w:ascii="Cambria Math" w:hAnsi="Cambria Math"/>
                        <w:lang w:val="en-US"/>
                      </w:rPr>
                      <m:t>E</m:t>
                    </m:r>
                  </m:e>
                </m:acc>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i/>
                  </w:rPr>
                  <w:sym w:font="Symbol" w:char="F03D"/>
                </m:r>
                <m:r>
                  <w:rPr>
                    <w:rFonts w:ascii="Cambria Math" w:hAnsi="Cambria Math"/>
                  </w:rPr>
                  <m:t xml:space="preserve"> </m:t>
                </m:r>
                <m:r>
                  <w:rPr>
                    <w:rFonts w:ascii="Cambria Math" w:hAnsi="Cambria Math"/>
                    <w:lang w:val="en-US"/>
                  </w:rPr>
                  <m:t>A</m:t>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r>
                  <w:rPr>
                    <w:rFonts w:ascii="Cambria Math" w:hAnsi="Cambria Math"/>
                  </w:rPr>
                  <m:t>∙</m:t>
                </m:r>
                <m:r>
                  <w:rPr>
                    <w:rFonts w:ascii="Cambria Math" w:hAnsi="Cambria Math"/>
                    <w:lang w:val="en-US"/>
                  </w:rPr>
                  <m:t>exp</m:t>
                </m:r>
                <m:d>
                  <m:dPr>
                    <m:ctrlPr>
                      <w:rPr>
                        <w:rFonts w:ascii="Cambria Math" w:hAnsi="Cambria Math"/>
                        <w:i/>
                      </w:rPr>
                    </m:ctrlPr>
                  </m:dPr>
                  <m:e>
                    <m:r>
                      <w:rPr>
                        <w:rFonts w:ascii="Cambria Math" w:hAnsi="Cambria Math"/>
                        <w:i/>
                      </w:rPr>
                      <w:sym w:font="Symbol" w:char="F02D"/>
                    </m:r>
                    <m:r>
                      <w:rPr>
                        <w:rFonts w:ascii="Cambria Math" w:hAnsi="Cambria Math"/>
                      </w:rPr>
                      <m:t xml:space="preserve"> </m:t>
                    </m:r>
                    <m:r>
                      <w:rPr>
                        <w:rFonts w:ascii="Cambria Math" w:hAnsi="Cambria Math"/>
                        <w:lang w:val="en-US"/>
                      </w:rPr>
                      <m:t>j</m:t>
                    </m:r>
                    <m:r>
                      <w:rPr>
                        <w:rFonts w:ascii="Cambria Math" w:hAnsi="Cambria Math"/>
                        <w:i/>
                      </w:rPr>
                      <w:sym w:font="Symbol" w:char="F06A"/>
                    </m:r>
                    <m:d>
                      <m:dPr>
                        <m:ctrlPr>
                          <w:rPr>
                            <w:rFonts w:ascii="Cambria Math" w:hAnsi="Cambria Math"/>
                            <w:i/>
                          </w:rPr>
                        </m:ctrlPr>
                      </m:dPr>
                      <m:e>
                        <m:r>
                          <w:rPr>
                            <w:rFonts w:ascii="Cambria Math" w:hAnsi="Cambria Math"/>
                            <w:lang w:val="en-US"/>
                          </w:rPr>
                          <m:t>x</m:t>
                        </m:r>
                        <m:r>
                          <w:rPr>
                            <w:rFonts w:ascii="Cambria Math" w:hAnsi="Cambria Math"/>
                          </w:rPr>
                          <m:t xml:space="preserve">, </m:t>
                        </m:r>
                        <m:r>
                          <w:rPr>
                            <w:rFonts w:ascii="Cambria Math" w:hAnsi="Cambria Math"/>
                            <w:lang w:val="en-US"/>
                          </w:rPr>
                          <m:t>y</m:t>
                        </m:r>
                      </m:e>
                    </m:d>
                  </m:e>
                </m:d>
                <m:r>
                  <w:rPr>
                    <w:rFonts w:ascii="Cambria Math" w:hAnsi="Cambria Math"/>
                  </w:rPr>
                  <m:t>,</m:t>
                </m:r>
              </m:oMath>
            </m:oMathPara>
          </w:p>
        </w:tc>
        <w:tc>
          <w:tcPr>
            <w:tcW w:w="986" w:type="dxa"/>
            <w:vAlign w:val="center"/>
          </w:tcPr>
          <w:p w14:paraId="71F7B5C9" w14:textId="0505C3CF" w:rsidR="00435B4B" w:rsidRDefault="00435B4B" w:rsidP="00083405">
            <w:pPr>
              <w:jc w:val="center"/>
            </w:pPr>
            <w:r>
              <w:t>(</w:t>
            </w:r>
            <w:r>
              <w:t>2</w:t>
            </w:r>
            <w:r>
              <w:t>)</w:t>
            </w:r>
          </w:p>
        </w:tc>
      </w:tr>
      <w:tr w:rsidR="00435B4B" w14:paraId="4B2CC8DA" w14:textId="77777777" w:rsidTr="00BB2311">
        <w:tc>
          <w:tcPr>
            <w:tcW w:w="885" w:type="dxa"/>
            <w:vAlign w:val="center"/>
          </w:tcPr>
          <w:p w14:paraId="439AE8F1" w14:textId="3866A3B4" w:rsidR="00435B4B" w:rsidRDefault="00435B4B" w:rsidP="00083405">
            <w:pPr>
              <w:jc w:val="center"/>
            </w:pPr>
            <w:r w:rsidRPr="0029240A">
              <w:t>где</w:t>
            </w:r>
          </w:p>
        </w:tc>
        <w:tc>
          <w:tcPr>
            <w:tcW w:w="8460" w:type="dxa"/>
            <w:gridSpan w:val="2"/>
            <w:vAlign w:val="center"/>
          </w:tcPr>
          <w:p w14:paraId="28E7441D" w14:textId="7704AD9B" w:rsidR="00435B4B" w:rsidRDefault="00435B4B" w:rsidP="00435B4B">
            <m:oMath>
              <m:r>
                <w:rPr>
                  <w:rFonts w:ascii="Cambria Math" w:hAnsi="Cambria Math"/>
                </w:rPr>
                <m:t>A(x,y)</m:t>
              </m:r>
            </m:oMath>
            <w:r w:rsidRPr="0029240A">
              <w:t xml:space="preserve"> – модуль напряженности поля,</w:t>
            </w:r>
          </w:p>
        </w:tc>
      </w:tr>
      <w:tr w:rsidR="00435B4B" w14:paraId="28D8B0E3" w14:textId="77777777" w:rsidTr="00BB2311">
        <w:tc>
          <w:tcPr>
            <w:tcW w:w="885" w:type="dxa"/>
            <w:vAlign w:val="center"/>
          </w:tcPr>
          <w:p w14:paraId="0AF5F953" w14:textId="77777777" w:rsidR="00435B4B" w:rsidRDefault="00435B4B" w:rsidP="00083405">
            <w:pPr>
              <w:jc w:val="center"/>
            </w:pPr>
          </w:p>
        </w:tc>
        <w:tc>
          <w:tcPr>
            <w:tcW w:w="8460" w:type="dxa"/>
            <w:gridSpan w:val="2"/>
            <w:vAlign w:val="center"/>
          </w:tcPr>
          <w:p w14:paraId="196A94BC" w14:textId="5FB249D7" w:rsidR="00435B4B" w:rsidRDefault="00435B4B" w:rsidP="00435B4B">
            <m:oMath>
              <m:r>
                <w:rPr>
                  <w:rFonts w:ascii="Cambria Math" w:hAnsi="Cambria Math"/>
                  <w:i/>
                </w:rPr>
                <w:sym w:font="Symbol" w:char="F06A"/>
              </m:r>
              <m:r>
                <w:rPr>
                  <w:rFonts w:ascii="Cambria Math" w:hAnsi="Cambria Math"/>
                </w:rPr>
                <m:t>(x,y)</m:t>
              </m:r>
            </m:oMath>
            <w:r>
              <w:rPr>
                <w:rFonts w:eastAsiaTheme="minorEastAsia"/>
              </w:rPr>
              <w:t xml:space="preserve"> – </w:t>
            </w:r>
            <w:r w:rsidRPr="0029240A">
              <w:t>фазовый член</w:t>
            </w:r>
            <w:r>
              <w:t>.</w:t>
            </w:r>
          </w:p>
        </w:tc>
      </w:tr>
    </w:tbl>
    <w:p w14:paraId="01FFF879" w14:textId="77777777" w:rsidR="0029240A" w:rsidRPr="0029240A" w:rsidRDefault="0029240A" w:rsidP="0029240A">
      <w:pPr>
        <w:jc w:val="both"/>
      </w:pPr>
    </w:p>
    <w:p w14:paraId="28BC6159" w14:textId="77777777" w:rsidR="00F95A24" w:rsidRDefault="0029240A" w:rsidP="005D2B4B">
      <w:pPr>
        <w:ind w:firstLine="709"/>
        <w:jc w:val="both"/>
      </w:pPr>
      <w:r w:rsidRPr="0029240A">
        <w:t xml:space="preserve">Если среда, в которой распространяются две волны, линейна (т.е. отсутствует зависимость свойств среды от происходящих в ней процессов), результирующее колебание представляет собой геометрическую сумму колебаний, соответствующих каждой из складываемых волн. Падающая электромагнитная волна с напряженностью поля </w:t>
      </w:r>
      <m:oMath>
        <m:acc>
          <m:accPr>
            <m:chr m:val="̅"/>
            <m:ctrlPr>
              <w:rPr>
                <w:rFonts w:ascii="Cambria Math" w:hAnsi="Cambria Math"/>
                <w:i/>
              </w:rPr>
            </m:ctrlPr>
          </m:accPr>
          <m:e>
            <m:r>
              <w:rPr>
                <w:rFonts w:ascii="Cambria Math" w:hAnsi="Cambria Math"/>
              </w:rPr>
              <m:t>E</m:t>
            </m:r>
          </m:e>
        </m:acc>
      </m:oMath>
      <w:r w:rsidRPr="0029240A">
        <w:t xml:space="preserve"> делится на два </w:t>
      </w:r>
      <w:r w:rsidRPr="0029240A">
        <w:lastRenderedPageBreak/>
        <w:t>когерентных пучка</w:t>
      </w:r>
      <w:r w:rsidR="000F78FC">
        <w:t xml:space="preserve"> </w:t>
      </w:r>
      <w:r w:rsidR="000F78FC" w:rsidRPr="000F78FC">
        <w:t>[4]</w:t>
      </w:r>
      <w:r w:rsidRPr="0029240A">
        <w:t xml:space="preserve">: на объектную (тестирующую) волну с напряженностью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r w:rsidRPr="0029240A">
        <w:t xml:space="preserve"> и опорную (эталонную) волну с напряженностью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p</m:t>
            </m:r>
          </m:sub>
        </m:sSub>
      </m:oMath>
      <w:r w:rsidRPr="0029240A">
        <w:t xml:space="preserve">. В качестве делителя луча обычно используется полупрозрачное зеркало. После прохождения соответствующих путей и накопления фазовых задержек происходит суперпозиция волн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p</m:t>
            </m:r>
          </m:sub>
        </m:sSub>
      </m:oMath>
      <w:r w:rsidRPr="0029240A">
        <w:t xml:space="preserve"> 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r w:rsidRPr="0029240A">
        <w:t xml:space="preserve"> на втором светоделителе. Напряженность результирующего поля равна векторной сумме волн</w:t>
      </w:r>
      <w:r w:rsidR="00F95A24">
        <w:t>:</w:t>
      </w:r>
    </w:p>
    <w:p w14:paraId="3B0D2D13" w14:textId="77777777" w:rsidR="003860A5" w:rsidRDefault="003860A5" w:rsidP="005D2B4B">
      <w:pPr>
        <w:ind w:firstLine="709"/>
        <w:jc w:val="both"/>
      </w:pP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F95A24" w14:paraId="1ED6FD54" w14:textId="77777777" w:rsidTr="00083405">
        <w:tc>
          <w:tcPr>
            <w:tcW w:w="8359" w:type="dxa"/>
            <w:gridSpan w:val="2"/>
            <w:vAlign w:val="center"/>
          </w:tcPr>
          <w:p w14:paraId="71FEE49B" w14:textId="12D0B6B4" w:rsidR="00F95A24" w:rsidRDefault="00F95A24" w:rsidP="00083405">
            <w:pPr>
              <w:jc w:val="center"/>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s</m:t>
                  </m:r>
                </m:sub>
              </m:sSub>
              <m:r>
                <w:rPr>
                  <w:rFonts w:ascii="Cambria Math" w:hAnsi="Cambria Math"/>
                </w:rPr>
                <m:t xml:space="preserve"> </m:t>
              </m:r>
              <m:r>
                <w:rPr>
                  <w:rFonts w:ascii="Cambria Math" w:hAnsi="Cambria Math"/>
                  <w:i/>
                </w:rPr>
                <w:sym w:font="Symbol" w:char="F03D"/>
              </m:r>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p</m:t>
                  </m:r>
                </m:sub>
              </m:sSub>
            </m:oMath>
            <w:r w:rsidRPr="0029240A">
              <w:t xml:space="preserve"> </w:t>
            </w:r>
          </w:p>
        </w:tc>
        <w:tc>
          <w:tcPr>
            <w:tcW w:w="986" w:type="dxa"/>
            <w:vAlign w:val="center"/>
          </w:tcPr>
          <w:p w14:paraId="5A94F063" w14:textId="100B67DC" w:rsidR="00F95A24" w:rsidRDefault="00F95A24" w:rsidP="00083405">
            <w:pPr>
              <w:jc w:val="center"/>
            </w:pPr>
            <w:r>
              <w:t>(</w:t>
            </w:r>
            <w:r>
              <w:t>3</w:t>
            </w:r>
            <w:r>
              <w:t>)</w:t>
            </w:r>
          </w:p>
        </w:tc>
      </w:tr>
      <w:tr w:rsidR="00F95A24" w14:paraId="0175FA85" w14:textId="77777777" w:rsidTr="00083405">
        <w:tc>
          <w:tcPr>
            <w:tcW w:w="885" w:type="dxa"/>
            <w:vAlign w:val="center"/>
          </w:tcPr>
          <w:p w14:paraId="38C1408E" w14:textId="77777777" w:rsidR="00F95A24" w:rsidRDefault="00F95A24" w:rsidP="00083405">
            <w:pPr>
              <w:jc w:val="center"/>
            </w:pPr>
          </w:p>
        </w:tc>
        <w:tc>
          <w:tcPr>
            <w:tcW w:w="8460" w:type="dxa"/>
            <w:gridSpan w:val="2"/>
            <w:vAlign w:val="center"/>
          </w:tcPr>
          <w:p w14:paraId="68D65489" w14:textId="77777777" w:rsidR="00F95A24" w:rsidRDefault="00F95A24" w:rsidP="00083405">
            <w:pPr>
              <w:jc w:val="center"/>
            </w:pPr>
          </w:p>
        </w:tc>
      </w:tr>
    </w:tbl>
    <w:p w14:paraId="1E289FAE" w14:textId="6BFDBFED" w:rsidR="0029240A" w:rsidRPr="0029240A" w:rsidRDefault="0029240A" w:rsidP="00F95A24">
      <w:pPr>
        <w:jc w:val="both"/>
      </w:pPr>
    </w:p>
    <w:p w14:paraId="17829DC5" w14:textId="6CFC8743" w:rsidR="0029240A" w:rsidRDefault="008F684C" w:rsidP="0029240A">
      <w:pPr>
        <w:jc w:val="both"/>
      </w:pPr>
      <w:r>
        <w:t>Большинство</w:t>
      </w:r>
      <w:r w:rsidR="0029240A" w:rsidRPr="0029240A">
        <w:t xml:space="preserve"> оптически</w:t>
      </w:r>
      <w:r>
        <w:t xml:space="preserve">х </w:t>
      </w:r>
      <w:r w:rsidR="0029240A" w:rsidRPr="0029240A">
        <w:t>детектор</w:t>
      </w:r>
      <w:r>
        <w:t xml:space="preserve">ов </w:t>
      </w:r>
      <w:r w:rsidR="0029240A" w:rsidRPr="0029240A">
        <w:t>не позволяют непосредственно регистрировать комплексную амплитуду поля из-за высокой частоты световых волн (</w:t>
      </w:r>
      <m:oMath>
        <m:sSup>
          <m:sSupPr>
            <m:ctrlPr>
              <w:rPr>
                <w:rFonts w:ascii="Cambria Math" w:hAnsi="Cambria Math"/>
                <w:i/>
              </w:rPr>
            </m:ctrlPr>
          </m:sSupPr>
          <m:e>
            <m:r>
              <w:rPr>
                <w:rFonts w:ascii="Cambria Math" w:hAnsi="Cambria Math"/>
              </w:rPr>
              <m:t>10</m:t>
            </m:r>
          </m:e>
          <m:sup>
            <m:r>
              <w:rPr>
                <w:rFonts w:ascii="Cambria Math" w:hAnsi="Cambria Math"/>
              </w:rPr>
              <m:t>14</m:t>
            </m:r>
          </m:sup>
        </m:sSup>
      </m:oMath>
      <w:r>
        <w:t>-</w:t>
      </w:r>
      <m:oMath>
        <m:sSup>
          <m:sSupPr>
            <m:ctrlPr>
              <w:rPr>
                <w:rFonts w:ascii="Cambria Math" w:hAnsi="Cambria Math"/>
                <w:i/>
              </w:rPr>
            </m:ctrlPr>
          </m:sSupPr>
          <m:e>
            <m:r>
              <w:rPr>
                <w:rFonts w:ascii="Cambria Math" w:hAnsi="Cambria Math"/>
              </w:rPr>
              <m:t>10</m:t>
            </m:r>
          </m:e>
          <m:sup>
            <m:r>
              <w:rPr>
                <w:rFonts w:ascii="Cambria Math" w:hAnsi="Cambria Math"/>
              </w:rPr>
              <m:t>15</m:t>
            </m:r>
          </m:sup>
        </m:sSup>
      </m:oMath>
      <w:r>
        <w:rPr>
          <w:rFonts w:eastAsiaTheme="minorEastAsia"/>
        </w:rPr>
        <w:t xml:space="preserve"> </w:t>
      </w:r>
      <w:r w:rsidR="0029240A" w:rsidRPr="0029240A">
        <w:t>Гц), а реагируют лишь на усредненную энергию или интенсивность принимаемого излучения. Поэтому в эксперименте наблюдаемые величины интенсивности оптического изображения пропорциональны среднему значению квадрата напряженности электрического поля за время, определяемое инерционностью приемника излучения. Интенсивность выражается в ваттах на квадратный метр (Вт/</w:t>
      </w:r>
      <m:oMath>
        <m:sSup>
          <m:sSupPr>
            <m:ctrlPr>
              <w:rPr>
                <w:rFonts w:ascii="Cambria Math" w:hAnsi="Cambria Math"/>
                <w:i/>
              </w:rPr>
            </m:ctrlPr>
          </m:sSupPr>
          <m:e>
            <m:r>
              <w:rPr>
                <w:rFonts w:ascii="Cambria Math" w:hAnsi="Cambria Math"/>
              </w:rPr>
              <m:t>м</m:t>
            </m:r>
          </m:e>
          <m:sup>
            <m:r>
              <w:rPr>
                <w:rFonts w:ascii="Cambria Math" w:hAnsi="Cambria Math"/>
              </w:rPr>
              <m:t>2</m:t>
            </m:r>
          </m:sup>
        </m:sSup>
      </m:oMath>
      <w:r w:rsidR="0029240A" w:rsidRPr="0029240A">
        <w:t xml:space="preserve">) и определяется </w:t>
      </w:r>
      <w:r w:rsidR="00E47C2E">
        <w:t>выражением:</w:t>
      </w:r>
    </w:p>
    <w:p w14:paraId="7061381B" w14:textId="77777777" w:rsidR="003860A5" w:rsidRPr="0029240A" w:rsidRDefault="003860A5" w:rsidP="0029240A">
      <w:pPr>
        <w:jc w:val="both"/>
      </w:pP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160F86" w14:paraId="7372F5FA" w14:textId="77777777" w:rsidTr="00083405">
        <w:tc>
          <w:tcPr>
            <w:tcW w:w="8359" w:type="dxa"/>
            <w:gridSpan w:val="2"/>
            <w:vAlign w:val="center"/>
          </w:tcPr>
          <w:p w14:paraId="6BAD9F7A" w14:textId="4F9503C9" w:rsidR="00160F86" w:rsidRDefault="00160F86" w:rsidP="00160F86">
            <w:pPr>
              <w:jc w:val="cente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e>
                        </m:d>
                      </m:e>
                      <m:sup>
                        <m:r>
                          <w:rPr>
                            <w:rFonts w:ascii="Cambria Math" w:hAnsi="Cambria Math"/>
                          </w:rPr>
                          <m:t>2</m:t>
                        </m:r>
                      </m:sup>
                    </m:sSup>
                  </m:e>
                </m:d>
              </m:oMath>
            </m:oMathPara>
          </w:p>
        </w:tc>
        <w:tc>
          <w:tcPr>
            <w:tcW w:w="986" w:type="dxa"/>
            <w:vAlign w:val="center"/>
          </w:tcPr>
          <w:p w14:paraId="7ECC01EE" w14:textId="12ED5243" w:rsidR="00160F86" w:rsidRDefault="00160F86" w:rsidP="00083405">
            <w:pPr>
              <w:jc w:val="center"/>
            </w:pPr>
            <w:r>
              <w:t>(</w:t>
            </w:r>
            <w:r>
              <w:t>4</w:t>
            </w:r>
            <w:r>
              <w:t>)</w:t>
            </w:r>
          </w:p>
        </w:tc>
      </w:tr>
      <w:tr w:rsidR="00160F86" w14:paraId="22768BD5" w14:textId="77777777" w:rsidTr="00083405">
        <w:tc>
          <w:tcPr>
            <w:tcW w:w="885" w:type="dxa"/>
            <w:vAlign w:val="center"/>
          </w:tcPr>
          <w:p w14:paraId="1C537507" w14:textId="77777777" w:rsidR="00160F86" w:rsidRDefault="00160F86" w:rsidP="00083405">
            <w:pPr>
              <w:jc w:val="center"/>
            </w:pPr>
          </w:p>
        </w:tc>
        <w:tc>
          <w:tcPr>
            <w:tcW w:w="8460" w:type="dxa"/>
            <w:gridSpan w:val="2"/>
            <w:vAlign w:val="center"/>
          </w:tcPr>
          <w:p w14:paraId="48BD5519" w14:textId="77777777" w:rsidR="00160F86" w:rsidRDefault="00160F86" w:rsidP="00083405">
            <w:pPr>
              <w:jc w:val="center"/>
            </w:pPr>
          </w:p>
        </w:tc>
      </w:tr>
    </w:tbl>
    <w:p w14:paraId="08EB53F4" w14:textId="77777777" w:rsidR="0029240A" w:rsidRPr="0029240A" w:rsidRDefault="0029240A" w:rsidP="0029240A">
      <w:pPr>
        <w:jc w:val="both"/>
      </w:pPr>
    </w:p>
    <w:p w14:paraId="55ADFE46" w14:textId="0FAF1047" w:rsidR="0029240A" w:rsidRPr="0029240A" w:rsidRDefault="005B1520" w:rsidP="005B1520">
      <w:pPr>
        <w:ind w:firstLine="709"/>
        <w:jc w:val="both"/>
      </w:pPr>
      <w:r>
        <w:t>В случае, когда</w:t>
      </w:r>
      <w:r w:rsidR="0029240A" w:rsidRPr="0029240A">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p</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w:rPr>
            <w:rFonts w:ascii="Cambria Math" w:hAnsi="Cambria Math"/>
          </w:rPr>
          <m:t xml:space="preserve"> </m:t>
        </m:r>
      </m:oMath>
      <w:r w:rsidR="0029240A" w:rsidRPr="0029240A">
        <w:t>когерентны, интенсивность в выходном зрачке координатной системы интерферометра</w:t>
      </w:r>
      <w:r>
        <w:t xml:space="preserve"> описывается соотношением</w:t>
      </w:r>
      <w:r w:rsidR="0029240A" w:rsidRPr="0029240A">
        <w:t>:</w:t>
      </w:r>
    </w:p>
    <w:p w14:paraId="0F00B7F2" w14:textId="77777777" w:rsidR="0029240A" w:rsidRDefault="0029240A" w:rsidP="0029240A">
      <w:pPr>
        <w:jc w:val="both"/>
      </w:pP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5B1520" w14:paraId="41BBE36C" w14:textId="77777777" w:rsidTr="00083405">
        <w:tc>
          <w:tcPr>
            <w:tcW w:w="8359" w:type="dxa"/>
            <w:gridSpan w:val="2"/>
            <w:vAlign w:val="center"/>
          </w:tcPr>
          <w:p w14:paraId="0603F986" w14:textId="6B0F1E21" w:rsidR="005B1520" w:rsidRDefault="005B1520" w:rsidP="005B1520">
            <w:pPr>
              <w:jc w:val="center"/>
            </w:pPr>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r>
                        <w:rPr>
                          <w:rFonts w:ascii="Cambria Math" w:hAnsi="Cambria Math"/>
                        </w:rPr>
                        <m:t>)</m:t>
                      </m:r>
                    </m:e>
                    <m:sup>
                      <m:r>
                        <w:rPr>
                          <w:rFonts w:ascii="Cambria Math" w:hAnsi="Cambria Math"/>
                        </w:rPr>
                        <m:t>2</m:t>
                      </m:r>
                    </m:sup>
                  </m:sSup>
                </m:e>
              </m:d>
              <m:r>
                <w:rPr>
                  <w:rFonts w:ascii="Cambria Math" w:hAnsi="Cambria Math"/>
                </w:rPr>
                <m:t xml:space="preserve">= </m:t>
              </m:r>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rPr>
                        <m:t>p</m:t>
                      </m:r>
                    </m:sub>
                    <m:sup>
                      <m:r>
                        <w:rPr>
                          <w:rFonts w:ascii="Cambria Math" w:hAnsi="Cambria Math"/>
                        </w:rPr>
                        <m:t>2</m:t>
                      </m:r>
                    </m:sup>
                  </m:sSubSup>
                </m:e>
              </m:d>
            </m:oMath>
            <w:r w:rsidRPr="0029240A">
              <w:t xml:space="preserve"> + </w:t>
            </w:r>
            <m:oMath>
              <m:d>
                <m:dPr>
                  <m:begChr m:val="〈"/>
                  <m:endChr m:val="〉"/>
                  <m:ctrlPr>
                    <w:rPr>
                      <w:rFonts w:ascii="Cambria Math" w:hAnsi="Cambria Math"/>
                      <w:i/>
                    </w:rPr>
                  </m:ctrlPr>
                </m:dPr>
                <m:e>
                  <m:sSubSup>
                    <m:sSubSupPr>
                      <m:ctrlPr>
                        <w:rPr>
                          <w:rFonts w:ascii="Cambria Math" w:hAnsi="Cambria Math"/>
                          <w:i/>
                        </w:rPr>
                      </m:ctrlPr>
                    </m:sSubSupPr>
                    <m:e>
                      <m:acc>
                        <m:accPr>
                          <m:chr m:val="̅"/>
                          <m:ctrlPr>
                            <w:rPr>
                              <w:rFonts w:ascii="Cambria Math" w:hAnsi="Cambria Math"/>
                              <w:i/>
                              <w:lang w:val="en-US"/>
                            </w:rPr>
                          </m:ctrlPr>
                        </m:accPr>
                        <m:e>
                          <m:r>
                            <w:rPr>
                              <w:rFonts w:ascii="Cambria Math" w:hAnsi="Cambria Math"/>
                              <w:lang w:val="en-US"/>
                            </w:rPr>
                            <m:t>E</m:t>
                          </m:r>
                        </m:e>
                      </m:acc>
                    </m:e>
                    <m:sub>
                      <m:r>
                        <w:rPr>
                          <w:rFonts w:ascii="Cambria Math" w:hAnsi="Cambria Math"/>
                        </w:rPr>
                        <m:t>r</m:t>
                      </m:r>
                    </m:sub>
                    <m:sup>
                      <m:r>
                        <w:rPr>
                          <w:rFonts w:ascii="Cambria Math" w:hAnsi="Cambria Math"/>
                        </w:rPr>
                        <m:t>2</m:t>
                      </m:r>
                    </m:sup>
                  </m:sSubSup>
                </m:e>
              </m:d>
            </m:oMath>
            <w:r w:rsidRPr="0029240A">
              <w:t xml:space="preserve"> + 2</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p</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e>
              </m:d>
            </m:oMath>
          </w:p>
        </w:tc>
        <w:tc>
          <w:tcPr>
            <w:tcW w:w="986" w:type="dxa"/>
            <w:vAlign w:val="center"/>
          </w:tcPr>
          <w:p w14:paraId="6188373C" w14:textId="57621521" w:rsidR="005B1520" w:rsidRDefault="005B1520" w:rsidP="00083405">
            <w:pPr>
              <w:jc w:val="center"/>
            </w:pPr>
            <w:r>
              <w:t>(</w:t>
            </w:r>
            <w:r>
              <w:t>5</w:t>
            </w:r>
            <w:r>
              <w:t>)</w:t>
            </w:r>
          </w:p>
        </w:tc>
      </w:tr>
      <w:tr w:rsidR="005B1520" w14:paraId="7E86DE33" w14:textId="77777777" w:rsidTr="00083405">
        <w:tc>
          <w:tcPr>
            <w:tcW w:w="885" w:type="dxa"/>
            <w:vAlign w:val="center"/>
          </w:tcPr>
          <w:p w14:paraId="60106BEB" w14:textId="77777777" w:rsidR="005B1520" w:rsidRDefault="005B1520" w:rsidP="00083405">
            <w:pPr>
              <w:jc w:val="center"/>
            </w:pPr>
          </w:p>
        </w:tc>
        <w:tc>
          <w:tcPr>
            <w:tcW w:w="8460" w:type="dxa"/>
            <w:gridSpan w:val="2"/>
            <w:vAlign w:val="center"/>
          </w:tcPr>
          <w:p w14:paraId="7108ED5C" w14:textId="77777777" w:rsidR="005B1520" w:rsidRDefault="005B1520" w:rsidP="00083405">
            <w:pPr>
              <w:jc w:val="center"/>
            </w:pPr>
          </w:p>
        </w:tc>
      </w:tr>
    </w:tbl>
    <w:p w14:paraId="15B2C388" w14:textId="77777777" w:rsidR="005B1520" w:rsidRPr="0029240A" w:rsidRDefault="005B1520" w:rsidP="0029240A">
      <w:pPr>
        <w:jc w:val="both"/>
      </w:pPr>
    </w:p>
    <w:p w14:paraId="1AD23A21" w14:textId="77777777" w:rsidR="0029240A" w:rsidRPr="0029240A" w:rsidRDefault="0029240A" w:rsidP="0029240A">
      <w:pPr>
        <w:jc w:val="both"/>
      </w:pPr>
    </w:p>
    <w:p w14:paraId="0E0CBE23" w14:textId="748CF93A" w:rsidR="0029240A" w:rsidRDefault="0029240A" w:rsidP="001E163D">
      <w:pPr>
        <w:ind w:firstLine="709"/>
        <w:jc w:val="both"/>
      </w:pPr>
      <w:r w:rsidRPr="0029240A">
        <w:t>Выражение для результирующей интенсивности интерферирующих волн помимо суммы интенсивностей для каждой из волн содержит слагаемое 2</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p</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e>
        </m:d>
      </m:oMath>
      <w:r w:rsidRPr="0029240A">
        <w:t xml:space="preserve">, называемое интерференционным членом. Скалярное произведение векторов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lang w:val="en-US"/>
              </w:rPr>
              <m:t>p</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oMath>
      <w:r w:rsidRPr="0029240A">
        <w:t xml:space="preserve"> всегда равно нулю (интерференция отсутствует), если складываемые волны линейно–поляризованы в ортогональных направлениях. Если интерферирующие волны одинаково поляризованы, то можно отвлечься от векторного характера этих величин. В этом случае выражение для интенсивности имеет вид</w:t>
      </w:r>
      <w:r w:rsidR="001E163D">
        <w:t>:</w:t>
      </w:r>
    </w:p>
    <w:p w14:paraId="7CC2008B" w14:textId="77777777" w:rsidR="003860A5" w:rsidRPr="0029240A" w:rsidRDefault="003860A5" w:rsidP="001E163D">
      <w:pPr>
        <w:ind w:firstLine="709"/>
        <w:jc w:val="both"/>
      </w:pP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C43DF5" w14:paraId="6FB465BB" w14:textId="77777777" w:rsidTr="00083405">
        <w:tc>
          <w:tcPr>
            <w:tcW w:w="8359" w:type="dxa"/>
            <w:gridSpan w:val="2"/>
            <w:vAlign w:val="center"/>
          </w:tcPr>
          <w:p w14:paraId="1573A6B4" w14:textId="716E578B" w:rsidR="00C43DF5" w:rsidRDefault="00C43DF5" w:rsidP="00083405">
            <w:pPr>
              <w:jc w:val="cente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p</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E</m:t>
                                </m:r>
                              </m:e>
                            </m:acc>
                          </m:e>
                          <m:sub>
                            <m:r>
                              <w:rPr>
                                <w:rFonts w:ascii="Cambria Math" w:hAnsi="Cambria Math"/>
                              </w:rPr>
                              <m:t>r</m:t>
                            </m:r>
                          </m:sub>
                        </m:sSub>
                        <m:d>
                          <m:dPr>
                            <m:ctrlPr>
                              <w:rPr>
                                <w:rFonts w:ascii="Cambria Math" w:hAnsi="Cambria Math"/>
                                <w:i/>
                              </w:rPr>
                            </m:ctrlPr>
                          </m:dPr>
                          <m:e>
                            <m:r>
                              <w:rPr>
                                <w:rFonts w:ascii="Cambria Math" w:hAnsi="Cambria Math"/>
                              </w:rPr>
                              <m:t>x,y</m:t>
                            </m:r>
                          </m:e>
                        </m:d>
                      </m:e>
                    </m:d>
                  </m:e>
                  <m:sup>
                    <m:r>
                      <w:rPr>
                        <w:rFonts w:ascii="Cambria Math" w:hAnsi="Cambria Math"/>
                      </w:rPr>
                      <m:t>2</m:t>
                    </m:r>
                  </m:sup>
                </m:sSup>
              </m:oMath>
            </m:oMathPara>
          </w:p>
        </w:tc>
        <w:tc>
          <w:tcPr>
            <w:tcW w:w="986" w:type="dxa"/>
            <w:vAlign w:val="center"/>
          </w:tcPr>
          <w:p w14:paraId="10CEFC5E" w14:textId="672C415C" w:rsidR="00C43DF5" w:rsidRDefault="00C43DF5" w:rsidP="00083405">
            <w:pPr>
              <w:jc w:val="center"/>
            </w:pPr>
            <w:r>
              <w:t>(</w:t>
            </w:r>
            <w:r>
              <w:t>6</w:t>
            </w:r>
            <w:r>
              <w:t>)</w:t>
            </w:r>
          </w:p>
        </w:tc>
      </w:tr>
      <w:tr w:rsidR="00C43DF5" w14:paraId="1F0ECF4D" w14:textId="77777777" w:rsidTr="00083405">
        <w:tc>
          <w:tcPr>
            <w:tcW w:w="8359" w:type="dxa"/>
            <w:gridSpan w:val="2"/>
            <w:vAlign w:val="center"/>
          </w:tcPr>
          <w:p w14:paraId="311FDE45" w14:textId="056D15C6" w:rsidR="00C43DF5" w:rsidRPr="0029240A" w:rsidRDefault="00C43DF5" w:rsidP="00083405">
            <w:pPr>
              <w:jc w:val="center"/>
              <w:rPr>
                <w:rFonts w:eastAsia="Calibri" w:cs="Times New Roman"/>
              </w:rP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p</m:t>
                            </m:r>
                          </m:sub>
                        </m:sSub>
                        <m:d>
                          <m:dPr>
                            <m:ctrlPr>
                              <w:rPr>
                                <w:rFonts w:ascii="Cambria Math" w:hAnsi="Cambria Math"/>
                                <w:i/>
                              </w:rPr>
                            </m:ctrlPr>
                          </m:dPr>
                          <m:e>
                            <m:r>
                              <w:rPr>
                                <w:rFonts w:ascii="Cambria Math" w:hAnsi="Cambria Math"/>
                              </w:rPr>
                              <m:t>x,y</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d>
                          <m:dPr>
                            <m:ctrlPr>
                              <w:rPr>
                                <w:rFonts w:ascii="Cambria Math" w:hAnsi="Cambria Math"/>
                                <w:i/>
                              </w:rPr>
                            </m:ctrlPr>
                          </m:dPr>
                          <m:e>
                            <m:r>
                              <w:rPr>
                                <w:rFonts w:ascii="Cambria Math" w:hAnsi="Cambria Math"/>
                              </w:rPr>
                              <m:t>x,y</m:t>
                            </m:r>
                          </m:e>
                        </m:d>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p</m:t>
                        </m:r>
                      </m:sub>
                    </m:sSub>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0</m:t>
                            </m:r>
                          </m:sub>
                        </m:sSub>
                        <m:d>
                          <m:dPr>
                            <m:ctrlPr>
                              <w:rPr>
                                <w:rFonts w:ascii="Cambria Math" w:hAnsi="Cambria Math"/>
                                <w:i/>
                              </w:rPr>
                            </m:ctrlPr>
                          </m:dPr>
                          <m:e>
                            <m:r>
                              <w:rPr>
                                <w:rFonts w:ascii="Cambria Math" w:hAnsi="Cambria Math"/>
                              </w:rPr>
                              <m:t>x,y</m:t>
                            </m:r>
                          </m:e>
                        </m:d>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r</m:t>
                            </m:r>
                          </m:sub>
                        </m:sSub>
                        <m:d>
                          <m:dPr>
                            <m:ctrlPr>
                              <w:rPr>
                                <w:rFonts w:ascii="Cambria Math" w:hAnsi="Cambria Math"/>
                                <w:i/>
                              </w:rPr>
                            </m:ctrlPr>
                          </m:dPr>
                          <m:e>
                            <m:r>
                              <w:rPr>
                                <w:rFonts w:ascii="Cambria Math" w:hAnsi="Cambria Math"/>
                              </w:rPr>
                              <m:t>x,y</m:t>
                            </m:r>
                          </m:e>
                        </m:d>
                      </m:sup>
                    </m:sSup>
                  </m:e>
                </m:d>
                <m:r>
                  <m:rPr>
                    <m:aln/>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p</m:t>
                    </m:r>
                  </m:sub>
                  <m:sup>
                    <m:r>
                      <w:rPr>
                        <w:rFonts w:ascii="Cambria Math" w:hAnsi="Cambria Math"/>
                      </w:rPr>
                      <m:t>2</m:t>
                    </m:r>
                  </m:sup>
                </m:sSubSup>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r</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p</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(x,y))</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r</m:t>
                    </m:r>
                  </m:sub>
                </m:sSub>
                <m:d>
                  <m:dPr>
                    <m:ctrlPr>
                      <w:rPr>
                        <w:rFonts w:ascii="Cambria Math" w:hAnsi="Cambria Math"/>
                        <w:i/>
                      </w:rPr>
                    </m:ctrlPr>
                  </m:dPr>
                  <m:e>
                    <m:r>
                      <w:rPr>
                        <w:rFonts w:ascii="Cambria Math" w:hAnsi="Cambria Math"/>
                      </w:rPr>
                      <m:t>x,y</m:t>
                    </m:r>
                  </m:e>
                </m:d>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(φ</m:t>
                        </m:r>
                      </m:e>
                      <m:sub>
                        <m:r>
                          <w:rPr>
                            <w:rFonts w:ascii="Cambria Math" w:hAnsi="Cambria Math"/>
                          </w:rPr>
                          <m:t>p</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r>
                      <w:rPr>
                        <w:rFonts w:ascii="Cambria Math" w:hAnsi="Cambria Math"/>
                      </w:rPr>
                      <m:t>(x,y))</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2</m:t>
                    </m:r>
                  </m:sup>
                </m:sSubSup>
                <m:d>
                  <m:dPr>
                    <m:ctrlPr>
                      <w:rPr>
                        <w:rFonts w:ascii="Cambria Math" w:hAnsi="Cambria Math"/>
                        <w:i/>
                      </w:rPr>
                    </m:ctrlPr>
                  </m:dPr>
                  <m:e>
                    <m:r>
                      <w:rPr>
                        <w:rFonts w:ascii="Cambria Math" w:hAnsi="Cambria Math"/>
                      </w:rPr>
                      <m:t>x,y</m:t>
                    </m:r>
                  </m:e>
                </m:d>
              </m:oMath>
            </m:oMathPara>
          </w:p>
        </w:tc>
        <w:tc>
          <w:tcPr>
            <w:tcW w:w="986" w:type="dxa"/>
            <w:vAlign w:val="center"/>
          </w:tcPr>
          <w:p w14:paraId="2E9ED99B" w14:textId="2CA0D3FA" w:rsidR="00C43DF5" w:rsidRDefault="00C43DF5" w:rsidP="00083405">
            <w:pPr>
              <w:jc w:val="center"/>
            </w:pPr>
            <w:r>
              <w:t>(7)</w:t>
            </w:r>
          </w:p>
        </w:tc>
      </w:tr>
      <w:tr w:rsidR="00C43DF5" w14:paraId="3F922344" w14:textId="77777777" w:rsidTr="00083405">
        <w:tc>
          <w:tcPr>
            <w:tcW w:w="885" w:type="dxa"/>
            <w:vAlign w:val="center"/>
          </w:tcPr>
          <w:p w14:paraId="76AFB0FD" w14:textId="77777777" w:rsidR="00C43DF5" w:rsidRDefault="00C43DF5" w:rsidP="00083405">
            <w:pPr>
              <w:jc w:val="center"/>
            </w:pPr>
          </w:p>
        </w:tc>
        <w:tc>
          <w:tcPr>
            <w:tcW w:w="8460" w:type="dxa"/>
            <w:gridSpan w:val="2"/>
            <w:vAlign w:val="center"/>
          </w:tcPr>
          <w:p w14:paraId="4D25D611" w14:textId="77777777" w:rsidR="00C43DF5" w:rsidRDefault="00C43DF5" w:rsidP="00083405">
            <w:pPr>
              <w:jc w:val="center"/>
            </w:pPr>
          </w:p>
        </w:tc>
      </w:tr>
    </w:tbl>
    <w:p w14:paraId="6A727858" w14:textId="05263A0B" w:rsidR="003860A5" w:rsidRPr="0029240A" w:rsidRDefault="0029240A" w:rsidP="00377D26">
      <w:pPr>
        <w:ind w:firstLine="709"/>
        <w:jc w:val="both"/>
      </w:pPr>
      <w:r w:rsidRPr="0029240A">
        <w:t>В результате</w:t>
      </w:r>
      <w:r w:rsidR="00377D26">
        <w:t>:</w:t>
      </w:r>
    </w:p>
    <w:tbl>
      <w:tblPr>
        <w:tblStyle w:val="a6"/>
        <w:tblW w:w="0" w:type="auto"/>
        <w:tblBorders>
          <w:top w:val="dashed" w:sz="4" w:space="0" w:color="00B0F0"/>
          <w:left w:val="dashed" w:sz="4" w:space="0" w:color="00B0F0"/>
          <w:bottom w:val="dashed" w:sz="4" w:space="0" w:color="00B0F0"/>
          <w:right w:val="dashed" w:sz="4" w:space="0" w:color="00B0F0"/>
          <w:insideH w:val="dashed" w:sz="4" w:space="0" w:color="00B0F0"/>
          <w:insideV w:val="dashed" w:sz="4" w:space="0" w:color="00B0F0"/>
        </w:tblBorders>
        <w:tblLook w:val="04A0" w:firstRow="1" w:lastRow="0" w:firstColumn="1" w:lastColumn="0" w:noHBand="0" w:noVBand="1"/>
      </w:tblPr>
      <w:tblGrid>
        <w:gridCol w:w="885"/>
        <w:gridCol w:w="7474"/>
        <w:gridCol w:w="986"/>
      </w:tblGrid>
      <w:tr w:rsidR="003860A5" w14:paraId="29C5336C" w14:textId="77777777" w:rsidTr="00083405">
        <w:tc>
          <w:tcPr>
            <w:tcW w:w="8359" w:type="dxa"/>
            <w:gridSpan w:val="2"/>
            <w:vAlign w:val="center"/>
          </w:tcPr>
          <w:p w14:paraId="447FC82C" w14:textId="34402B83" w:rsidR="003860A5" w:rsidRDefault="003860A5" w:rsidP="00083405">
            <w:pPr>
              <w:jc w:val="center"/>
            </w:pPr>
            <m:oMathPara>
              <m:oMath>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p</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r</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A</m:t>
                    </m:r>
                  </m:e>
                  <m:sub>
                    <m:r>
                      <w:rPr>
                        <w:rFonts w:ascii="Cambria Math" w:hAnsi="Cambria Math"/>
                      </w:rPr>
                      <m:t>r</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r</m:t>
                            </m:r>
                          </m:sub>
                        </m:sSub>
                      </m:e>
                    </m:d>
                  </m:e>
                </m:func>
              </m:oMath>
            </m:oMathPara>
          </w:p>
        </w:tc>
        <w:tc>
          <w:tcPr>
            <w:tcW w:w="986" w:type="dxa"/>
            <w:vAlign w:val="center"/>
          </w:tcPr>
          <w:p w14:paraId="752F11A7" w14:textId="3F5EACE6" w:rsidR="003860A5" w:rsidRDefault="003860A5" w:rsidP="00083405">
            <w:pPr>
              <w:jc w:val="center"/>
            </w:pPr>
            <w:r>
              <w:t>(</w:t>
            </w:r>
            <w:r>
              <w:t>8</w:t>
            </w:r>
            <w:r>
              <w:t>)</w:t>
            </w:r>
          </w:p>
        </w:tc>
      </w:tr>
      <w:tr w:rsidR="003860A5" w14:paraId="46D6FFA1" w14:textId="77777777" w:rsidTr="00083405">
        <w:tc>
          <w:tcPr>
            <w:tcW w:w="885" w:type="dxa"/>
            <w:vAlign w:val="center"/>
          </w:tcPr>
          <w:p w14:paraId="0D52848A" w14:textId="77777777" w:rsidR="003860A5" w:rsidRDefault="003860A5" w:rsidP="00083405">
            <w:pPr>
              <w:jc w:val="center"/>
            </w:pPr>
          </w:p>
        </w:tc>
        <w:tc>
          <w:tcPr>
            <w:tcW w:w="8460" w:type="dxa"/>
            <w:gridSpan w:val="2"/>
            <w:vAlign w:val="center"/>
          </w:tcPr>
          <w:p w14:paraId="31B34E7E" w14:textId="77777777" w:rsidR="003860A5" w:rsidRDefault="003860A5" w:rsidP="00083405">
            <w:pPr>
              <w:jc w:val="center"/>
            </w:pPr>
          </w:p>
        </w:tc>
      </w:tr>
    </w:tbl>
    <w:p w14:paraId="508C1153" w14:textId="77777777" w:rsidR="0029240A" w:rsidRPr="0029240A" w:rsidRDefault="0029240A" w:rsidP="0029240A">
      <w:pPr>
        <w:jc w:val="both"/>
        <w:rPr>
          <w:i/>
        </w:rPr>
      </w:pPr>
    </w:p>
    <w:p w14:paraId="4EF6FE99" w14:textId="20737432" w:rsidR="0018433D" w:rsidRPr="00571103" w:rsidRDefault="00FA7BB4" w:rsidP="00FA7BB4">
      <w:pPr>
        <w:ind w:firstLine="709"/>
        <w:jc w:val="both"/>
      </w:pPr>
      <w:r>
        <w:t xml:space="preserve">Из выражения </w:t>
      </w:r>
      <w:r w:rsidR="0029240A" w:rsidRPr="0029240A">
        <w:t>(</w:t>
      </w:r>
      <w:r w:rsidR="00597FE9">
        <w:t>8</w:t>
      </w:r>
      <w:r w:rsidR="0029240A" w:rsidRPr="0029240A">
        <w:t>)</w:t>
      </w:r>
      <w:r>
        <w:t xml:space="preserve"> видно</w:t>
      </w:r>
      <w:r w:rsidR="0029240A" w:rsidRPr="0029240A">
        <w:t>, что благодаря введению опорного пучка возникает интерференционная картина, в которой содержится информация как об амплитуде, так и о фазе рассеянной волны</w:t>
      </w:r>
      <w:r>
        <w:t xml:space="preserve">. </w:t>
      </w:r>
      <w:r w:rsidR="00304B2F">
        <w:t>Метод выделения сигнала, содержащего информации о фазе</w:t>
      </w:r>
      <w:r w:rsidR="00304B2F">
        <w:t>, с использованием преобразовании Фурье</w:t>
      </w:r>
      <w:r w:rsidR="00304B2F">
        <w:t xml:space="preserve"> будет рассмотрен</w:t>
      </w:r>
      <w:r w:rsidR="00304B2F">
        <w:t xml:space="preserve"> в следующем разделе.</w:t>
      </w:r>
    </w:p>
    <w:p w14:paraId="1571940E" w14:textId="3D5A4E93" w:rsidR="00571103" w:rsidRPr="0018433D" w:rsidRDefault="00571103" w:rsidP="00571103"/>
    <w:p w14:paraId="77495818" w14:textId="296DD102" w:rsidR="003960D7" w:rsidRPr="00777174" w:rsidRDefault="00ED1E1D" w:rsidP="00937CAD">
      <w:pPr>
        <w:ind w:firstLine="709"/>
        <w:jc w:val="both"/>
      </w:pPr>
      <w:r>
        <w:br w:type="page"/>
      </w:r>
    </w:p>
    <w:p w14:paraId="007275EC" w14:textId="38BDA0D7" w:rsidR="00AA6CF6" w:rsidRDefault="002D4DD2" w:rsidP="00073775">
      <w:pPr>
        <w:pStyle w:val="1"/>
        <w:tabs>
          <w:tab w:val="left" w:pos="3810"/>
        </w:tabs>
        <w:rPr>
          <w:sz w:val="24"/>
          <w:szCs w:val="24"/>
        </w:rPr>
      </w:pPr>
      <w:r>
        <w:rPr>
          <w:sz w:val="24"/>
          <w:szCs w:val="24"/>
        </w:rPr>
        <w:lastRenderedPageBreak/>
        <w:t>Список литературных источников</w:t>
      </w:r>
    </w:p>
    <w:p w14:paraId="707C252F" w14:textId="0ED98C5F" w:rsidR="00073775" w:rsidRPr="0000339F" w:rsidRDefault="00073775" w:rsidP="00073775">
      <w:pPr>
        <w:numPr>
          <w:ilvl w:val="0"/>
          <w:numId w:val="2"/>
        </w:numPr>
        <w:jc w:val="both"/>
      </w:pPr>
      <w:r w:rsidRPr="00073775">
        <w:t xml:space="preserve">М.М. Барышева, Ю.А. Вайнер и др. Особенности изучения шероховатости подложек для многослойной рентгеновской оптики методами </w:t>
      </w:r>
      <w:proofErr w:type="spellStart"/>
      <w:r w:rsidRPr="00073775">
        <w:t>малоугловой</w:t>
      </w:r>
      <w:proofErr w:type="spellEnd"/>
      <w:r w:rsidRPr="00073775">
        <w:t xml:space="preserve"> рентгеновской </w:t>
      </w:r>
      <w:proofErr w:type="spellStart"/>
      <w:r w:rsidRPr="00073775">
        <w:t>рефлектометрии</w:t>
      </w:r>
      <w:proofErr w:type="spellEnd"/>
      <w:r w:rsidRPr="00073775">
        <w:t>, атомно-силовой и интерференционной микроскопии: Известия РАН. Серия физическая, 2011, том 75, № 1, с. 71–76</w:t>
      </w:r>
    </w:p>
    <w:p w14:paraId="65AB608D" w14:textId="77777777" w:rsidR="00073775" w:rsidRPr="00BC3C94" w:rsidRDefault="00073775" w:rsidP="00073775">
      <w:pPr>
        <w:numPr>
          <w:ilvl w:val="0"/>
          <w:numId w:val="2"/>
        </w:numPr>
      </w:pPr>
      <w:r w:rsidRPr="00073775">
        <w:t>Вест Ч. Голографическая интерферометрия. - М.: Мир, 1982.-504 с</w:t>
      </w:r>
    </w:p>
    <w:p w14:paraId="1E45976B" w14:textId="46244715" w:rsidR="00BC3C94" w:rsidRDefault="00BC3C94" w:rsidP="00073775">
      <w:pPr>
        <w:numPr>
          <w:ilvl w:val="0"/>
          <w:numId w:val="2"/>
        </w:numPr>
      </w:pPr>
      <w:r>
        <w:t>Минаев</w:t>
      </w:r>
    </w:p>
    <w:p w14:paraId="377BEB11" w14:textId="53B68632" w:rsidR="00CE0EAE" w:rsidRPr="004E0D3E" w:rsidRDefault="00CE0EAE" w:rsidP="00073775">
      <w:pPr>
        <w:numPr>
          <w:ilvl w:val="0"/>
          <w:numId w:val="2"/>
        </w:numPr>
      </w:pPr>
      <w:r>
        <w:t>Гужов</w:t>
      </w:r>
      <w:r w:rsidR="00E53FD0">
        <w:t xml:space="preserve"> В.И., Ильиных С.П., Компьютерная интерферометрия. – Новосибирск: Изд-во НГТУ, 2003. – с.</w:t>
      </w:r>
    </w:p>
    <w:p w14:paraId="16D3E5B1" w14:textId="0BAF2AA9" w:rsidR="00073775" w:rsidRDefault="004E0D3E" w:rsidP="00AA1F3E">
      <w:pPr>
        <w:numPr>
          <w:ilvl w:val="0"/>
          <w:numId w:val="2"/>
        </w:numPr>
        <w:jc w:val="both"/>
        <w:rPr>
          <w:lang w:val="en-US"/>
        </w:rPr>
      </w:pPr>
      <w:proofErr w:type="spellStart"/>
      <w:r w:rsidRPr="004E0D3E">
        <w:t>Крайнюков</w:t>
      </w:r>
      <w:proofErr w:type="spellEnd"/>
      <w:r w:rsidRPr="004E0D3E">
        <w:t xml:space="preserve"> Н. Л., Храмов А. Г. Выделение центров полос на интерферограмме // КО. 1992. №10-11.</w:t>
      </w:r>
    </w:p>
    <w:p w14:paraId="7343CF79" w14:textId="0C6735D8" w:rsidR="004E0D3E" w:rsidRDefault="004E0D3E" w:rsidP="00AA1F3E">
      <w:pPr>
        <w:numPr>
          <w:ilvl w:val="0"/>
          <w:numId w:val="2"/>
        </w:numPr>
        <w:jc w:val="both"/>
        <w:rPr>
          <w:lang w:val="en-US"/>
        </w:rPr>
      </w:pPr>
      <w:r>
        <w:rPr>
          <w:lang w:val="en-US"/>
        </w:rPr>
        <w:t>Robinson D.W. Automatic fringe analysis with computer image-processing system // Appli</w:t>
      </w:r>
      <w:r w:rsidR="004C1A2A">
        <w:rPr>
          <w:lang w:val="en-US"/>
        </w:rPr>
        <w:t>e</w:t>
      </w:r>
      <w:r>
        <w:rPr>
          <w:lang w:val="en-US"/>
        </w:rPr>
        <w:t>d Optics. – 1983. – V.22. – P.2169-2176.</w:t>
      </w:r>
    </w:p>
    <w:p w14:paraId="146CE94E" w14:textId="287728D2" w:rsidR="00DE5ED8" w:rsidRDefault="00DE5ED8" w:rsidP="00AA1F3E">
      <w:pPr>
        <w:numPr>
          <w:ilvl w:val="0"/>
          <w:numId w:val="2"/>
        </w:numPr>
        <w:jc w:val="both"/>
        <w:rPr>
          <w:lang w:val="en-US"/>
        </w:rPr>
      </w:pPr>
      <w:r>
        <w:rPr>
          <w:lang w:val="en-US"/>
        </w:rPr>
        <w:t>Roddier C., Roddier F. Interferogramm analysis using Fourier transform techniques // Appl. Opt. – 1987. – V.26. – No. 9. – P.1668.-1673.</w:t>
      </w:r>
    </w:p>
    <w:p w14:paraId="71980FF6" w14:textId="26EA38C0" w:rsidR="00787E27" w:rsidRDefault="00787E27" w:rsidP="00AA1F3E">
      <w:pPr>
        <w:numPr>
          <w:ilvl w:val="0"/>
          <w:numId w:val="2"/>
        </w:numPr>
        <w:jc w:val="both"/>
        <w:rPr>
          <w:lang w:val="en-US"/>
        </w:rPr>
      </w:pPr>
      <w:proofErr w:type="spellStart"/>
      <w:r w:rsidRPr="00787E27">
        <w:rPr>
          <w:lang w:val="en-US"/>
        </w:rPr>
        <w:t>Trusiak</w:t>
      </w:r>
      <w:proofErr w:type="spellEnd"/>
      <w:r w:rsidRPr="00787E27">
        <w:rPr>
          <w:lang w:val="en-US"/>
        </w:rPr>
        <w:t xml:space="preserve">, Maciej &amp; </w:t>
      </w:r>
      <w:proofErr w:type="spellStart"/>
      <w:r w:rsidRPr="00787E27">
        <w:rPr>
          <w:lang w:val="en-US"/>
        </w:rPr>
        <w:t>Patorski</w:t>
      </w:r>
      <w:proofErr w:type="spellEnd"/>
      <w:r w:rsidRPr="00787E27">
        <w:rPr>
          <w:lang w:val="en-US"/>
        </w:rPr>
        <w:t>, Krzysztof &amp; Wielgus, Maciek. Hilbert-Huang processing and analysis of complex fringe patterns</w:t>
      </w:r>
      <w:r>
        <w:rPr>
          <w:lang w:val="en-US"/>
        </w:rPr>
        <w:t xml:space="preserve"> // </w:t>
      </w:r>
      <w:r w:rsidRPr="00787E27">
        <w:rPr>
          <w:lang w:val="en-US"/>
        </w:rPr>
        <w:t>Proceedings of SPIE - The International Society for Optical Engineering. 9203. 10.1117/12.2054038.</w:t>
      </w:r>
      <w:r>
        <w:rPr>
          <w:lang w:val="en-US"/>
        </w:rPr>
        <w:t xml:space="preserve"> </w:t>
      </w:r>
      <w:r w:rsidRPr="00787E27">
        <w:rPr>
          <w:lang w:val="en-US"/>
        </w:rPr>
        <w:t>(2014)</w:t>
      </w:r>
      <w:r>
        <w:rPr>
          <w:lang w:val="en-US"/>
        </w:rPr>
        <w:t>.</w:t>
      </w:r>
    </w:p>
    <w:p w14:paraId="67D01E51" w14:textId="7CE37785" w:rsidR="0080352C" w:rsidRPr="0029240A" w:rsidRDefault="0080352C" w:rsidP="0080352C">
      <w:pPr>
        <w:numPr>
          <w:ilvl w:val="0"/>
          <w:numId w:val="2"/>
        </w:numPr>
        <w:jc w:val="both"/>
      </w:pPr>
      <w:r>
        <w:t xml:space="preserve">Акционерное общество ЛОМО </w:t>
      </w:r>
      <w:r w:rsidRPr="0080352C">
        <w:t>[</w:t>
      </w:r>
      <w:r>
        <w:t>Электронный ресурс</w:t>
      </w:r>
      <w:r w:rsidRPr="0080352C">
        <w:t>]</w:t>
      </w:r>
      <w:r>
        <w:t xml:space="preserve"> </w:t>
      </w:r>
      <w:r w:rsidRPr="0080352C">
        <w:t>/</w:t>
      </w:r>
      <w:r>
        <w:t xml:space="preserve"> </w:t>
      </w:r>
      <w:r w:rsidRPr="0080352C">
        <w:t>Микроинтерферометр Линника МИИ-4М</w:t>
      </w:r>
      <w:r>
        <w:t xml:space="preserve">. Санкт-Петербург. </w:t>
      </w:r>
      <w:r w:rsidRPr="0080352C">
        <w:rPr>
          <w:lang w:val="en-US"/>
        </w:rPr>
        <w:t>URL</w:t>
      </w:r>
      <w:r w:rsidRPr="0029240A">
        <w:t xml:space="preserve">: </w:t>
      </w:r>
      <w:hyperlink r:id="rId6" w:history="1">
        <w:r w:rsidR="006E3484" w:rsidRPr="005F7DDC">
          <w:rPr>
            <w:rStyle w:val="a4"/>
            <w:lang w:val="en-US"/>
          </w:rPr>
          <w:t>https</w:t>
        </w:r>
        <w:r w:rsidR="006E3484" w:rsidRPr="0029240A">
          <w:rPr>
            <w:rStyle w:val="a4"/>
          </w:rPr>
          <w:t>://</w:t>
        </w:r>
        <w:r w:rsidR="006E3484" w:rsidRPr="005F7DDC">
          <w:rPr>
            <w:rStyle w:val="a4"/>
            <w:lang w:val="en-US"/>
          </w:rPr>
          <w:t>www</w:t>
        </w:r>
        <w:r w:rsidR="006E3484" w:rsidRPr="0029240A">
          <w:rPr>
            <w:rStyle w:val="a4"/>
          </w:rPr>
          <w:t>.</w:t>
        </w:r>
        <w:proofErr w:type="spellStart"/>
        <w:r w:rsidR="006E3484" w:rsidRPr="005F7DDC">
          <w:rPr>
            <w:rStyle w:val="a4"/>
            <w:lang w:val="en-US"/>
          </w:rPr>
          <w:t>lomo</w:t>
        </w:r>
        <w:proofErr w:type="spellEnd"/>
        <w:r w:rsidR="006E3484" w:rsidRPr="0029240A">
          <w:rPr>
            <w:rStyle w:val="a4"/>
          </w:rPr>
          <w:t>.</w:t>
        </w:r>
        <w:proofErr w:type="spellStart"/>
        <w:r w:rsidR="006E3484" w:rsidRPr="005F7DDC">
          <w:rPr>
            <w:rStyle w:val="a4"/>
            <w:lang w:val="en-US"/>
          </w:rPr>
          <w:t>ru</w:t>
        </w:r>
        <w:proofErr w:type="spellEnd"/>
        <w:r w:rsidR="006E3484" w:rsidRPr="0029240A">
          <w:rPr>
            <w:rStyle w:val="a4"/>
          </w:rPr>
          <w:t>/</w:t>
        </w:r>
        <w:r w:rsidR="006E3484" w:rsidRPr="005F7DDC">
          <w:rPr>
            <w:rStyle w:val="a4"/>
            <w:lang w:val="en-US"/>
          </w:rPr>
          <w:t>production</w:t>
        </w:r>
        <w:r w:rsidR="006E3484" w:rsidRPr="0029240A">
          <w:rPr>
            <w:rStyle w:val="a4"/>
          </w:rPr>
          <w:t>/</w:t>
        </w:r>
        <w:proofErr w:type="spellStart"/>
        <w:r w:rsidR="006E3484" w:rsidRPr="005F7DDC">
          <w:rPr>
            <w:rStyle w:val="a4"/>
            <w:lang w:val="en-US"/>
          </w:rPr>
          <w:t>grazhdanskogo</w:t>
        </w:r>
        <w:proofErr w:type="spellEnd"/>
        <w:r w:rsidR="006E3484" w:rsidRPr="0029240A">
          <w:rPr>
            <w:rStyle w:val="a4"/>
          </w:rPr>
          <w:t>-</w:t>
        </w:r>
        <w:proofErr w:type="spellStart"/>
        <w:r w:rsidR="006E3484" w:rsidRPr="005F7DDC">
          <w:rPr>
            <w:rStyle w:val="a4"/>
            <w:lang w:val="en-US"/>
          </w:rPr>
          <w:t>naznacheniya</w:t>
        </w:r>
        <w:proofErr w:type="spellEnd"/>
        <w:r w:rsidR="006E3484" w:rsidRPr="0029240A">
          <w:rPr>
            <w:rStyle w:val="a4"/>
          </w:rPr>
          <w:t>/</w:t>
        </w:r>
        <w:proofErr w:type="spellStart"/>
        <w:r w:rsidR="006E3484" w:rsidRPr="005F7DDC">
          <w:rPr>
            <w:rStyle w:val="a4"/>
            <w:lang w:val="en-US"/>
          </w:rPr>
          <w:t>mikroskopy</w:t>
        </w:r>
        <w:proofErr w:type="spellEnd"/>
        <w:r w:rsidR="006E3484" w:rsidRPr="0029240A">
          <w:rPr>
            <w:rStyle w:val="a4"/>
          </w:rPr>
          <w:t>/</w:t>
        </w:r>
        <w:proofErr w:type="spellStart"/>
        <w:r w:rsidR="006E3484" w:rsidRPr="005F7DDC">
          <w:rPr>
            <w:rStyle w:val="a4"/>
            <w:lang w:val="en-US"/>
          </w:rPr>
          <w:t>mikroskopy</w:t>
        </w:r>
        <w:proofErr w:type="spellEnd"/>
        <w:r w:rsidR="006E3484" w:rsidRPr="0029240A">
          <w:rPr>
            <w:rStyle w:val="a4"/>
          </w:rPr>
          <w:t>-</w:t>
        </w:r>
        <w:proofErr w:type="spellStart"/>
        <w:r w:rsidR="006E3484" w:rsidRPr="005F7DDC">
          <w:rPr>
            <w:rStyle w:val="a4"/>
            <w:lang w:val="en-US"/>
          </w:rPr>
          <w:t>tekhnicheskie</w:t>
        </w:r>
        <w:proofErr w:type="spellEnd"/>
        <w:r w:rsidR="006E3484" w:rsidRPr="0029240A">
          <w:rPr>
            <w:rStyle w:val="a4"/>
          </w:rPr>
          <w:t>/</w:t>
        </w:r>
        <w:r w:rsidR="006E3484" w:rsidRPr="005F7DDC">
          <w:rPr>
            <w:rStyle w:val="a4"/>
            <w:lang w:val="en-US"/>
          </w:rPr>
          <w:t>mii</w:t>
        </w:r>
        <w:r w:rsidR="006E3484" w:rsidRPr="0029240A">
          <w:rPr>
            <w:rStyle w:val="a4"/>
          </w:rPr>
          <w:t>-4</w:t>
        </w:r>
        <w:r w:rsidR="006E3484" w:rsidRPr="005F7DDC">
          <w:rPr>
            <w:rStyle w:val="a4"/>
            <w:lang w:val="en-US"/>
          </w:rPr>
          <w:t>m</w:t>
        </w:r>
      </w:hyperlink>
    </w:p>
    <w:p w14:paraId="69EB14AA" w14:textId="08F72DC8" w:rsidR="007F5EA1" w:rsidRPr="0000339F" w:rsidRDefault="007F5EA1" w:rsidP="007F5EA1">
      <w:pPr>
        <w:numPr>
          <w:ilvl w:val="0"/>
          <w:numId w:val="2"/>
        </w:numPr>
        <w:jc w:val="both"/>
        <w:rPr>
          <w:lang w:val="en-US"/>
        </w:rPr>
      </w:pPr>
      <w:proofErr w:type="spellStart"/>
      <w:r w:rsidRPr="0000339F">
        <w:rPr>
          <w:lang w:val="en-US"/>
        </w:rPr>
        <w:t>Makosch</w:t>
      </w:r>
      <w:proofErr w:type="spellEnd"/>
      <w:r w:rsidRPr="0000339F">
        <w:rPr>
          <w:lang w:val="en-US"/>
        </w:rPr>
        <w:t xml:space="preserve"> G., </w:t>
      </w:r>
      <w:proofErr w:type="spellStart"/>
      <w:r w:rsidRPr="0000339F">
        <w:rPr>
          <w:lang w:val="en-US"/>
        </w:rPr>
        <w:t>Prein</w:t>
      </w:r>
      <w:proofErr w:type="spellEnd"/>
      <w:r w:rsidRPr="0000339F">
        <w:rPr>
          <w:lang w:val="en-US"/>
        </w:rPr>
        <w:t xml:space="preserve"> F. Phase-locked interferometry for automatic mask alignment in projection printers // </w:t>
      </w:r>
      <w:proofErr w:type="spellStart"/>
      <w:r w:rsidRPr="0000339F">
        <w:rPr>
          <w:lang w:val="en-US"/>
        </w:rPr>
        <w:t>Appl.Opt</w:t>
      </w:r>
      <w:proofErr w:type="spellEnd"/>
      <w:r w:rsidRPr="0000339F">
        <w:rPr>
          <w:lang w:val="en-US"/>
        </w:rPr>
        <w:t>.- 1987. -No.26.- P.2828.</w:t>
      </w:r>
    </w:p>
    <w:p w14:paraId="6917F301" w14:textId="4A79478C" w:rsidR="007F5EA1" w:rsidRPr="006E3484" w:rsidRDefault="007F5EA1" w:rsidP="007F5EA1">
      <w:pPr>
        <w:numPr>
          <w:ilvl w:val="0"/>
          <w:numId w:val="2"/>
        </w:numPr>
        <w:jc w:val="both"/>
      </w:pPr>
      <w:r w:rsidRPr="0000339F">
        <w:rPr>
          <w:lang w:val="en-US"/>
        </w:rPr>
        <w:t xml:space="preserve">Moran S.E., Law R.L., </w:t>
      </w:r>
      <w:proofErr w:type="spellStart"/>
      <w:r w:rsidRPr="0000339F">
        <w:rPr>
          <w:lang w:val="en-US"/>
        </w:rPr>
        <w:t>Craid</w:t>
      </w:r>
      <w:proofErr w:type="spellEnd"/>
      <w:r w:rsidRPr="0000339F">
        <w:rPr>
          <w:lang w:val="en-US"/>
        </w:rPr>
        <w:t xml:space="preserve"> P.N., Golberg W.M. Optically phase-locked </w:t>
      </w:r>
      <w:proofErr w:type="spellStart"/>
      <w:r w:rsidRPr="0000339F">
        <w:rPr>
          <w:lang w:val="en-US"/>
        </w:rPr>
        <w:t>elktronic</w:t>
      </w:r>
      <w:proofErr w:type="spellEnd"/>
      <w:r w:rsidRPr="0000339F">
        <w:rPr>
          <w:lang w:val="en-US"/>
        </w:rPr>
        <w:t xml:space="preserve"> speckle pattern interferometer // </w:t>
      </w:r>
      <w:proofErr w:type="spellStart"/>
      <w:r w:rsidRPr="0000339F">
        <w:rPr>
          <w:lang w:val="en-US"/>
        </w:rPr>
        <w:t>Appl.Opt</w:t>
      </w:r>
      <w:proofErr w:type="spellEnd"/>
      <w:r w:rsidRPr="0000339F">
        <w:rPr>
          <w:lang w:val="en-US"/>
        </w:rPr>
        <w:t xml:space="preserve">.- 1987.- </w:t>
      </w:r>
      <w:r>
        <w:t>V.26.- No.3.- P.475-491.</w:t>
      </w:r>
    </w:p>
    <w:p w14:paraId="16AB286B" w14:textId="3144DCA2" w:rsidR="006E3484" w:rsidRDefault="006E3484" w:rsidP="0080352C">
      <w:pPr>
        <w:numPr>
          <w:ilvl w:val="0"/>
          <w:numId w:val="2"/>
        </w:numPr>
        <w:jc w:val="both"/>
      </w:pPr>
      <w:r>
        <w:lastRenderedPageBreak/>
        <w:t xml:space="preserve">К.С. </w:t>
      </w:r>
      <w:r w:rsidRPr="006E3484">
        <w:t xml:space="preserve">Лукьянов, </w:t>
      </w:r>
      <w:r>
        <w:t xml:space="preserve">К.Л. </w:t>
      </w:r>
      <w:r w:rsidRPr="006E3484">
        <w:t>Губский</w:t>
      </w:r>
      <w:r w:rsidRPr="0000339F">
        <w:t xml:space="preserve">. </w:t>
      </w:r>
      <w:r>
        <w:t xml:space="preserve">А.А. </w:t>
      </w:r>
      <w:proofErr w:type="spellStart"/>
      <w:r w:rsidRPr="006E3484">
        <w:t>Ястребцев</w:t>
      </w:r>
      <w:proofErr w:type="spellEnd"/>
      <w:r w:rsidRPr="006E3484">
        <w:t xml:space="preserve">, </w:t>
      </w:r>
      <w:r>
        <w:t xml:space="preserve">И.Ю. </w:t>
      </w:r>
      <w:r w:rsidRPr="006E3484">
        <w:t xml:space="preserve">Тищенко, </w:t>
      </w:r>
      <w:r>
        <w:t xml:space="preserve">Т.В. </w:t>
      </w:r>
      <w:r w:rsidRPr="006E3484">
        <w:t>Казиева. Волоконный многоканальный гетеродинный интерферометр для исследования свойств импульсной плазмы</w:t>
      </w:r>
      <w:r>
        <w:t xml:space="preserve"> </w:t>
      </w:r>
      <w:r w:rsidRPr="0000339F">
        <w:t>//</w:t>
      </w:r>
      <w:r w:rsidRPr="006E3484">
        <w:t xml:space="preserve"> Письма в журнал технической физики. 49. </w:t>
      </w:r>
      <w:r w:rsidR="00655196">
        <w:t>(</w:t>
      </w:r>
      <w:r w:rsidR="00E001EC">
        <w:rPr>
          <w:lang w:val="en-US"/>
        </w:rPr>
        <w:t>2023</w:t>
      </w:r>
      <w:r w:rsidR="00655196">
        <w:t>)</w:t>
      </w:r>
    </w:p>
    <w:p w14:paraId="0FAE9841" w14:textId="3F8C3FC7" w:rsidR="00073775" w:rsidRDefault="00C67DE3" w:rsidP="009B2755">
      <w:pPr>
        <w:numPr>
          <w:ilvl w:val="0"/>
          <w:numId w:val="2"/>
        </w:numPr>
        <w:jc w:val="both"/>
      </w:pPr>
      <w:r>
        <w:t xml:space="preserve">В.И. </w:t>
      </w:r>
      <w:proofErr w:type="spellStart"/>
      <w:r>
        <w:t>Телешевский</w:t>
      </w:r>
      <w:proofErr w:type="spellEnd"/>
      <w:r>
        <w:t xml:space="preserve">, А.А. Скрынник, С.Г. Гришин. Гетеродинная лазерная интерферометрия для измерений </w:t>
      </w:r>
      <w:proofErr w:type="spellStart"/>
      <w:r>
        <w:t>наноперемещений</w:t>
      </w:r>
      <w:proofErr w:type="spellEnd"/>
      <w:r>
        <w:t xml:space="preserve"> </w:t>
      </w:r>
      <w:r w:rsidRPr="0000339F">
        <w:t xml:space="preserve">// </w:t>
      </w:r>
      <w:r>
        <w:t>Измерительная техника 6, 13-18 (2006)</w:t>
      </w:r>
    </w:p>
    <w:p w14:paraId="47AEE6B4" w14:textId="6F1C4660" w:rsidR="00BD6507" w:rsidRDefault="00BD6507" w:rsidP="00BD6507">
      <w:pPr>
        <w:numPr>
          <w:ilvl w:val="0"/>
          <w:numId w:val="2"/>
        </w:numPr>
        <w:jc w:val="both"/>
      </w:pPr>
      <w:r>
        <w:t xml:space="preserve">М.А. Парпин, Д.А. Серегин. Алгоритм калибровки и расчета фазы при работе на интерферометре фазового сдвига </w:t>
      </w:r>
      <w:r w:rsidRPr="0000339F">
        <w:t xml:space="preserve">// </w:t>
      </w:r>
      <w:r>
        <w:t>Вопросы радиоэлектроники. Сер.: Техника телевидения. Вып. 1. 2012.</w:t>
      </w:r>
    </w:p>
    <w:p w14:paraId="2232B06C" w14:textId="220FC0B9" w:rsidR="009665C0" w:rsidRPr="009665C0" w:rsidRDefault="009665C0" w:rsidP="009665C0">
      <w:pPr>
        <w:numPr>
          <w:ilvl w:val="0"/>
          <w:numId w:val="2"/>
        </w:numPr>
        <w:jc w:val="both"/>
      </w:pPr>
      <w:r>
        <w:t xml:space="preserve">В.И. Гужов, С.П. Ильиных, Р.А. Кузнецов, Д.С. Хайдуков. </w:t>
      </w:r>
      <w:r w:rsidRPr="009665C0">
        <w:t>Уменьшение погрешности определения</w:t>
      </w:r>
      <w:r>
        <w:t xml:space="preserve"> </w:t>
      </w:r>
      <w:r w:rsidRPr="009665C0">
        <w:t>фазовых разностей при анализе</w:t>
      </w:r>
      <w:r>
        <w:t xml:space="preserve"> </w:t>
      </w:r>
      <w:r w:rsidRPr="009665C0">
        <w:t>интерферограмм методом пошагового</w:t>
      </w:r>
      <w:r>
        <w:t xml:space="preserve"> </w:t>
      </w:r>
      <w:r w:rsidRPr="009665C0">
        <w:t>фазового сдвига</w:t>
      </w:r>
      <w:r w:rsidRPr="0000339F">
        <w:t xml:space="preserve"> // </w:t>
      </w:r>
      <w:r>
        <w:t>Автоматика и программная инженерия. 2012, №2(2)</w:t>
      </w:r>
    </w:p>
    <w:p w14:paraId="69F123D9" w14:textId="7DE22980" w:rsidR="00B63E40" w:rsidRPr="00073775" w:rsidRDefault="00097925" w:rsidP="00BD6507">
      <w:pPr>
        <w:numPr>
          <w:ilvl w:val="0"/>
          <w:numId w:val="2"/>
        </w:numPr>
        <w:jc w:val="both"/>
      </w:pPr>
      <w:r w:rsidRPr="00097925">
        <w:t xml:space="preserve"> Борн М., Вольф Э. Основы оптики. – М.: Наука, 1973, – 719с.</w:t>
      </w:r>
    </w:p>
    <w:sectPr w:rsidR="00B63E40" w:rsidRPr="0007377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84F74"/>
    <w:multiLevelType w:val="hybridMultilevel"/>
    <w:tmpl w:val="99DE7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E1816FD"/>
    <w:multiLevelType w:val="hybridMultilevel"/>
    <w:tmpl w:val="EB8850F2"/>
    <w:lvl w:ilvl="0" w:tplc="BA10A3BA">
      <w:start w:val="1"/>
      <w:numFmt w:val="decimal"/>
      <w:lvlText w:val="%1."/>
      <w:lvlJc w:val="left"/>
      <w:pPr>
        <w:ind w:left="720" w:hanging="360"/>
      </w:pPr>
      <w:rPr>
        <w:rFonts w:ascii="Times New Roman" w:eastAsiaTheme="minorHAnsi" w:hAnsi="Times New Roman" w:cs="Times New Roman"/>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360278686">
    <w:abstractNumId w:val="0"/>
  </w:num>
  <w:num w:numId="2" w16cid:durableId="4449328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1AB"/>
    <w:rsid w:val="0000339F"/>
    <w:rsid w:val="000449B1"/>
    <w:rsid w:val="00057FD7"/>
    <w:rsid w:val="00065608"/>
    <w:rsid w:val="00073775"/>
    <w:rsid w:val="00097925"/>
    <w:rsid w:val="000B064C"/>
    <w:rsid w:val="000E1597"/>
    <w:rsid w:val="000E2FDB"/>
    <w:rsid w:val="000F78FC"/>
    <w:rsid w:val="00160F86"/>
    <w:rsid w:val="001627D0"/>
    <w:rsid w:val="0018433D"/>
    <w:rsid w:val="001C6C79"/>
    <w:rsid w:val="001D5E6A"/>
    <w:rsid w:val="001E163D"/>
    <w:rsid w:val="00270A50"/>
    <w:rsid w:val="0029240A"/>
    <w:rsid w:val="002D00B5"/>
    <w:rsid w:val="002D1678"/>
    <w:rsid w:val="002D4DD2"/>
    <w:rsid w:val="00304B2F"/>
    <w:rsid w:val="00377D26"/>
    <w:rsid w:val="003860A5"/>
    <w:rsid w:val="003868A4"/>
    <w:rsid w:val="003933BA"/>
    <w:rsid w:val="003960D7"/>
    <w:rsid w:val="003B629F"/>
    <w:rsid w:val="00435B4B"/>
    <w:rsid w:val="0045566C"/>
    <w:rsid w:val="00476DC2"/>
    <w:rsid w:val="00485A14"/>
    <w:rsid w:val="004C1A2A"/>
    <w:rsid w:val="004D10CA"/>
    <w:rsid w:val="004E0D3E"/>
    <w:rsid w:val="004E7890"/>
    <w:rsid w:val="00514293"/>
    <w:rsid w:val="00531A82"/>
    <w:rsid w:val="00571103"/>
    <w:rsid w:val="00582373"/>
    <w:rsid w:val="005963A6"/>
    <w:rsid w:val="00597FE9"/>
    <w:rsid w:val="005B1520"/>
    <w:rsid w:val="005B3AEC"/>
    <w:rsid w:val="005D2B4B"/>
    <w:rsid w:val="005E300A"/>
    <w:rsid w:val="005F2164"/>
    <w:rsid w:val="00655196"/>
    <w:rsid w:val="00691708"/>
    <w:rsid w:val="006A495B"/>
    <w:rsid w:val="006B76BC"/>
    <w:rsid w:val="006C0F9F"/>
    <w:rsid w:val="006E3484"/>
    <w:rsid w:val="006F1386"/>
    <w:rsid w:val="0070186A"/>
    <w:rsid w:val="00733403"/>
    <w:rsid w:val="0074131E"/>
    <w:rsid w:val="00777174"/>
    <w:rsid w:val="00787E27"/>
    <w:rsid w:val="007A02EF"/>
    <w:rsid w:val="007D1937"/>
    <w:rsid w:val="007F5EA1"/>
    <w:rsid w:val="0080352C"/>
    <w:rsid w:val="00811C28"/>
    <w:rsid w:val="008B72FA"/>
    <w:rsid w:val="008E61F0"/>
    <w:rsid w:val="008F684C"/>
    <w:rsid w:val="0092399D"/>
    <w:rsid w:val="00937CAD"/>
    <w:rsid w:val="00947CB7"/>
    <w:rsid w:val="009665C0"/>
    <w:rsid w:val="00984BA6"/>
    <w:rsid w:val="00984DCC"/>
    <w:rsid w:val="00993B35"/>
    <w:rsid w:val="009B2755"/>
    <w:rsid w:val="009D23F7"/>
    <w:rsid w:val="009D2772"/>
    <w:rsid w:val="009D6E0E"/>
    <w:rsid w:val="00A1625B"/>
    <w:rsid w:val="00AA6CF6"/>
    <w:rsid w:val="00AC51F1"/>
    <w:rsid w:val="00AE31AB"/>
    <w:rsid w:val="00B0451B"/>
    <w:rsid w:val="00B542F4"/>
    <w:rsid w:val="00B63E40"/>
    <w:rsid w:val="00BB0A28"/>
    <w:rsid w:val="00BB2311"/>
    <w:rsid w:val="00BC3C94"/>
    <w:rsid w:val="00BD18BA"/>
    <w:rsid w:val="00BD6507"/>
    <w:rsid w:val="00BD6C26"/>
    <w:rsid w:val="00C00BB1"/>
    <w:rsid w:val="00C43DF5"/>
    <w:rsid w:val="00C54D9F"/>
    <w:rsid w:val="00C67DE3"/>
    <w:rsid w:val="00CE0EAE"/>
    <w:rsid w:val="00CE4407"/>
    <w:rsid w:val="00DA287D"/>
    <w:rsid w:val="00DD4921"/>
    <w:rsid w:val="00DD4F0F"/>
    <w:rsid w:val="00DE5ED8"/>
    <w:rsid w:val="00E001EC"/>
    <w:rsid w:val="00E37FC9"/>
    <w:rsid w:val="00E423C8"/>
    <w:rsid w:val="00E47C2E"/>
    <w:rsid w:val="00E53FD0"/>
    <w:rsid w:val="00EA345C"/>
    <w:rsid w:val="00ED1E1D"/>
    <w:rsid w:val="00EE257C"/>
    <w:rsid w:val="00EF7160"/>
    <w:rsid w:val="00F203EA"/>
    <w:rsid w:val="00F95A24"/>
    <w:rsid w:val="00FA7BB4"/>
    <w:rsid w:val="00FA7DE0"/>
    <w:rsid w:val="00FD344D"/>
    <w:rsid w:val="00FE7415"/>
    <w:rsid w:val="00FF0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759B"/>
  <w15:chartTrackingRefBased/>
  <w15:docId w15:val="{4129A177-C427-4C5E-A555-ADBCFA18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4293"/>
    <w:pPr>
      <w:spacing w:after="0" w:line="360" w:lineRule="auto"/>
    </w:pPr>
    <w:rPr>
      <w:rFonts w:ascii="Times New Roman" w:hAnsi="Times New Roman"/>
      <w:kern w:val="0"/>
      <w:sz w:val="28"/>
      <w14:ligatures w14:val="none"/>
    </w:rPr>
  </w:style>
  <w:style w:type="paragraph" w:styleId="1">
    <w:name w:val="heading 1"/>
    <w:basedOn w:val="a"/>
    <w:next w:val="a"/>
    <w:link w:val="10"/>
    <w:uiPriority w:val="9"/>
    <w:qFormat/>
    <w:rsid w:val="009D27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5">
    <w:name w:val="heading 5"/>
    <w:basedOn w:val="a"/>
    <w:next w:val="a"/>
    <w:link w:val="50"/>
    <w:uiPriority w:val="9"/>
    <w:semiHidden/>
    <w:unhideWhenUsed/>
    <w:qFormat/>
    <w:rsid w:val="0080352C"/>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D2772"/>
    <w:rPr>
      <w:rFonts w:asciiTheme="majorHAnsi" w:eastAsiaTheme="majorEastAsia" w:hAnsiTheme="majorHAnsi" w:cstheme="majorBidi"/>
      <w:color w:val="2F5496" w:themeColor="accent1" w:themeShade="BF"/>
      <w:kern w:val="0"/>
      <w:sz w:val="32"/>
      <w:szCs w:val="32"/>
      <w14:ligatures w14:val="none"/>
    </w:rPr>
  </w:style>
  <w:style w:type="paragraph" w:styleId="a3">
    <w:name w:val="List Paragraph"/>
    <w:basedOn w:val="a"/>
    <w:uiPriority w:val="34"/>
    <w:qFormat/>
    <w:rsid w:val="00073775"/>
    <w:pPr>
      <w:ind w:left="720"/>
      <w:contextualSpacing/>
    </w:pPr>
  </w:style>
  <w:style w:type="character" w:styleId="a4">
    <w:name w:val="Hyperlink"/>
    <w:basedOn w:val="a0"/>
    <w:uiPriority w:val="99"/>
    <w:unhideWhenUsed/>
    <w:rsid w:val="004E0D3E"/>
    <w:rPr>
      <w:color w:val="0563C1" w:themeColor="hyperlink"/>
      <w:u w:val="single"/>
    </w:rPr>
  </w:style>
  <w:style w:type="character" w:styleId="a5">
    <w:name w:val="Unresolved Mention"/>
    <w:basedOn w:val="a0"/>
    <w:uiPriority w:val="99"/>
    <w:semiHidden/>
    <w:unhideWhenUsed/>
    <w:rsid w:val="004E0D3E"/>
    <w:rPr>
      <w:color w:val="605E5C"/>
      <w:shd w:val="clear" w:color="auto" w:fill="E1DFDD"/>
    </w:rPr>
  </w:style>
  <w:style w:type="character" w:customStyle="1" w:styleId="50">
    <w:name w:val="Заголовок 5 Знак"/>
    <w:basedOn w:val="a0"/>
    <w:link w:val="5"/>
    <w:uiPriority w:val="9"/>
    <w:semiHidden/>
    <w:rsid w:val="0080352C"/>
    <w:rPr>
      <w:rFonts w:asciiTheme="majorHAnsi" w:eastAsiaTheme="majorEastAsia" w:hAnsiTheme="majorHAnsi" w:cstheme="majorBidi"/>
      <w:color w:val="2F5496" w:themeColor="accent1" w:themeShade="BF"/>
      <w:kern w:val="0"/>
      <w:sz w:val="28"/>
      <w14:ligatures w14:val="none"/>
    </w:rPr>
  </w:style>
  <w:style w:type="table" w:styleId="a6">
    <w:name w:val="Table Grid"/>
    <w:basedOn w:val="a1"/>
    <w:uiPriority w:val="39"/>
    <w:rsid w:val="00FF0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C43DF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464648">
      <w:bodyDiv w:val="1"/>
      <w:marLeft w:val="0"/>
      <w:marRight w:val="0"/>
      <w:marTop w:val="0"/>
      <w:marBottom w:val="0"/>
      <w:divBdr>
        <w:top w:val="none" w:sz="0" w:space="0" w:color="auto"/>
        <w:left w:val="none" w:sz="0" w:space="0" w:color="auto"/>
        <w:bottom w:val="none" w:sz="0" w:space="0" w:color="auto"/>
        <w:right w:val="none" w:sz="0" w:space="0" w:color="auto"/>
      </w:divBdr>
    </w:div>
    <w:div w:id="284392104">
      <w:bodyDiv w:val="1"/>
      <w:marLeft w:val="0"/>
      <w:marRight w:val="0"/>
      <w:marTop w:val="0"/>
      <w:marBottom w:val="0"/>
      <w:divBdr>
        <w:top w:val="none" w:sz="0" w:space="0" w:color="auto"/>
        <w:left w:val="none" w:sz="0" w:space="0" w:color="auto"/>
        <w:bottom w:val="none" w:sz="0" w:space="0" w:color="auto"/>
        <w:right w:val="none" w:sz="0" w:space="0" w:color="auto"/>
      </w:divBdr>
    </w:div>
    <w:div w:id="363097282">
      <w:bodyDiv w:val="1"/>
      <w:marLeft w:val="0"/>
      <w:marRight w:val="0"/>
      <w:marTop w:val="0"/>
      <w:marBottom w:val="0"/>
      <w:divBdr>
        <w:top w:val="none" w:sz="0" w:space="0" w:color="auto"/>
        <w:left w:val="none" w:sz="0" w:space="0" w:color="auto"/>
        <w:bottom w:val="none" w:sz="0" w:space="0" w:color="auto"/>
        <w:right w:val="none" w:sz="0" w:space="0" w:color="auto"/>
      </w:divBdr>
    </w:div>
    <w:div w:id="457376051">
      <w:bodyDiv w:val="1"/>
      <w:marLeft w:val="0"/>
      <w:marRight w:val="0"/>
      <w:marTop w:val="0"/>
      <w:marBottom w:val="0"/>
      <w:divBdr>
        <w:top w:val="none" w:sz="0" w:space="0" w:color="auto"/>
        <w:left w:val="none" w:sz="0" w:space="0" w:color="auto"/>
        <w:bottom w:val="none" w:sz="0" w:space="0" w:color="auto"/>
        <w:right w:val="none" w:sz="0" w:space="0" w:color="auto"/>
      </w:divBdr>
    </w:div>
    <w:div w:id="567228880">
      <w:bodyDiv w:val="1"/>
      <w:marLeft w:val="0"/>
      <w:marRight w:val="0"/>
      <w:marTop w:val="0"/>
      <w:marBottom w:val="0"/>
      <w:divBdr>
        <w:top w:val="none" w:sz="0" w:space="0" w:color="auto"/>
        <w:left w:val="none" w:sz="0" w:space="0" w:color="auto"/>
        <w:bottom w:val="none" w:sz="0" w:space="0" w:color="auto"/>
        <w:right w:val="none" w:sz="0" w:space="0" w:color="auto"/>
      </w:divBdr>
    </w:div>
    <w:div w:id="641038642">
      <w:bodyDiv w:val="1"/>
      <w:marLeft w:val="0"/>
      <w:marRight w:val="0"/>
      <w:marTop w:val="0"/>
      <w:marBottom w:val="0"/>
      <w:divBdr>
        <w:top w:val="none" w:sz="0" w:space="0" w:color="auto"/>
        <w:left w:val="none" w:sz="0" w:space="0" w:color="auto"/>
        <w:bottom w:val="none" w:sz="0" w:space="0" w:color="auto"/>
        <w:right w:val="none" w:sz="0" w:space="0" w:color="auto"/>
      </w:divBdr>
    </w:div>
    <w:div w:id="671765446">
      <w:bodyDiv w:val="1"/>
      <w:marLeft w:val="0"/>
      <w:marRight w:val="0"/>
      <w:marTop w:val="0"/>
      <w:marBottom w:val="0"/>
      <w:divBdr>
        <w:top w:val="none" w:sz="0" w:space="0" w:color="auto"/>
        <w:left w:val="none" w:sz="0" w:space="0" w:color="auto"/>
        <w:bottom w:val="none" w:sz="0" w:space="0" w:color="auto"/>
        <w:right w:val="none" w:sz="0" w:space="0" w:color="auto"/>
      </w:divBdr>
    </w:div>
    <w:div w:id="921764224">
      <w:bodyDiv w:val="1"/>
      <w:marLeft w:val="0"/>
      <w:marRight w:val="0"/>
      <w:marTop w:val="0"/>
      <w:marBottom w:val="0"/>
      <w:divBdr>
        <w:top w:val="none" w:sz="0" w:space="0" w:color="auto"/>
        <w:left w:val="none" w:sz="0" w:space="0" w:color="auto"/>
        <w:bottom w:val="none" w:sz="0" w:space="0" w:color="auto"/>
        <w:right w:val="none" w:sz="0" w:space="0" w:color="auto"/>
      </w:divBdr>
    </w:div>
    <w:div w:id="1083841258">
      <w:bodyDiv w:val="1"/>
      <w:marLeft w:val="0"/>
      <w:marRight w:val="0"/>
      <w:marTop w:val="0"/>
      <w:marBottom w:val="0"/>
      <w:divBdr>
        <w:top w:val="none" w:sz="0" w:space="0" w:color="auto"/>
        <w:left w:val="none" w:sz="0" w:space="0" w:color="auto"/>
        <w:bottom w:val="none" w:sz="0" w:space="0" w:color="auto"/>
        <w:right w:val="none" w:sz="0" w:space="0" w:color="auto"/>
      </w:divBdr>
    </w:div>
    <w:div w:id="1241795054">
      <w:bodyDiv w:val="1"/>
      <w:marLeft w:val="0"/>
      <w:marRight w:val="0"/>
      <w:marTop w:val="0"/>
      <w:marBottom w:val="0"/>
      <w:divBdr>
        <w:top w:val="none" w:sz="0" w:space="0" w:color="auto"/>
        <w:left w:val="none" w:sz="0" w:space="0" w:color="auto"/>
        <w:bottom w:val="none" w:sz="0" w:space="0" w:color="auto"/>
        <w:right w:val="none" w:sz="0" w:space="0" w:color="auto"/>
      </w:divBdr>
    </w:div>
    <w:div w:id="1432160141">
      <w:bodyDiv w:val="1"/>
      <w:marLeft w:val="0"/>
      <w:marRight w:val="0"/>
      <w:marTop w:val="0"/>
      <w:marBottom w:val="0"/>
      <w:divBdr>
        <w:top w:val="none" w:sz="0" w:space="0" w:color="auto"/>
        <w:left w:val="none" w:sz="0" w:space="0" w:color="auto"/>
        <w:bottom w:val="none" w:sz="0" w:space="0" w:color="auto"/>
        <w:right w:val="none" w:sz="0" w:space="0" w:color="auto"/>
      </w:divBdr>
    </w:div>
    <w:div w:id="1440949735">
      <w:bodyDiv w:val="1"/>
      <w:marLeft w:val="0"/>
      <w:marRight w:val="0"/>
      <w:marTop w:val="0"/>
      <w:marBottom w:val="0"/>
      <w:divBdr>
        <w:top w:val="none" w:sz="0" w:space="0" w:color="auto"/>
        <w:left w:val="none" w:sz="0" w:space="0" w:color="auto"/>
        <w:bottom w:val="none" w:sz="0" w:space="0" w:color="auto"/>
        <w:right w:val="none" w:sz="0" w:space="0" w:color="auto"/>
      </w:divBdr>
    </w:div>
    <w:div w:id="1511412865">
      <w:bodyDiv w:val="1"/>
      <w:marLeft w:val="0"/>
      <w:marRight w:val="0"/>
      <w:marTop w:val="0"/>
      <w:marBottom w:val="0"/>
      <w:divBdr>
        <w:top w:val="none" w:sz="0" w:space="0" w:color="auto"/>
        <w:left w:val="none" w:sz="0" w:space="0" w:color="auto"/>
        <w:bottom w:val="none" w:sz="0" w:space="0" w:color="auto"/>
        <w:right w:val="none" w:sz="0" w:space="0" w:color="auto"/>
      </w:divBdr>
    </w:div>
    <w:div w:id="1627932698">
      <w:bodyDiv w:val="1"/>
      <w:marLeft w:val="0"/>
      <w:marRight w:val="0"/>
      <w:marTop w:val="0"/>
      <w:marBottom w:val="0"/>
      <w:divBdr>
        <w:top w:val="none" w:sz="0" w:space="0" w:color="auto"/>
        <w:left w:val="none" w:sz="0" w:space="0" w:color="auto"/>
        <w:bottom w:val="none" w:sz="0" w:space="0" w:color="auto"/>
        <w:right w:val="none" w:sz="0" w:space="0" w:color="auto"/>
      </w:divBdr>
    </w:div>
    <w:div w:id="1820224531">
      <w:bodyDiv w:val="1"/>
      <w:marLeft w:val="0"/>
      <w:marRight w:val="0"/>
      <w:marTop w:val="0"/>
      <w:marBottom w:val="0"/>
      <w:divBdr>
        <w:top w:val="none" w:sz="0" w:space="0" w:color="auto"/>
        <w:left w:val="none" w:sz="0" w:space="0" w:color="auto"/>
        <w:bottom w:val="none" w:sz="0" w:space="0" w:color="auto"/>
        <w:right w:val="none" w:sz="0" w:space="0" w:color="auto"/>
      </w:divBdr>
    </w:div>
    <w:div w:id="2107460075">
      <w:bodyDiv w:val="1"/>
      <w:marLeft w:val="0"/>
      <w:marRight w:val="0"/>
      <w:marTop w:val="0"/>
      <w:marBottom w:val="0"/>
      <w:divBdr>
        <w:top w:val="none" w:sz="0" w:space="0" w:color="auto"/>
        <w:left w:val="none" w:sz="0" w:space="0" w:color="auto"/>
        <w:bottom w:val="none" w:sz="0" w:space="0" w:color="auto"/>
        <w:right w:val="none" w:sz="0" w:space="0" w:color="auto"/>
      </w:divBdr>
    </w:div>
    <w:div w:id="213774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omo.ru/production/grazhdanskogo-naznacheniya/mikroskopy/mikroskopy-tekhnicheskie/mii-4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30D44-9F93-4843-B507-4310B6FE1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7</Pages>
  <Words>1548</Words>
  <Characters>8828</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 Garipov</dc:creator>
  <cp:keywords/>
  <dc:description/>
  <cp:lastModifiedBy>Danis Garipov</cp:lastModifiedBy>
  <cp:revision>125</cp:revision>
  <dcterms:created xsi:type="dcterms:W3CDTF">2024-10-06T09:32:00Z</dcterms:created>
  <dcterms:modified xsi:type="dcterms:W3CDTF">2024-10-13T15:21:00Z</dcterms:modified>
</cp:coreProperties>
</file>