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165"/>
        <w:tblW w:w="9071" w:type="dxa"/>
        <w:tblInd w:w="-11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803"/>
        <w:gridCol w:w="2268"/>
      </w:tblGrid>
      <w:tr w14:paraId="28E075BC">
        <w:tc>
          <w:p w14:paraId="00000002">
            <w:r>
              <w:rPr>
                <w:b/>
                <w:bCs/>
                <w:sz w:val="44"/>
                <w:szCs w:val="44"/>
                <w:rtl w:val="0"/>
              </w:rPr>
              <w:t>SYED DANISH HASAN</w:t>
            </w:r>
            <w:r>
              <w:rPr>
                <w:b/>
                <w:bCs/>
                <w:sz w:val="44"/>
                <w:szCs w:val="44"/>
                <w:rtl w:val="0"/>
              </w:rPr>
              <w:br w:type="textWrapping"/>
            </w:r>
            <w:r>
              <w:rPr>
                <w:sz w:val="24"/>
                <w:szCs w:val="24"/>
                <w:rtl w:val="0"/>
              </w:rPr>
              <w:t>Associate Director – Operations, Delivery &amp; Account Management</w:t>
            </w:r>
            <w:r>
              <w:rPr>
                <w:sz w:val="24"/>
                <w:szCs w:val="24"/>
                <w:rtl w:val="0"/>
              </w:rPr>
              <w:br w:type="textWrapping"/>
            </w:r>
            <w:r>
              <w:rPr>
                <w:sz w:val="22"/>
                <w:szCs w:val="22"/>
                <w:rtl w:val="0"/>
              </w:rPr>
              <w:t>€5M Revenue Portfolio | Unit Leadership | P&amp;L &amp; SLA Governance</w:t>
            </w:r>
            <w:r>
              <w:rPr>
                <w:sz w:val="22"/>
                <w:szCs w:val="22"/>
                <w:rtl w:val="0"/>
              </w:rPr>
              <w:br w:type="textWrapping"/>
            </w:r>
            <w:r>
              <w:rPr>
                <w:sz w:val="20"/>
                <w:szCs w:val="20"/>
                <w:rtl w:val="0"/>
              </w:rPr>
              <w:t>Bhopal, India | Open to India &amp; International Roles</w:t>
            </w:r>
            <w:r>
              <w:rPr>
                <w:sz w:val="20"/>
                <w:szCs w:val="20"/>
                <w:rtl w:val="0"/>
              </w:rPr>
              <w:br w:type="textWrapping"/>
            </w:r>
            <w:r>
              <w:rPr>
                <w:sz w:val="20"/>
                <w:szCs w:val="20"/>
                <w:rtl w:val="0"/>
              </w:rPr>
              <w:t xml:space="preserve">+91 998 107 3077 | dhasan111@gmail.com | </w:t>
            </w:r>
            <w:r>
              <w:fldChar w:fldCharType="begin"/>
            </w:r>
            <w:r>
              <w:instrText xml:space="preserve"> HYPERLINK "https://www.linkedin.com/in/syeddanishhasan/"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 xml:space="preserve">LinkedIn 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  <w:r>
              <w:rPr>
                <w:sz w:val="20"/>
                <w:szCs w:val="20"/>
                <w:rtl w:val="0"/>
              </w:rPr>
              <w:t xml:space="preserve">| </w:t>
            </w:r>
            <w:r>
              <w:fldChar w:fldCharType="begin"/>
            </w:r>
            <w:r>
              <w:instrText xml:space="preserve"> HYPERLINK "https://github.com/dhasan111-hiringdock"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>Github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</w:p>
        </w:tc>
        <w:tc>
          <w:p w14:paraId="00000003">
            <w:pPr>
              <w:jc w:val="right"/>
            </w:pPr>
            <w:r>
              <w:drawing>
                <wp:inline distT="0" distB="0" distL="114300" distR="114300">
                  <wp:extent cx="1257300" cy="132969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 preferRelativeResize="0"/>
                        </pic:nvPicPr>
                        <pic:blipFill>
                          <a:blip r:embed="rId7"/>
                          <a:srcRect b="29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329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04"/>
    <w:p w14:paraId="00000005">
      <w:r>
        <w:rPr>
          <w:b/>
          <w:bCs/>
          <w:sz w:val="26"/>
          <w:szCs w:val="26"/>
          <w:rtl w:val="0"/>
        </w:rPr>
        <w:t>EXECUTIVE PROFILE</w:t>
      </w:r>
      <w:bookmarkStart w:id="1" w:name="_GoBack"/>
      <w:bookmarkEnd w:id="1"/>
    </w:p>
    <w:p w14:paraId="00000006">
      <w:r>
        <w:rPr>
          <w:sz w:val="22"/>
          <w:szCs w:val="22"/>
          <w:rtl w:val="0"/>
        </w:rPr>
        <w:t>As a seasoned Head of Talent Acquisition leader with 13+ years of experience, I have a proven track record of managing large-scale talent service units within global RPO/MSP/LSP environments, currently overseeing a €5M annual portfolio with 135 deployed consultants across Europe, APAC, and LATAM. With a strong background in business operations, I have consistently delivered high-performance results, including 100% client retention, 125% increase in recruiter productivity, and a 93% offer-to-join ratio. My expertise in talent acquisition has enabled me to drive significant growth, including 250+ hires for a global pharmaceutical client and 250 CV submissions in 10 days for a leading life sciences client. I am well-versed in managing complex talent acquisition projects, with a strong focus on margin governance, SLA performance, and workforce forecasting. I am confident in my ability to relocate to Barcelona and lead the talent acquisition function at papernest, bringing my expertise to drive business growth and success.</w:t>
      </w:r>
    </w:p>
    <w:p w14:paraId="00000007"/>
    <w:p w14:paraId="00000008">
      <w:pPr>
        <w:keepLines/>
        <w:widowControl w:val="0"/>
        <w:spacing w:after="0" w:line="240" w:lineRule="auto"/>
        <w:rPr>
          <w:b/>
          <w:bCs/>
          <w:sz w:val="26"/>
          <w:szCs w:val="26"/>
        </w:rPr>
      </w:pPr>
    </w:p>
    <w:p w14:paraId="00000009">
      <w:pPr>
        <w:keepLines/>
        <w:widowControl w:val="0"/>
        <w:spacing w:line="240" w:lineRule="auto"/>
        <w:sectPr>
          <w:headerReference r:id="rId5" w:type="default"/>
          <w:pgSz w:w="12240" w:h="15840"/>
          <w:pgMar w:top="1020" w:right="1134" w:bottom="1020" w:left="1134" w:header="720" w:footer="720" w:gutter="0"/>
          <w:pgNumType w:start="1"/>
          <w:cols w:space="720" w:num="1"/>
        </w:sectPr>
      </w:pPr>
      <w:r>
        <w:rPr>
          <w:b/>
          <w:bCs/>
          <w:sz w:val="26"/>
          <w:szCs w:val="26"/>
          <w:rtl w:val="0"/>
        </w:rPr>
        <w:t>CORE LEADERSHIP COMPETENCIES</w:t>
      </w:r>
    </w:p>
    <w:p w14:paraId="0000000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Business Unit &amp; Portfolio Ownership</w:t>
      </w:r>
    </w:p>
    <w:p w14:paraId="0000000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Revenue &amp; Margin Governance</w:t>
      </w:r>
    </w:p>
    <w:p w14:paraId="0000000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P&amp;L Oversight &amp; Exposure Planning</w:t>
      </w:r>
    </w:p>
    <w:p w14:paraId="0000000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SLA &amp; Contract Compliance</w:t>
      </w:r>
    </w:p>
    <w:p w14:paraId="0000000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Workforce Forecasting &amp; Capacity Alignment</w:t>
      </w:r>
    </w:p>
    <w:p w14:paraId="0000000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Client Executive Engagement &amp; QBR Leadership</w:t>
      </w:r>
    </w:p>
    <w:p w14:paraId="0000001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Billing Governance &amp; Commercial Alignment</w:t>
      </w:r>
    </w:p>
    <w:p w14:paraId="0000001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Matrix Leadership &amp; Performance Management</w:t>
      </w:r>
    </w:p>
    <w:p w14:paraId="0000001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RPO / MSP Operating Models</w:t>
      </w:r>
    </w:p>
    <w:p w14:paraId="0000001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sectPr>
          <w:type w:val="continuous"/>
          <w:pgSz w:w="12240" w:h="15840"/>
          <w:pgMar w:top="1020" w:right="1134" w:bottom="1020" w:left="1134" w:header="720" w:footer="720" w:gutter="0"/>
          <w:cols w:equalWidth="0" w:num="2">
            <w:col w:w="4625" w:space="720"/>
            <w:col w:w="4625"/>
          </w:cols>
        </w:sect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Process </w:t>
      </w:r>
      <w:r>
        <w:rPr>
          <w:rtl w:val="0"/>
        </w:rPr>
        <w:t>Optimisation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&amp; AI-Enabled Productivity</w:t>
      </w:r>
    </w:p>
    <w:p w14:paraId="00000014">
      <w:pPr>
        <w:spacing w:after="0"/>
        <w:rPr>
          <w:b/>
          <w:bCs/>
          <w:sz w:val="26"/>
          <w:szCs w:val="26"/>
        </w:rPr>
      </w:pPr>
    </w:p>
    <w:p w14:paraId="00000015">
      <w:r>
        <w:rPr>
          <w:b/>
          <w:bCs/>
          <w:sz w:val="26"/>
          <w:szCs w:val="26"/>
          <w:rtl w:val="0"/>
        </w:rPr>
        <w:t>PROFESSIONAL EXPERIENCE</w:t>
      </w:r>
    </w:p>
    <w:p w14:paraId="00000016">
      <w:pPr>
        <w:spacing w:after="0"/>
        <w:rPr>
          <w:b/>
          <w:bCs/>
        </w:rPr>
      </w:pPr>
      <w:r>
        <w:rPr>
          <w:b/>
          <w:bCs/>
          <w:sz w:val="22"/>
          <w:szCs w:val="22"/>
          <w:rtl w:val="0"/>
        </w:rPr>
        <w:t xml:space="preserve">NEXT-LINK GROUP </w:t>
      </w:r>
    </w:p>
    <w:p w14:paraId="00000017">
      <w:pPr>
        <w:spacing w:after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Associate Director Level</w:t>
      </w:r>
    </w:p>
    <w:p w14:paraId="00000018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rtl w:val="0"/>
        </w:rPr>
        <w:t xml:space="preserve">Global Delivery And Account Operations | </w:t>
      </w:r>
    </w:p>
    <w:p w14:paraId="00000019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rtl w:val="0"/>
        </w:rPr>
        <w:t>Jul 2022 – Present</w:t>
      </w:r>
    </w:p>
    <w:p w14:paraId="0000001A">
      <w:pPr>
        <w:spacing w:after="0"/>
      </w:pPr>
    </w:p>
    <w:p w14:paraId="0000001B">
      <w:r>
        <w:rPr>
          <w:b/>
          <w:bCs/>
          <w:sz w:val="26"/>
          <w:szCs w:val="26"/>
          <w:rtl w:val="0"/>
        </w:rPr>
        <w:t>Business Unit &amp; Revenue Ownership</w:t>
      </w:r>
    </w:p>
    <w:p w14:paraId="0000001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Lead €5M annual enterprise portfolio with 135 active consultants across multi-region markets</w:t>
      </w:r>
    </w:p>
    <w:p w14:paraId="0000001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Govern margin band (€120–€280/day)</w:t>
      </w:r>
      <w:r>
        <w:rPr>
          <w:rtl w:val="0"/>
        </w:rPr>
        <w:t>,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ensuring stable revenue </w:t>
      </w:r>
      <w:r>
        <w:rPr>
          <w:rtl w:val="0"/>
        </w:rPr>
        <w:t>realisation</w:t>
      </w:r>
    </w:p>
    <w:p w14:paraId="0000001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Quantify and monitor financial exposure (~€35–40K monthly impact per 10% roll-off)</w:t>
      </w:r>
    </w:p>
    <w:p w14:paraId="0000001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Operate zero-bench deployment model</w:t>
      </w:r>
      <w:r>
        <w:rPr>
          <w:rtl w:val="0"/>
        </w:rPr>
        <w:t>,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maintaining near-100% utilization from onboarding</w:t>
      </w:r>
    </w:p>
    <w:p w14:paraId="0000002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Sustain 100% client retention across </w:t>
      </w:r>
      <w:r>
        <w:rPr>
          <w:rtl w:val="0"/>
        </w:rPr>
        <w:t xml:space="preserve">the 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assigned portfolio</w:t>
      </w:r>
      <w:r>
        <w:rPr>
          <w:rtl w:val="0"/>
        </w:rPr>
        <w:t>.</w:t>
      </w:r>
    </w:p>
    <w:p w14:paraId="0000002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</w:pPr>
      <w:r>
        <w:rPr>
          <w:b/>
          <w:bCs/>
          <w:sz w:val="26"/>
          <w:szCs w:val="26"/>
          <w:rtl w:val="0"/>
        </w:rPr>
        <w:t>Operational Governance &amp; Forecasting</w:t>
      </w:r>
    </w:p>
    <w:p w14:paraId="0000002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Maintain 90–93% SLA performance across global engagements</w:t>
      </w:r>
    </w:p>
    <w:p w14:paraId="0000002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Drive demand-aligned workforce forecasting to protect revenue continuity</w:t>
      </w:r>
    </w:p>
    <w:p w14:paraId="0000002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Achieved 93% offer-to-join ratio reducing backfill-related margin leakage</w:t>
      </w:r>
    </w:p>
    <w:p w14:paraId="0000002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Improved shortlist acceptance from 78% to 89% through structured quality governance</w:t>
      </w:r>
    </w:p>
    <w:p w14:paraId="0000002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Increased recruiter productivity by 125% via AI-enabled process redesign</w:t>
      </w:r>
    </w:p>
    <w:p w14:paraId="00000027">
      <w:r>
        <w:rPr>
          <w:b/>
          <w:bCs/>
          <w:sz w:val="26"/>
          <w:szCs w:val="26"/>
          <w:rtl w:val="0"/>
        </w:rPr>
        <w:t>Commercial &amp; Client Leadership</w:t>
      </w:r>
    </w:p>
    <w:p w14:paraId="0000002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Serve as primary operational representative to senior client stakeholders</w:t>
      </w:r>
    </w:p>
    <w:p w14:paraId="0000002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Lead quarterly business reviews covering performance metrics, risk exposure, and demand forecasts</w:t>
      </w:r>
    </w:p>
    <w:p w14:paraId="0000002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Resolve billing disputes and ensure contract-aligned revenue realization</w:t>
      </w:r>
    </w:p>
    <w:p w14:paraId="0000002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Support RFQs and hiring feasibility consultations</w:t>
      </w:r>
    </w:p>
    <w:p w14:paraId="0000002C">
      <w:r>
        <w:rPr>
          <w:b/>
          <w:bCs/>
          <w:sz w:val="26"/>
          <w:szCs w:val="26"/>
          <w:rtl w:val="0"/>
        </w:rPr>
        <w:t>Team Leadership</w:t>
      </w:r>
    </w:p>
    <w:p w14:paraId="0000002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Lead distributed matrix team of 20+ (Recruiters, Team Leads, Account Managers)</w:t>
      </w:r>
    </w:p>
    <w:p w14:paraId="0000002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Implement KPI governance, coaching frameworks, and PIP interventions</w:t>
      </w:r>
    </w:p>
    <w:p w14:paraId="0000002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Strengthen accountability and performance visibility across the unit</w:t>
      </w:r>
    </w:p>
    <w:p w14:paraId="00000030">
      <w:pPr>
        <w:spacing w:after="0"/>
        <w:rPr>
          <w:b/>
          <w:bCs/>
          <w:sz w:val="26"/>
          <w:szCs w:val="26"/>
        </w:rPr>
      </w:pPr>
    </w:p>
    <w:p w14:paraId="00000031">
      <w:r>
        <w:rPr>
          <w:b/>
          <w:bCs/>
          <w:sz w:val="26"/>
          <w:szCs w:val="26"/>
          <w:rtl w:val="0"/>
        </w:rPr>
        <w:t>PRIOR EXPERIENCE</w:t>
      </w:r>
    </w:p>
    <w:p w14:paraId="00000032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Talent Acquisition Manager </w:t>
      </w:r>
    </w:p>
    <w:p w14:paraId="00000033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Latent Bridge Pvt Ltd (UK / India) | </w:t>
      </w:r>
    </w:p>
    <w:p w14:paraId="00000034">
      <w:pPr>
        <w:spacing w:after="0"/>
      </w:pPr>
      <w:r>
        <w:rPr>
          <w:rtl w:val="0"/>
        </w:rPr>
        <w:t xml:space="preserve">Mar </w:t>
      </w:r>
      <w:r>
        <w:rPr>
          <w:sz w:val="22"/>
          <w:szCs w:val="22"/>
          <w:rtl w:val="0"/>
        </w:rPr>
        <w:t>2022 -</w:t>
      </w:r>
      <w:r>
        <w:rPr>
          <w:rtl w:val="0"/>
        </w:rPr>
        <w:t xml:space="preserve"> Jul 2022 </w:t>
      </w:r>
    </w:p>
    <w:p w14:paraId="00000035">
      <w:pPr>
        <w:spacing w:after="0"/>
      </w:pPr>
    </w:p>
    <w:p w14:paraId="00000036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Senior Manager– Talent Acquisition </w:t>
      </w:r>
    </w:p>
    <w:p w14:paraId="00000037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Lord Securator Staffing Pvt Ltd (India) | </w:t>
      </w:r>
    </w:p>
    <w:p w14:paraId="00000038">
      <w:pPr>
        <w:spacing w:after="0"/>
        <w:rPr>
          <w:sz w:val="22"/>
          <w:szCs w:val="22"/>
        </w:rPr>
      </w:pPr>
      <w:r>
        <w:rPr>
          <w:rtl w:val="0"/>
        </w:rPr>
        <w:t xml:space="preserve">Jan </w:t>
      </w:r>
      <w:r>
        <w:rPr>
          <w:sz w:val="22"/>
          <w:szCs w:val="22"/>
          <w:rtl w:val="0"/>
        </w:rPr>
        <w:t xml:space="preserve">2019 – </w:t>
      </w:r>
      <w:r>
        <w:rPr>
          <w:rtl w:val="0"/>
        </w:rPr>
        <w:t xml:space="preserve">Mar </w:t>
      </w:r>
      <w:r>
        <w:rPr>
          <w:sz w:val="22"/>
          <w:szCs w:val="22"/>
          <w:rtl w:val="0"/>
        </w:rPr>
        <w:t>2022</w:t>
      </w:r>
    </w:p>
    <w:p w14:paraId="00000039">
      <w:pPr>
        <w:spacing w:after="0"/>
      </w:pPr>
    </w:p>
    <w:p w14:paraId="0000003A">
      <w:pPr>
        <w:spacing w:after="0"/>
      </w:pPr>
      <w:r>
        <w:rPr>
          <w:sz w:val="22"/>
          <w:szCs w:val="22"/>
          <w:rtl w:val="0"/>
        </w:rPr>
        <w:t>Team Lead</w:t>
      </w:r>
    </w:p>
    <w:p w14:paraId="0000003B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Bluezone Electro (UAE / India) | </w:t>
      </w:r>
    </w:p>
    <w:p w14:paraId="0000003C">
      <w:pPr>
        <w:spacing w:after="0"/>
        <w:rPr>
          <w:sz w:val="22"/>
          <w:szCs w:val="22"/>
        </w:rPr>
      </w:pPr>
      <w:r>
        <w:rPr>
          <w:rtl w:val="0"/>
        </w:rPr>
        <w:t xml:space="preserve">Sep </w:t>
      </w:r>
      <w:r>
        <w:rPr>
          <w:sz w:val="22"/>
          <w:szCs w:val="22"/>
          <w:rtl w:val="0"/>
        </w:rPr>
        <w:t>2016 – Dec 2018</w:t>
      </w:r>
    </w:p>
    <w:p w14:paraId="0000003D">
      <w:pPr>
        <w:spacing w:after="0"/>
      </w:pPr>
    </w:p>
    <w:p w14:paraId="0000003E">
      <w:pPr>
        <w:spacing w:after="0"/>
      </w:pPr>
      <w:r>
        <w:rPr>
          <w:sz w:val="22"/>
          <w:szCs w:val="22"/>
          <w:rtl w:val="0"/>
        </w:rPr>
        <w:t>Talent Acquisition &amp; HR Consulting</w:t>
      </w:r>
    </w:p>
    <w:p w14:paraId="0000003F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Amazon, Vodafone, RICL | </w:t>
      </w:r>
    </w:p>
    <w:p w14:paraId="00000040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>2013 – 2016</w:t>
      </w:r>
    </w:p>
    <w:p w14:paraId="00000041">
      <w:pPr>
        <w:spacing w:after="0"/>
      </w:pPr>
    </w:p>
    <w:p w14:paraId="00000042">
      <w:r>
        <w:rPr>
          <w:b/>
          <w:bCs/>
          <w:sz w:val="26"/>
          <w:szCs w:val="26"/>
          <w:rtl w:val="0"/>
        </w:rPr>
        <w:t>STRATEGIC INITIATIVES</w:t>
      </w:r>
    </w:p>
    <w:p w14:paraId="0000004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Built AI-enabled CV screening and recruiter performance dashboards</w:t>
      </w:r>
    </w:p>
    <w:p w14:paraId="0000004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Designed </w:t>
      </w:r>
      <w:r>
        <w:rPr>
          <w:rtl w:val="0"/>
        </w:rPr>
        <w:t xml:space="preserve">a 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structured governance framework improving SLA predictability</w:t>
      </w:r>
    </w:p>
    <w:p w14:paraId="0000004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rPr>
          <w:b/>
          <w:bCs/>
          <w:sz w:val="26"/>
          <w:szCs w:val="26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Replaced manual tracking with </w:t>
      </w:r>
      <w:r>
        <w:rPr>
          <w:rtl w:val="0"/>
        </w:rPr>
        <w:t>centralised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analytics systems</w:t>
      </w:r>
    </w:p>
    <w:p w14:paraId="00000047">
      <w:r>
        <w:rPr>
          <w:b/>
          <w:bCs/>
          <w:sz w:val="26"/>
          <w:szCs w:val="26"/>
          <w:rtl w:val="0"/>
        </w:rPr>
        <w:t>SELECTED BUSINESS IMPACT</w:t>
      </w:r>
    </w:p>
    <w:p w14:paraId="0000004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Delivered 250+ hires for Boehringer Ingelheim post-RFP win</w:t>
      </w:r>
    </w:p>
    <w:p w14:paraId="0000004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Generated 250 CV submissions within 10 days for Novartis (~85% acceptance rate)</w:t>
      </w:r>
    </w:p>
    <w:p w14:paraId="0000004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Upgraded accounts from Tier-3 to Tier-1 partnerships</w:t>
      </w:r>
    </w:p>
    <w:p w14:paraId="0000004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rPr>
          <w:b/>
          <w:bCs/>
          <w:sz w:val="26"/>
          <w:szCs w:val="26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5× Best Manager Award – NextLink</w:t>
      </w:r>
    </w:p>
    <w:p w14:paraId="0000004D">
      <w:r>
        <w:rPr>
          <w:b/>
          <w:bCs/>
          <w:sz w:val="26"/>
          <w:szCs w:val="26"/>
          <w:rtl w:val="0"/>
        </w:rPr>
        <w:t>EDUCATION &amp; PROFESSIONAL DEVELOPMENT</w:t>
      </w:r>
    </w:p>
    <w:p w14:paraId="0000004E">
      <w:pPr>
        <w:spacing w:after="0"/>
      </w:pPr>
      <w:r>
        <w:rPr>
          <w:rtl w:val="0"/>
        </w:rPr>
        <w:t>MBA – Business Administration (HR &amp; Banking), 2024</w:t>
      </w:r>
    </w:p>
    <w:p w14:paraId="0000004F">
      <w:pPr>
        <w:spacing w:after="0"/>
      </w:pPr>
      <w:r>
        <w:rPr>
          <w:rtl w:val="0"/>
        </w:rPr>
        <w:t>Bachelor of Engineering – Mechanical Engineering, 2012</w:t>
      </w:r>
    </w:p>
    <w:p w14:paraId="00000050">
      <w:pPr>
        <w:spacing w:after="0"/>
      </w:pPr>
    </w:p>
    <w:p w14:paraId="00000051">
      <w:r>
        <w:rPr>
          <w:b/>
          <w:bCs/>
          <w:sz w:val="26"/>
          <w:szCs w:val="26"/>
          <w:rtl w:val="0"/>
        </w:rPr>
        <w:t>Certification</w:t>
      </w:r>
    </w:p>
    <w:p w14:paraId="00000052">
      <w:pPr>
        <w:spacing w:after="0"/>
      </w:pPr>
      <w:r>
        <w:fldChar w:fldCharType="begin"/>
      </w:r>
      <w:r>
        <w:instrText xml:space="preserve"> HYPERLINK "https://www.coursera.org/account/accomplishments/verify/UTZX2K5KGKUG" \h </w:instrText>
      </w:r>
      <w:r>
        <w:fldChar w:fldCharType="separate"/>
      </w:r>
      <w:r>
        <w:rPr>
          <w:color w:val="1155CC"/>
          <w:u w:val="single"/>
          <w:rtl w:val="0"/>
        </w:rPr>
        <w:t xml:space="preserve">Generative AI in Recruitment </w:t>
      </w:r>
      <w:r>
        <w:rPr>
          <w:color w:val="1155CC"/>
          <w:u w:val="single"/>
          <w:rtl w:val="0"/>
        </w:rPr>
        <w:fldChar w:fldCharType="end"/>
      </w:r>
    </w:p>
    <w:p w14:paraId="00000053">
      <w:pPr>
        <w:spacing w:after="0"/>
      </w:pPr>
      <w:r>
        <w:fldChar w:fldCharType="begin"/>
      </w:r>
      <w:r>
        <w:instrText xml:space="preserve"> HYPERLINK "https://www.coursera.org/account/accomplishments/verify/ZO6AT1ALN3LI" \h </w:instrText>
      </w:r>
      <w:r>
        <w:fldChar w:fldCharType="separate"/>
      </w:r>
      <w:r>
        <w:rPr>
          <w:color w:val="1155CC"/>
          <w:u w:val="single"/>
          <w:rtl w:val="0"/>
        </w:rPr>
        <w:t>Apply Generative AI for Effective Recruiting &amp; Hiring</w:t>
      </w:r>
      <w:r>
        <w:rPr>
          <w:color w:val="1155CC"/>
          <w:u w:val="single"/>
          <w:rtl w:val="0"/>
        </w:rPr>
        <w:fldChar w:fldCharType="end"/>
      </w:r>
    </w:p>
    <w:p w14:paraId="00000054">
      <w:pPr>
        <w:spacing w:after="0"/>
      </w:pPr>
      <w:r>
        <w:rPr>
          <w:rtl w:val="0"/>
        </w:rPr>
        <w:t>Leadership &amp; Strategic Management – University of Illinois (Ongoing)</w:t>
      </w:r>
    </w:p>
    <w:p w14:paraId="00000055">
      <w:pPr>
        <w:spacing w:after="0"/>
        <w:rPr>
          <w:sz w:val="22"/>
          <w:szCs w:val="22"/>
        </w:rPr>
      </w:pPr>
      <w:r>
        <w:rPr>
          <w:rtl w:val="0"/>
        </w:rPr>
        <w:t>Six Sigma | POSH Certified | Spanish (A2)</w:t>
      </w:r>
    </w:p>
    <w:p w14:paraId="00000056">
      <w:pPr>
        <w:pStyle w:val="3"/>
        <w:keepNext w:val="0"/>
        <w:keepLines w:val="0"/>
        <w:spacing w:before="360" w:after="80"/>
        <w:rPr>
          <w:rFonts w:ascii="Cambria" w:hAnsi="Cambria" w:eastAsia="Cambria" w:cs="Cambria"/>
          <w:color w:val="000000"/>
          <w:sz w:val="34"/>
          <w:szCs w:val="34"/>
        </w:rPr>
      </w:pPr>
      <w:bookmarkStart w:id="0" w:name="_heading=h.87acuyb9sb3u" w:colFirst="0" w:colLast="0"/>
      <w:bookmarkEnd w:id="0"/>
      <w:r>
        <w:rPr>
          <w:rFonts w:ascii="Cambria" w:hAnsi="Cambria" w:eastAsia="Cambria" w:cs="Cambria"/>
          <w:color w:val="000000"/>
          <w:rtl w:val="0"/>
        </w:rPr>
        <w:t>AI &amp; RECRUITMENT TECHNOLOGY PROJECTS</w:t>
      </w:r>
    </w:p>
    <w:p w14:paraId="00000057">
      <w:pPr>
        <w:spacing w:before="240" w:after="240"/>
        <w:rPr>
          <w:color w:val="1155CC"/>
          <w:u w:val="single"/>
        </w:rPr>
      </w:pPr>
      <w:r>
        <w:rPr>
          <w:b/>
          <w:bCs/>
          <w:rtl w:val="0"/>
        </w:rPr>
        <w:t>Recruiter’s Diary</w:t>
      </w:r>
      <w:r>
        <w:rPr>
          <w:b/>
          <w:bCs/>
          <w:rtl w:val="0"/>
        </w:rPr>
        <w:br w:type="textWrapping"/>
      </w:r>
      <w:r>
        <w:rPr>
          <w:rtl w:val="0"/>
        </w:rPr>
        <w:t>AI-enabled recruitment workflow hub designed to replace spreadsheet-based tracking for recruitment teams. Enables quick capture of roles, submissions, and pipeline updates with conversational analytics through a built-in agent.</w:t>
      </w:r>
      <w:r>
        <w:rPr>
          <w:rtl w:val="0"/>
        </w:rPr>
        <w:br w:type="textWrapping"/>
      </w:r>
      <w:r>
        <w:rPr>
          <w:rtl w:val="0"/>
        </w:rPr>
        <w:t>GitHub:</w:t>
      </w:r>
      <w:r>
        <w:fldChar w:fldCharType="begin"/>
      </w:r>
      <w:r>
        <w:instrText xml:space="preserve"> HYPERLINK "https://github.com/dhasan111-hiringdock/Recruiter-s-Diary"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"https://github.com/dhasan111-hiringdock/Recruiter-s-Diary" \h </w:instrText>
      </w:r>
      <w:r>
        <w:fldChar w:fldCharType="separate"/>
      </w:r>
      <w:r>
        <w:rPr>
          <w:color w:val="1155CC"/>
          <w:u w:val="single"/>
          <w:rtl w:val="0"/>
        </w:rPr>
        <w:t>https://github.com/dhasan111-hiringdock/Recruiter-s-Diary</w:t>
      </w:r>
      <w:r>
        <w:rPr>
          <w:color w:val="1155CC"/>
          <w:u w:val="single"/>
          <w:rtl w:val="0"/>
        </w:rPr>
        <w:fldChar w:fldCharType="end"/>
      </w:r>
    </w:p>
    <w:p w14:paraId="00000058">
      <w:pPr>
        <w:spacing w:before="240" w:after="240"/>
        <w:rPr>
          <w:color w:val="1155CC"/>
          <w:u w:val="single"/>
        </w:rPr>
      </w:pPr>
      <w:r>
        <w:rPr>
          <w:b/>
          <w:bCs/>
          <w:rtl w:val="0"/>
        </w:rPr>
        <w:t>EBES – Employee Best Effort Score</w:t>
      </w:r>
      <w:r>
        <w:rPr>
          <w:b/>
          <w:bCs/>
          <w:rtl w:val="0"/>
        </w:rPr>
        <w:br w:type="textWrapping"/>
      </w:r>
      <w:r>
        <w:rPr>
          <w:b/>
          <w:bCs/>
          <w:rtl w:val="0"/>
        </w:rPr>
        <w:t xml:space="preserve">An </w:t>
      </w:r>
      <w:r>
        <w:rPr>
          <w:rtl w:val="0"/>
        </w:rPr>
        <w:t>AI-assisted productivity framework designed to evaluate recruiter effort, performance signals, and activity patterns across hiring workflows to provide a structured performance scoring system.</w:t>
      </w:r>
      <w:r>
        <w:rPr>
          <w:rtl w:val="0"/>
        </w:rPr>
        <w:br w:type="textWrapping"/>
      </w:r>
      <w:r>
        <w:rPr>
          <w:rtl w:val="0"/>
        </w:rPr>
        <w:t>GitHub:</w:t>
      </w:r>
      <w:r>
        <w:fldChar w:fldCharType="begin"/>
      </w:r>
      <w:r>
        <w:instrText xml:space="preserve"> HYPERLINK "https://github.com/dhasan111-hiringdock/EBES---Employee-Best-Effort-Score"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"https://github.com/dhasan111-hiringdock/EBES---Employee-Best-Effort-Score" \h </w:instrText>
      </w:r>
      <w:r>
        <w:fldChar w:fldCharType="separate"/>
      </w:r>
      <w:r>
        <w:rPr>
          <w:color w:val="1155CC"/>
          <w:u w:val="single"/>
          <w:rtl w:val="0"/>
        </w:rPr>
        <w:t>https://github.com/dhasan111-hiringdock/EBES---Employee-Best-Effort-Score</w:t>
      </w:r>
      <w:r>
        <w:rPr>
          <w:color w:val="1155CC"/>
          <w:u w:val="single"/>
          <w:rtl w:val="0"/>
        </w:rPr>
        <w:fldChar w:fldCharType="end"/>
      </w:r>
    </w:p>
    <w:p w14:paraId="00000059">
      <w:pPr>
        <w:spacing w:before="240" w:after="240"/>
        <w:rPr>
          <w:color w:val="1155CC"/>
          <w:u w:val="single"/>
        </w:rPr>
      </w:pPr>
      <w:r>
        <w:rPr>
          <w:b/>
          <w:bCs/>
          <w:rtl w:val="0"/>
        </w:rPr>
        <w:t>Automater</w:t>
      </w:r>
      <w:r>
        <w:rPr>
          <w:b/>
          <w:bCs/>
          <w:rtl w:val="0"/>
        </w:rPr>
        <w:br w:type="textWrapping"/>
      </w:r>
      <w:r>
        <w:rPr>
          <w:rtl w:val="0"/>
        </w:rPr>
        <w:t>AI-powered recruitment automation toolkit built to streamline repetitive hiring tasks such as candidate sourcing workflows, data tracking, and operational coordination across recruitment pipelines.</w:t>
      </w:r>
      <w:r>
        <w:rPr>
          <w:rtl w:val="0"/>
        </w:rPr>
        <w:br w:type="textWrapping"/>
      </w:r>
      <w:r>
        <w:rPr>
          <w:rtl w:val="0"/>
        </w:rPr>
        <w:t>GitHub:</w:t>
      </w:r>
      <w:r>
        <w:fldChar w:fldCharType="begin"/>
      </w:r>
      <w:r>
        <w:instrText xml:space="preserve"> HYPERLINK "https://github.com/dhasan111-hiringdock/Automater"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"https://github.com/dhasan111-hiringdock/Automater" \h </w:instrText>
      </w:r>
      <w:r>
        <w:fldChar w:fldCharType="separate"/>
      </w:r>
      <w:r>
        <w:rPr>
          <w:color w:val="1155CC"/>
          <w:u w:val="single"/>
          <w:rtl w:val="0"/>
        </w:rPr>
        <w:t>https://github.com/dhasan111-hiringdock/Automater</w:t>
      </w:r>
      <w:r>
        <w:rPr>
          <w:color w:val="1155CC"/>
          <w:u w:val="single"/>
          <w:rtl w:val="0"/>
        </w:rPr>
        <w:fldChar w:fldCharType="end"/>
      </w:r>
    </w:p>
    <w:p w14:paraId="0000005A"/>
    <w:sectPr>
      <w:type w:val="continuous"/>
      <w:pgSz w:w="12240" w:h="15840"/>
      <w:pgMar w:top="1020" w:right="1134" w:bottom="1020" w:left="1134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  <w:embedRegular r:id="rId1" w:fontKey="{63BE7D63-CD11-206E-FB99-AE69E9FADC41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Noto Sans Symbol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B">
    <w:pPr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3F34D4"/>
    <w:multiLevelType w:val="multilevel"/>
    <w:tmpl w:val="BE3F34D4"/>
    <w:lvl w:ilvl="0" w:tentative="0">
      <w:start w:val="1"/>
      <w:numFmt w:val="bullet"/>
      <w:pStyle w:val="23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DFCFCA6"/>
    <w:rsid w:val="4DE963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Cambria" w:cs="Cambria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iPriority="99" w:semiHidden="0" w:name="macro"/>
    <w:lsdException w:unhideWhenUsed="0" w:uiPriority="0" w:semiHidden="0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nhideWhenUsed="0" w:uiPriority="0" w:semiHidden="0" w:name="List 4"/>
    <w:lsdException w:unhideWhenUsed="0" w:uiPriority="0" w:semiHidden="0" w:name="List 5"/>
    <w:lsdException w:uiPriority="99" w:semiHidden="0" w:name="List Bullet 2"/>
    <w:lsdException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uiPriority="99" w:semiHidden="0" w:name="List Number 2"/>
    <w:lsdException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iPriority="99" w:semiHidden="0" w:name="Body Text"/>
    <w:lsdException w:unhideWhenUsed="0" w:uiPriority="0" w:semiHidden="0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iPriority="99" w:semiHidden="0" w:name="Body Text 2"/>
    <w:lsdException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 w:line="276" w:lineRule="auto"/>
    </w:pPr>
    <w:rPr>
      <w:rFonts w:ascii="Cambria" w:hAnsi="Cambria" w:eastAsia="Cambria" w:cs="Cambria"/>
      <w:sz w:val="22"/>
      <w:szCs w:val="22"/>
      <w:lang w:val="en"/>
    </w:rPr>
  </w:style>
  <w:style w:type="paragraph" w:styleId="2">
    <w:name w:val="heading 1"/>
    <w:basedOn w:val="1"/>
    <w:next w:val="1"/>
    <w:link w:val="139"/>
    <w:uiPriority w:val="0"/>
    <w:pPr>
      <w:keepNext/>
      <w:keepLines/>
      <w:spacing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3">
    <w:name w:val="heading 2"/>
    <w:basedOn w:val="1"/>
    <w:next w:val="1"/>
    <w:link w:val="140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4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link w:val="15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link w:val="152"/>
    <w:uiPriority w:val="0"/>
    <w:pPr>
      <w:keepNext/>
      <w:keepLines/>
      <w:spacing w:before="200" w:after="0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link w:val="153"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3F61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contextualSpacing/>
    </w:pPr>
  </w:style>
  <w:style w:type="paragraph" w:styleId="25">
    <w:name w:val="List Bullet 3"/>
    <w:basedOn w:val="1"/>
    <w:unhideWhenUsed/>
    <w:uiPriority w:val="99"/>
    <w:p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contextualSpacing/>
    </w:pPr>
  </w:style>
  <w:style w:type="paragraph" w:styleId="30">
    <w:name w:val="List Number 2"/>
    <w:basedOn w:val="1"/>
    <w:unhideWhenUsed/>
    <w:uiPriority w:val="99"/>
    <w:pPr>
      <w:contextualSpacing/>
    </w:pPr>
  </w:style>
  <w:style w:type="paragraph" w:styleId="31">
    <w:name w:val="List Number 3"/>
    <w:basedOn w:val="1"/>
    <w:unhideWhenUsed/>
    <w:uiPriority w:val="99"/>
    <w:p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Arial Unicode MS" w:hAnsi="Arial Unicode MS" w:eastAsia="Cambria" w:cs="Cambria"/>
      <w:sz w:val="20"/>
      <w:szCs w:val="20"/>
      <w:lang w:val="en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uiPriority w:val="0"/>
    <w:rPr>
      <w:rFonts w:ascii="Calibri" w:hAnsi="Calibri" w:eastAsia="Calibri" w:cs="Calibri"/>
      <w:i/>
      <w:iCs/>
      <w:color w:val="4F81BD"/>
      <w:sz w:val="24"/>
      <w:szCs w:val="24"/>
    </w:rPr>
  </w:style>
  <w:style w:type="table" w:styleId="35">
    <w:name w:val="Table Grid"/>
    <w:basedOn w:val="3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37">
    <w:name w:val="Title"/>
    <w:basedOn w:val="1"/>
    <w:next w:val="1"/>
    <w:link w:val="142"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styleId="38">
    <w:name w:val="Light Shading"/>
    <w:basedOn w:val="36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36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="Cambria" w:hAnsi="Cambria" w:eastAsia="Cambria" w:cs="Cambria"/>
      <w:sz w:val="22"/>
      <w:szCs w:val="22"/>
      <w:lang w:val="en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Arial Unicode MS" w:hAnsi="Arial Unicode MS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5">
    <w:name w:val="_Style 164"/>
    <w:basedOn w:val="36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hU5+HO0dCPQsoG/bchBDUnpSPXDQ==">CgMxLjAyDmguODdhY3V5YjlzYjN1OAByITFjV0o3TWpGaUV5bTVXQlJRbXNUcmxGZ0pZOTFLb0VBVg==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913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2013-12-24T10:15:00Z</dcterms:created>
  <dc:creator>python-docx</dc:creator>
  <cp:lastModifiedBy>Danish Hasan</cp:lastModifiedBy>
  <dcterms:modified xsi:type="dcterms:W3CDTF">2026-03-09T15:29:23Z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F9AD059E961609120D5DAD69C094E2F2_42</vt:lpwstr>
  </property>
</Properties>
</file>