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Business Operations leader with 13+ years of experience managing revenue-generating talent service units within global RPO/MSP/LSP environments. Currently accountable for a €5M annual portfolio comprising 135 deployed consultants across Europe, APAC, and LATAM.</w:t>
      </w:r>
    </w:p>
    <w:p w14:paraId="00000007">
      <w:r>
        <w:rPr>
          <w:sz w:val="22"/>
          <w:szCs w:val="22"/>
          <w:rtl w:val="0"/>
        </w:rPr>
        <w:t xml:space="preserve">Operate as business unit head with responsibility across margin governance (€120–€280/day range), SLA performance (90–93%), workforce forecasting, billing alignment, client governance, and matrix team leadership (20+). </w:t>
      </w:r>
      <w:r>
        <w:rPr>
          <w:rtl w:val="0"/>
        </w:rPr>
        <w:t>Recognised</w:t>
      </w:r>
      <w:r>
        <w:rPr>
          <w:sz w:val="22"/>
          <w:szCs w:val="22"/>
          <w:rtl w:val="0"/>
        </w:rPr>
        <w:t xml:space="preserve"> for maintaining 100% client retention while improving productivity (+125%) and protecting revenue exposure in a zero-bench deployment model.</w:t>
      </w:r>
    </w:p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