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40"/>
          <w:szCs w:val="40"/>
        </w:rPr>
        <w:t xml:space="preserve">Key References</w:t>
      </w:r>
    </w:p>
    <w:p>
      <w:pPr>
        <w:spacing w:after="160"/>
      </w:pPr>
      <w:r>
        <w:rPr>
          <w:rFonts w:ascii="Calibri" w:cs="Calibri" w:eastAsia="Calibri" w:hAnsi="Calibri"/>
          <w:b/>
          <w:bCs/>
          <w:color w:val="2E74B5"/>
          <w:sz w:val="28"/>
          <w:szCs w:val="28"/>
        </w:rPr>
        <w:t xml:space="preserve">Evaluation Methodology — P000233DS</w:t>
      </w:r>
    </w:p>
    <w:p>
      <w:pPr>
        <w:spacing w:after="30"/>
      </w:pPr>
      <w:r>
        <w:rPr>
          <w:rFonts w:ascii="Calibri" w:cs="Calibri" w:eastAsia="Calibri" w:hAnsi="Calibri"/>
          <w:b/>
          <w:bCs/>
          <w:sz w:val="22"/>
          <w:szCs w:val="22"/>
        </w:rPr>
        <w:t xml:space="preserve">Project:  </w:t>
      </w:r>
      <w:r>
        <w:rPr>
          <w:rFonts w:ascii="Calibri" w:cs="Calibri" w:eastAsia="Calibri" w:hAnsi="Calibri"/>
          <w:sz w:val="22"/>
          <w:szCs w:val="22"/>
        </w:rPr>
        <w:t xml:space="preserve">P000233DS (EdGenAI)</w:t>
      </w:r>
    </w:p>
    <w:p>
      <w:pPr>
        <w:spacing w:after="30"/>
      </w:pPr>
      <w:r>
        <w:rPr>
          <w:rFonts w:ascii="Calibri" w:cs="Calibri" w:eastAsia="Calibri" w:hAnsi="Calibri"/>
          <w:b/>
          <w:bCs/>
          <w:sz w:val="22"/>
          <w:szCs w:val="22"/>
        </w:rPr>
        <w:t xml:space="preserve">Compiled by:  </w:t>
      </w:r>
      <w:r>
        <w:rPr>
          <w:rFonts w:ascii="Calibri" w:cs="Calibri" w:eastAsia="Calibri" w:hAnsi="Calibri"/>
          <w:sz w:val="22"/>
          <w:szCs w:val="22"/>
        </w:rPr>
        <w:t xml:space="preserve">Mohammed Danish Alam</w:t>
      </w:r>
    </w:p>
    <w:p>
      <w:pPr>
        <w:spacing w:after="30"/>
      </w:pPr>
      <w:r>
        <w:rPr>
          <w:rFonts w:ascii="Calibri" w:cs="Calibri" w:eastAsia="Calibri" w:hAnsi="Calibri"/>
          <w:b/>
          <w:bCs/>
          <w:sz w:val="22"/>
          <w:szCs w:val="22"/>
        </w:rPr>
        <w:t xml:space="preserve">Date:  </w:t>
      </w:r>
      <w:r>
        <w:rPr>
          <w:rFonts w:ascii="Calibri" w:cs="Calibri" w:eastAsia="Calibri" w:hAnsi="Calibri"/>
          <w:sz w:val="22"/>
          <w:szCs w:val="22"/>
        </w:rPr>
        <w:t xml:space="preserve">23 August 2026</w:t>
      </w:r>
    </w:p>
    <w:p>
      <w:pPr>
        <w:pBdr>
          <w:bottom w:val="single" w:color="BFBFBF" w:sz="6" w:space="1"/>
        </w:pBdr>
        <w:spacing w:after="160" w:before="60"/>
      </w:pPr>
      <w:r>
        <w:t xml:space="preserve"/>
      </w:r>
    </w:p>
    <w:p>
      <w:pPr>
        <w:spacing w:after="120" w:line="264"/>
      </w:pPr>
      <w:r>
        <w:rPr>
          <w:rFonts w:ascii="Calibri" w:cs="Calibri" w:eastAsia="Calibri" w:hAnsi="Calibri"/>
          <w:b w:val="false"/>
          <w:bCs w:val="false"/>
          <w:i w:val="false"/>
          <w:iCs w:val="false"/>
          <w:color w:val="222222"/>
          <w:sz w:val="22"/>
          <w:szCs w:val="22"/>
        </w:rPr>
        <w:t xml:space="preserve">A curated reading list behind the evaluation decisions in the project roadmap, shared so the methodology choices are reviewable rather than assertions.</w:t>
      </w:r>
    </w:p>
    <w:p>
      <w:pPr>
        <w:spacing w:after="200" w:line="264"/>
      </w:pPr>
      <w:r>
        <w:rPr>
          <w:rFonts w:ascii="Calibri" w:cs="Calibri" w:eastAsia="Calibri" w:hAnsi="Calibri"/>
          <w:b/>
          <w:bCs/>
          <w:i w:val="false"/>
          <w:iCs w:val="false"/>
          <w:color w:val="222222"/>
          <w:sz w:val="22"/>
          <w:szCs w:val="22"/>
        </w:rPr>
        <w:t xml:space="preserve">Inclusion rule: peer-reviewed venues only.</w:t>
      </w:r>
      <w:r>
        <w:rPr>
          <w:rFonts w:ascii="Calibri" w:cs="Calibri" w:eastAsia="Calibri" w:hAnsi="Calibri"/>
          <w:b w:val="false"/>
          <w:bCs w:val="false"/>
          <w:i w:val="false"/>
          <w:iCs w:val="false"/>
          <w:color w:val="222222"/>
          <w:sz w:val="22"/>
          <w:szCs w:val="22"/>
        </w:rPr>
        <w:t xml:space="preserve"> Several relevant 2025 to 2026 arXiv preprints were consulted but are deliberately excluded here and flagged as preprints in the roadmap. Everything below has been through review at a recognised venue.</w:t>
      </w:r>
    </w:p>
    <w:p>
      <w:pPr>
        <w:pStyle w:val="Heading1"/>
      </w:pPr>
      <w:r>
        <w:t xml:space="preserve">If you read only three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1700"/>
        <w:gridCol w:w="4260"/>
      </w:tblGrid>
      <w:tr>
        <w:trPr>
          <w:tblHeader/>
        </w:trPr>
        <w:tc>
          <w:tcPr>
            <w:tcW w:type="dxa" w:w="3400"/>
            <w:shd w:fill="1F4E79"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Paper</w:t>
            </w:r>
          </w:p>
        </w:tc>
        <w:tc>
          <w:tcPr>
            <w:tcW w:type="dxa" w:w="1700"/>
            <w:shd w:fill="1F4E79"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Venue</w:t>
            </w:r>
          </w:p>
        </w:tc>
        <w:tc>
          <w:tcPr>
            <w:tcW w:type="dxa" w:w="4260"/>
            <w:shd w:fill="1F4E79"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Why it matters to us</w:t>
            </w:r>
          </w:p>
        </w:tc>
      </w:tr>
      <w:tr>
        <w:tc>
          <w:tcPr>
            <w:tcW w:type="dxa" w:w="3400"/>
            <w:tcMar>
              <w:top w:type="dxa" w:w="70"/>
              <w:left w:type="dxa" w:w="110"/>
              <w:bottom w:type="dxa" w:w="70"/>
              <w:right w:type="dxa" w:w="110"/>
            </w:tcMar>
          </w:tcPr>
          <w:p>
            <w:pPr>
              <w:spacing w:after="0" w:line="252"/>
            </w:pPr>
            <w:r>
              <w:rPr>
                <w:rFonts w:ascii="Calibri" w:cs="Calibri" w:eastAsia="Calibri" w:hAnsi="Calibri"/>
                <w:b/>
                <w:bCs/>
                <w:i w:val="false"/>
                <w:iCs w:val="false"/>
                <w:color w:val="222222"/>
                <w:sz w:val="20"/>
                <w:szCs w:val="20"/>
              </w:rPr>
              <w:t xml:space="preserve">Zheng et al. (2023)</w:t>
            </w:r>
            <w:r>
              <w:rPr>
                <w:rFonts w:ascii="Calibri" w:cs="Calibri" w:eastAsia="Calibri" w:hAnsi="Calibri"/>
                <w:b w:val="false"/>
                <w:bCs w:val="false"/>
                <w:i w:val="false"/>
                <w:iCs w:val="false"/>
                <w:color w:val="222222"/>
                <w:sz w:val="20"/>
                <w:szCs w:val="20"/>
              </w:rPr>
              <w:t xml:space="preserve"> — Judging LLM-as-a-Judge with MT-Bench and Chatbot Arena</w:t>
            </w:r>
          </w:p>
        </w:tc>
        <w:tc>
          <w:tcPr>
            <w:tcW w:type="dxa" w:w="1700"/>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222222"/>
                <w:sz w:val="20"/>
                <w:szCs w:val="20"/>
              </w:rPr>
              <w:t xml:space="preserve">NeurIPS 2023</w:t>
            </w:r>
          </w:p>
        </w:tc>
        <w:tc>
          <w:tcPr>
            <w:tcW w:type="dxa" w:w="4260"/>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222222"/>
                <w:sz w:val="20"/>
                <w:szCs w:val="20"/>
              </w:rPr>
              <w:t xml:space="preserve">The foundational LLM-as-judge paper. Establishes the method, its agreement rates with humans, and its biases. Everything we do on evaluation sits on top of this</w:t>
            </w:r>
          </w:p>
        </w:tc>
      </w:tr>
      <w:tr>
        <w:tc>
          <w:tcPr>
            <w:tcW w:type="dxa" w:w="3400"/>
            <w:shd w:fill="F2F6FB" w:color="auto" w:val="clear"/>
            <w:tcMar>
              <w:top w:type="dxa" w:w="70"/>
              <w:left w:type="dxa" w:w="110"/>
              <w:bottom w:type="dxa" w:w="70"/>
              <w:right w:type="dxa" w:w="110"/>
            </w:tcMar>
          </w:tcPr>
          <w:p>
            <w:pPr>
              <w:spacing w:after="0" w:line="252"/>
            </w:pPr>
            <w:r>
              <w:rPr>
                <w:rFonts w:ascii="Calibri" w:cs="Calibri" w:eastAsia="Calibri" w:hAnsi="Calibri"/>
                <w:b/>
                <w:bCs/>
                <w:i w:val="false"/>
                <w:iCs w:val="false"/>
                <w:color w:val="222222"/>
                <w:sz w:val="20"/>
                <w:szCs w:val="20"/>
              </w:rPr>
              <w:t xml:space="preserve">Thakur et al. (2021)</w:t>
            </w:r>
            <w:r>
              <w:rPr>
                <w:rFonts w:ascii="Calibri" w:cs="Calibri" w:eastAsia="Calibri" w:hAnsi="Calibri"/>
                <w:b w:val="false"/>
                <w:bCs w:val="false"/>
                <w:i w:val="false"/>
                <w:iCs w:val="false"/>
                <w:color w:val="222222"/>
                <w:sz w:val="20"/>
                <w:szCs w:val="20"/>
              </w:rPr>
              <w:t xml:space="preserve"> — BEIR: A heterogeneous benchmark for zero-shot IR</w:t>
            </w:r>
          </w:p>
        </w:tc>
        <w:tc>
          <w:tcPr>
            <w:tcW w:type="dxa" w:w="1700"/>
            <w:shd w:fill="F2F6FB" w:color="auto" w:val="clear"/>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222222"/>
                <w:sz w:val="20"/>
                <w:szCs w:val="20"/>
              </w:rPr>
              <w:t xml:space="preserve">NeurIPS 2021</w:t>
            </w:r>
          </w:p>
        </w:tc>
        <w:tc>
          <w:tcPr>
            <w:tcW w:type="dxa" w:w="4260"/>
            <w:shd w:fill="F2F6FB" w:color="auto" w:val="clear"/>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222222"/>
                <w:sz w:val="20"/>
                <w:szCs w:val="20"/>
              </w:rPr>
              <w:t xml:space="preserve">The standard for retrieval evaluation. Section 3.3 explains exactly when nDCG is the right metric and when it is not, which settles our NDCG question</w:t>
            </w:r>
          </w:p>
        </w:tc>
      </w:tr>
      <w:tr>
        <w:tc>
          <w:tcPr>
            <w:tcW w:type="dxa" w:w="3400"/>
            <w:tcMar>
              <w:top w:type="dxa" w:w="70"/>
              <w:left w:type="dxa" w:w="110"/>
              <w:bottom w:type="dxa" w:w="70"/>
              <w:right w:type="dxa" w:w="110"/>
            </w:tcMar>
          </w:tcPr>
          <w:p>
            <w:pPr>
              <w:spacing w:after="0" w:line="252"/>
            </w:pPr>
            <w:r>
              <w:rPr>
                <w:rFonts w:ascii="Calibri" w:cs="Calibri" w:eastAsia="Calibri" w:hAnsi="Calibri"/>
                <w:b/>
                <w:bCs/>
                <w:i w:val="false"/>
                <w:iCs w:val="false"/>
                <w:color w:val="222222"/>
                <w:sz w:val="20"/>
                <w:szCs w:val="20"/>
              </w:rPr>
              <w:t xml:space="preserve">Getahun et al. (2024)</w:t>
            </w:r>
            <w:r>
              <w:rPr>
                <w:rFonts w:ascii="Calibri" w:cs="Calibri" w:eastAsia="Calibri" w:hAnsi="Calibri"/>
                <w:b w:val="false"/>
                <w:bCs w:val="false"/>
                <w:i w:val="false"/>
                <w:iCs w:val="false"/>
                <w:color w:val="222222"/>
                <w:sz w:val="20"/>
                <w:szCs w:val="20"/>
              </w:rPr>
              <w:t xml:space="preserve"> — Experts' prediction of item difficulty</w:t>
            </w:r>
          </w:p>
        </w:tc>
        <w:tc>
          <w:tcPr>
            <w:tcW w:type="dxa" w:w="1700"/>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222222"/>
                <w:sz w:val="20"/>
                <w:szCs w:val="20"/>
              </w:rPr>
              <w:t xml:space="preserve">BMC Medical Education</w:t>
            </w:r>
          </w:p>
        </w:tc>
        <w:tc>
          <w:tcPr>
            <w:tcW w:type="dxa" w:w="4260"/>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222222"/>
                <w:sz w:val="20"/>
                <w:szCs w:val="20"/>
              </w:rPr>
              <w:t xml:space="preserve">200 MCQs, 815 examinees, expert raters. Expert-predicted difficulty explained only </w:t>
            </w:r>
            <w:r>
              <w:rPr>
                <w:rFonts w:ascii="Calibri" w:cs="Calibri" w:eastAsia="Calibri" w:hAnsi="Calibri"/>
                <w:b/>
                <w:bCs/>
                <w:i w:val="false"/>
                <w:iCs w:val="false"/>
                <w:color w:val="222222"/>
                <w:sz w:val="20"/>
                <w:szCs w:val="20"/>
              </w:rPr>
              <w:t xml:space="preserve">R² = 0.33</w:t>
            </w:r>
            <w:r>
              <w:rPr>
                <w:rFonts w:ascii="Calibri" w:cs="Calibri" w:eastAsia="Calibri" w:hAnsi="Calibri"/>
                <w:b w:val="false"/>
                <w:bCs w:val="false"/>
                <w:i w:val="false"/>
                <w:iCs w:val="false"/>
                <w:color w:val="222222"/>
                <w:sz w:val="20"/>
                <w:szCs w:val="20"/>
              </w:rPr>
              <w:t xml:space="preserve"> of actual difficulty. Directly relevant to how we frame our difficulty labelling</w:t>
            </w:r>
          </w:p>
        </w:tc>
      </w:tr>
    </w:tbl>
    <w:p>
      <w:pPr>
        <w:pStyle w:val="Heading1"/>
      </w:pPr>
      <w:r>
        <w:t xml:space="preserve">1.  Retrieval evaluation</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Thakur, N., Reimers, N., Rücklé, A., Srivastava, A., &amp; Gurevych, I. (2021). BEIR: A heterogeneous benchmark for zero-shot evaluation of information retrieval models.</w:t>
      </w:r>
    </w:p>
    <w:p>
      <w:pPr>
        <w:spacing w:after="40"/>
        <w:ind w:left="340"/>
      </w:pPr>
      <w:r>
        <w:rPr>
          <w:rFonts w:ascii="Calibri" w:cs="Calibri" w:eastAsia="Calibri" w:hAnsi="Calibri"/>
          <w:i/>
          <w:iCs/>
          <w:color w:val="666666"/>
          <w:sz w:val="20"/>
          <w:szCs w:val="20"/>
        </w:rPr>
        <w:t xml:space="preserve">NeurIPS 2021, Datasets and Benchmarks Track</w:t>
      </w:r>
    </w:p>
    <w:p>
      <w:pPr>
        <w:spacing w:after="80"/>
        <w:ind w:left="340"/>
      </w:pPr>
      <w:hyperlink w:history="1" r:id="rIdegxvaickidzknwcyl-e34">
        <w:r>
          <w:rPr>
            <w:rFonts w:ascii="Calibri" w:cs="Calibri" w:eastAsia="Calibri" w:hAnsi="Calibri"/>
            <w:color w:val="1155CC"/>
            <w:sz w:val="19"/>
            <w:szCs w:val="19"/>
            <w:u w:val="single"/>
          </w:rPr>
          <w:t xml:space="preserve">https://arxiv.org/abs/2104.08663</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Two things we use. First, section 3.3 states the reason for standardising on nDCG@10: MRR and MAP fail to evaluate tasks with graded relevance judgements. Our judgements are binary, so that justification does not transfer. Second, the Hole@10 analysis shows relevance pools built from one retriever systematically under-score a different retriever (DPR 0.332 to 0.445 after re-judging). Since we changed our retriever, our gold set has to be re-pooled.</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Cuconasu, F., et al. (2024). The power of noise: Redefining retrieval for RAG systems.</w:t>
      </w:r>
    </w:p>
    <w:p>
      <w:pPr>
        <w:spacing w:after="40"/>
        <w:ind w:left="340"/>
      </w:pPr>
      <w:r>
        <w:rPr>
          <w:rFonts w:ascii="Calibri" w:cs="Calibri" w:eastAsia="Calibri" w:hAnsi="Calibri"/>
          <w:i/>
          <w:iCs/>
          <w:color w:val="666666"/>
          <w:sz w:val="20"/>
          <w:szCs w:val="20"/>
        </w:rPr>
        <w:t xml:space="preserve">SIGIR 2024</w:t>
      </w:r>
    </w:p>
    <w:p>
      <w:pPr>
        <w:spacing w:after="80"/>
        <w:ind w:left="340"/>
      </w:pPr>
      <w:hyperlink w:history="1" r:id="rIdnjjtugkt3sjrrafnfd105">
        <w:r>
          <w:rPr>
            <w:rFonts w:ascii="Calibri" w:cs="Calibri" w:eastAsia="Calibri" w:hAnsi="Calibri"/>
            <w:color w:val="1155CC"/>
            <w:sz w:val="19"/>
            <w:szCs w:val="19"/>
            <w:u w:val="single"/>
          </w:rPr>
          <w:t xml:space="preserve">https://doi.org/10.1145/3626772.3657834</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The best empirical study of what a RAG retriever should actually return. Two counter-intuitive findings: high-scoring documents that are not answer-bearing degrade LLM output, and adding random documents can improve accuracy by up to 35%. This is why we track context precision, not just coverage.</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Liu, N. F., Lin, K., Hewitt, J., Paranjape, A., Bevilacqua, M., Petroni, F., &amp; Liang, P. (2023). Lost in the middle: How language models use long contexts.</w:t>
      </w:r>
    </w:p>
    <w:p>
      <w:pPr>
        <w:spacing w:after="40"/>
        <w:ind w:left="340"/>
      </w:pPr>
      <w:r>
        <w:rPr>
          <w:rFonts w:ascii="Calibri" w:cs="Calibri" w:eastAsia="Calibri" w:hAnsi="Calibri"/>
          <w:i/>
          <w:iCs/>
          <w:color w:val="666666"/>
          <w:sz w:val="20"/>
          <w:szCs w:val="20"/>
        </w:rPr>
        <w:t xml:space="preserve">TACL</w:t>
      </w:r>
    </w:p>
    <w:p>
      <w:pPr>
        <w:spacing w:after="80"/>
        <w:ind w:left="340"/>
      </w:pPr>
      <w:hyperlink w:history="1" r:id="rIdttzy4ienfbmwlyl3qsvm5">
        <w:r>
          <w:rPr>
            <w:rFonts w:ascii="Calibri" w:cs="Calibri" w:eastAsia="Calibri" w:hAnsi="Calibri"/>
            <w:color w:val="1155CC"/>
            <w:sz w:val="19"/>
            <w:szCs w:val="19"/>
            <w:u w:val="single"/>
          </w:rPr>
          <w:t xml:space="preserve">https://arxiv.org/abs/2307.03172</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Performance is highest when relevant information sits at the beginning or end of the context and degrades in the middle. Combined with the paper above, this means utility by position is U-shaped, whereas NDCG assumes it decays logarithmically. The metric's user model does not match how we consume chunks.</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Saad-Falcon, J., Khattab, O., Potts, C., &amp; Zaharia, M. (2024). ARES: An automated evaluation framework for RAG systems.</w:t>
      </w:r>
    </w:p>
    <w:p>
      <w:pPr>
        <w:spacing w:after="40"/>
        <w:ind w:left="340"/>
      </w:pPr>
      <w:r>
        <w:rPr>
          <w:rFonts w:ascii="Calibri" w:cs="Calibri" w:eastAsia="Calibri" w:hAnsi="Calibri"/>
          <w:i/>
          <w:iCs/>
          <w:color w:val="666666"/>
          <w:sz w:val="20"/>
          <w:szCs w:val="20"/>
        </w:rPr>
        <w:t xml:space="preserve">NAACL 2024</w:t>
      </w:r>
    </w:p>
    <w:p>
      <w:pPr>
        <w:spacing w:after="80"/>
        <w:ind w:left="340"/>
      </w:pPr>
      <w:hyperlink w:history="1" r:id="rId7lbesiada3abwihd46czn">
        <w:r>
          <w:rPr>
            <w:rFonts w:ascii="Calibri" w:cs="Calibri" w:eastAsia="Calibri" w:hAnsi="Calibri"/>
            <w:color w:val="1155CC"/>
            <w:sz w:val="19"/>
            <w:szCs w:val="19"/>
            <w:u w:val="single"/>
          </w:rPr>
          <w:t xml:space="preserve">https://aclanthology.org/2024.naacl-long.20.pdf</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The only effect-size-calibrated guidance on evaluation-set size I found: below roughly 100 to 150 labelled datapoints the framework cannot distinguish RAG systems that differ by 2.5 accuracy points. Also introduces confidence intervals for evaluation scores, which is worth adopting later.</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Es, S., James, J., Espinosa-Anke, L., &amp; Schockaert, S. (2024). RAGAS: Automated evaluation of retrieval augmented generation.</w:t>
      </w:r>
    </w:p>
    <w:p>
      <w:pPr>
        <w:spacing w:after="40"/>
        <w:ind w:left="340"/>
      </w:pPr>
      <w:r>
        <w:rPr>
          <w:rFonts w:ascii="Calibri" w:cs="Calibri" w:eastAsia="Calibri" w:hAnsi="Calibri"/>
          <w:i/>
          <w:iCs/>
          <w:color w:val="666666"/>
          <w:sz w:val="20"/>
          <w:szCs w:val="20"/>
        </w:rPr>
        <w:t xml:space="preserve">EACL 2024, System Demonstrations</w:t>
      </w:r>
    </w:p>
    <w:p>
      <w:pPr>
        <w:spacing w:after="80"/>
        <w:ind w:left="340"/>
      </w:pPr>
      <w:hyperlink w:history="1" r:id="rIdfgmjdzjxadgnoyc_w-ttp">
        <w:r>
          <w:rPr>
            <w:rFonts w:ascii="Calibri" w:cs="Calibri" w:eastAsia="Calibri" w:hAnsi="Calibri"/>
            <w:color w:val="1155CC"/>
            <w:sz w:val="19"/>
            <w:szCs w:val="19"/>
            <w:u w:val="single"/>
          </w:rPr>
          <w:t xml:space="preserve">https://aclanthology.org/2024.eacl-demo.16.pdf</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Defines faithfulness, answer relevance and context relevance, all reference-free. Useful for the metrics we can compute without labels. One caveat worth knowing: ARES measured RAGAS context relevance accuracy at 15 to 36%, and the RAGAS library has since removed it from the core RAG metric set.</w:t>
      </w:r>
    </w:p>
    <w:p>
      <w:pPr>
        <w:pStyle w:val="Heading1"/>
      </w:pPr>
      <w:r>
        <w:t xml:space="preserve">2.  LLM-as-judge: bias and validation</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Zheng, L., et al. (2023). Judging LLM-as-a-judge with MT-Bench and Chatbot Arena.</w:t>
      </w:r>
    </w:p>
    <w:p>
      <w:pPr>
        <w:spacing w:after="40"/>
        <w:ind w:left="340"/>
      </w:pPr>
      <w:r>
        <w:rPr>
          <w:rFonts w:ascii="Calibri" w:cs="Calibri" w:eastAsia="Calibri" w:hAnsi="Calibri"/>
          <w:i/>
          <w:iCs/>
          <w:color w:val="666666"/>
          <w:sz w:val="20"/>
          <w:szCs w:val="20"/>
        </w:rPr>
        <w:t xml:space="preserve">NeurIPS 2023, Datasets and Benchmarks Track</w:t>
      </w:r>
    </w:p>
    <w:p>
      <w:pPr>
        <w:spacing w:after="80"/>
        <w:ind w:left="340"/>
      </w:pPr>
      <w:hyperlink w:history="1" r:id="rIdqomjoun_4831l6s2ehtmx">
        <w:r>
          <w:rPr>
            <w:rFonts w:ascii="Calibri" w:cs="Calibri" w:eastAsia="Calibri" w:hAnsi="Calibri"/>
            <w:color w:val="1155CC"/>
            <w:sz w:val="19"/>
            <w:szCs w:val="19"/>
            <w:u w:val="single"/>
          </w:rPr>
          <w:t xml:space="preserve">https://arxiv.org/abs/2306.05685</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The canonical reference. Reports GPT-4 agreeing with humans at 85% versus human-human agreement of 81%. Section 3.3 is worth reading carefully: the authors explicitly state their study cannot determine whether the models exhibit a self-enhancement bias, so the widely quoted 10% self-preference figure is more tentative than its reputation. Also shows reference-guided grading cutting judge failures on maths from 14/20 to 3/20.</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Panickssery, A., Bowman, S. R., &amp; Feng, S. (2024). LLM evaluators recognize and favor their own generations.</w:t>
      </w:r>
    </w:p>
    <w:p>
      <w:pPr>
        <w:spacing w:after="40"/>
        <w:ind w:left="340"/>
      </w:pPr>
      <w:r>
        <w:rPr>
          <w:rFonts w:ascii="Calibri" w:cs="Calibri" w:eastAsia="Calibri" w:hAnsi="Calibri"/>
          <w:i/>
          <w:iCs/>
          <w:color w:val="666666"/>
          <w:sz w:val="20"/>
          <w:szCs w:val="20"/>
        </w:rPr>
        <w:t xml:space="preserve">NeurIPS 2024</w:t>
      </w:r>
    </w:p>
    <w:p>
      <w:pPr>
        <w:spacing w:after="80"/>
        <w:ind w:left="340"/>
      </w:pPr>
      <w:hyperlink w:history="1" r:id="rIdexime4ufba5s5-ynrgij0">
        <w:r>
          <w:rPr>
            <w:rFonts w:ascii="Calibri" w:cs="Calibri" w:eastAsia="Calibri" w:hAnsi="Calibri"/>
            <w:color w:val="1155CC"/>
            <w:sz w:val="19"/>
            <w:szCs w:val="19"/>
            <w:u w:val="single"/>
          </w:rPr>
          <w:t xml:space="preserve">https://arxiv.org/abs/2404.13076</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The strongest causal evidence for self-preference. GPT-4 recognises its own output at 73.5%, and self-recognition confidence correlates with self-preference at Kendall tau 0.41, rising to 0.74 after fine-tuning. This is the citation for why we decoupled the judge from the generator.</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Wang, P., et al. (2024). Large language models are not fair evaluators.</w:t>
      </w:r>
    </w:p>
    <w:p>
      <w:pPr>
        <w:spacing w:after="40"/>
        <w:ind w:left="340"/>
      </w:pPr>
      <w:r>
        <w:rPr>
          <w:rFonts w:ascii="Calibri" w:cs="Calibri" w:eastAsia="Calibri" w:hAnsi="Calibri"/>
          <w:i/>
          <w:iCs/>
          <w:color w:val="666666"/>
          <w:sz w:val="20"/>
          <w:szCs w:val="20"/>
        </w:rPr>
        <w:t xml:space="preserve">ACL 2024</w:t>
      </w:r>
    </w:p>
    <w:p>
      <w:pPr>
        <w:spacing w:after="80"/>
        <w:ind w:left="340"/>
      </w:pPr>
      <w:hyperlink w:history="1" r:id="rIdu4fpsyrxvvnowti5mvgwj">
        <w:r>
          <w:rPr>
            <w:rFonts w:ascii="Calibri" w:cs="Calibri" w:eastAsia="Calibri" w:hAnsi="Calibri"/>
            <w:color w:val="1155CC"/>
            <w:sz w:val="19"/>
            <w:szCs w:val="19"/>
            <w:u w:val="single"/>
          </w:rPr>
          <w:t xml:space="preserve">https://aclanthology.org/2024.acl-long.511/</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Quantifies position bias: verdicts flip on swapping candidate order 46.3% of the time for GPT-4 and 82.5% for ChatGPT. Provides two practical mitigations that we should apply to any pairwise judging.</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Thakur, A. S., Choudhary, K., Ramayapally, V. S., Vaidyanathan, S., &amp; Hupkes, D. (2025). Judging the judges: Evaluating alignment and vulnerabilities in LLMs-as-judges.</w:t>
      </w:r>
    </w:p>
    <w:p>
      <w:pPr>
        <w:spacing w:after="40"/>
        <w:ind w:left="340"/>
      </w:pPr>
      <w:r>
        <w:rPr>
          <w:rFonts w:ascii="Calibri" w:cs="Calibri" w:eastAsia="Calibri" w:hAnsi="Calibri"/>
          <w:i/>
          <w:iCs/>
          <w:color w:val="666666"/>
          <w:sz w:val="20"/>
          <w:szCs w:val="20"/>
        </w:rPr>
        <w:t xml:space="preserve">GEM 2025 (ACL workshop)</w:t>
      </w:r>
    </w:p>
    <w:p>
      <w:pPr>
        <w:spacing w:after="80"/>
        <w:ind w:left="340"/>
      </w:pPr>
      <w:hyperlink w:history="1" r:id="rIdng61q88qtoj_fq5rks8rp">
        <w:r>
          <w:rPr>
            <w:rFonts w:ascii="Calibri" w:cs="Calibri" w:eastAsia="Calibri" w:hAnsi="Calibri"/>
            <w:color w:val="1155CC"/>
            <w:sz w:val="19"/>
            <w:szCs w:val="19"/>
            <w:u w:val="single"/>
          </w:rPr>
          <w:t xml:space="preserve">https://aclanthology.org/2025.gem-1.33/</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The most practically important finding for our reporting: raw percent agreement is close to useless as a validation statistic. A judge above 90% percent agreement can still misestimate system scores by more than 10 points, whereas Scott's pi above 80 keeps them within about 5. Their recommendation is to report both. Also finds no judge reaching human-human parity.</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Calderon, N., Reichart, R., &amp; Dror, R. (2025). The alternative annotator test for LLM-as-a-judge.</w:t>
      </w:r>
    </w:p>
    <w:p>
      <w:pPr>
        <w:spacing w:after="40"/>
        <w:ind w:left="340"/>
      </w:pPr>
      <w:r>
        <w:rPr>
          <w:rFonts w:ascii="Calibri" w:cs="Calibri" w:eastAsia="Calibri" w:hAnsi="Calibri"/>
          <w:i/>
          <w:iCs/>
          <w:color w:val="666666"/>
          <w:sz w:val="20"/>
          <w:szCs w:val="20"/>
        </w:rPr>
        <w:t xml:space="preserve">ACL 2025, Long Papers</w:t>
      </w:r>
    </w:p>
    <w:p>
      <w:pPr>
        <w:spacing w:after="80"/>
        <w:ind w:left="340"/>
      </w:pPr>
      <w:hyperlink w:history="1" r:id="rIdx2ocsvbcodxfu2e6f55ai">
        <w:r>
          <w:rPr>
            <w:rFonts w:ascii="Calibri" w:cs="Calibri" w:eastAsia="Calibri" w:hAnsi="Calibri"/>
            <w:color w:val="1155CC"/>
            <w:sz w:val="19"/>
            <w:szCs w:val="19"/>
            <w:u w:val="single"/>
          </w:rPr>
          <w:t xml:space="preserve">https://aclanthology.org/2025.acl-long.782/</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A proper statistical procedure for the question 'can this judge replace our human raters?', rather than a threshold rule of thumb. Leave-one-annotator-out, hypothesis test with a correction, decision rule omega greater than or equal to 0.5. Requires at least 3 annotators and 30 items, which our labelling exercise will satisfy.</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Bavaresco, A., et al. (2025). LLMs instead of human judges? A large scale empirical study across 20 NLP evaluation tasks.</w:t>
      </w:r>
    </w:p>
    <w:p>
      <w:pPr>
        <w:spacing w:after="40"/>
        <w:ind w:left="340"/>
      </w:pPr>
      <w:r>
        <w:rPr>
          <w:rFonts w:ascii="Calibri" w:cs="Calibri" w:eastAsia="Calibri" w:hAnsi="Calibri"/>
          <w:i/>
          <w:iCs/>
          <w:color w:val="666666"/>
          <w:sz w:val="20"/>
          <w:szCs w:val="20"/>
        </w:rPr>
        <w:t xml:space="preserve">ACL 2025, Short Papers</w:t>
      </w:r>
    </w:p>
    <w:p>
      <w:pPr>
        <w:spacing w:after="80"/>
        <w:ind w:left="340"/>
      </w:pPr>
      <w:hyperlink w:history="1" r:id="rIdwtcy6v0qsg0fsxkv0pmls">
        <w:r>
          <w:rPr>
            <w:rFonts w:ascii="Calibri" w:cs="Calibri" w:eastAsia="Calibri" w:hAnsi="Calibri"/>
            <w:color w:val="1155CC"/>
            <w:sz w:val="19"/>
            <w:szCs w:val="19"/>
            <w:u w:val="single"/>
          </w:rPr>
          <w:t xml:space="preserve">https://aclanthology.org/2025.acl-short.20/</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20 datasets, over 70,000 instances, 11 models. Agreement with humans varies enormously by task, and chain-of-thought prompting does not consistently improve it. The conclusion we should follow is to validate the judge against task-specific human judgements before deploying it, rather than assuming transfer.</w:t>
      </w:r>
    </w:p>
    <w:p>
      <w:pPr>
        <w:pStyle w:val="Heading1"/>
      </w:pPr>
      <w:r>
        <w:t xml:space="preserve">3.  Question generation and assessment quality</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Fu, W., Wei, B., Hu, J., Cai, Z., &amp; Liu, J. (2024). QGEval: Benchmarking multi-dimensional evaluation for question generation.</w:t>
      </w:r>
    </w:p>
    <w:p>
      <w:pPr>
        <w:spacing w:after="40"/>
        <w:ind w:left="340"/>
      </w:pPr>
      <w:r>
        <w:rPr>
          <w:rFonts w:ascii="Calibri" w:cs="Calibri" w:eastAsia="Calibri" w:hAnsi="Calibri"/>
          <w:i/>
          <w:iCs/>
          <w:color w:val="666666"/>
          <w:sz w:val="20"/>
          <w:szCs w:val="20"/>
        </w:rPr>
        <w:t xml:space="preserve">EMNLP 2024</w:t>
      </w:r>
    </w:p>
    <w:p>
      <w:pPr>
        <w:spacing w:after="80"/>
        <w:ind w:left="340"/>
      </w:pPr>
      <w:hyperlink w:history="1" r:id="rIdfuk8ohcnq6csorw6jjbco">
        <w:r>
          <w:rPr>
            <w:rFonts w:ascii="Calibri" w:cs="Calibri" w:eastAsia="Calibri" w:hAnsi="Calibri"/>
            <w:color w:val="1155CC"/>
            <w:sz w:val="19"/>
            <w:szCs w:val="19"/>
            <w:u w:val="single"/>
          </w:rPr>
          <w:t xml:space="preserve">https://aclanthology.org/2024.emnlp-main.658/</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Standardises seven evaluation dimensions: fluency, clarity, conciseness, relevance, consistency, answerability, answer consistency. This is the citable basis for our human evaluation rubric. Also reports that existing automatic metrics fail to align with human judgement across all seven.</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Mohammadshahi, A., et al. (2023). RQUGE: Reference-free metric for evaluating question generation by answering the question.</w:t>
      </w:r>
    </w:p>
    <w:p>
      <w:pPr>
        <w:spacing w:after="40"/>
        <w:ind w:left="340"/>
      </w:pPr>
      <w:r>
        <w:rPr>
          <w:rFonts w:ascii="Calibri" w:cs="Calibri" w:eastAsia="Calibri" w:hAnsi="Calibri"/>
          <w:i/>
          <w:iCs/>
          <w:color w:val="666666"/>
          <w:sz w:val="20"/>
          <w:szCs w:val="20"/>
        </w:rPr>
        <w:t xml:space="preserve">Findings of ACL 2023</w:t>
      </w:r>
    </w:p>
    <w:p>
      <w:pPr>
        <w:spacing w:after="80"/>
        <w:ind w:left="340"/>
      </w:pPr>
      <w:hyperlink w:history="1" r:id="rIdzsnlevrhj77ciphgizwmm">
        <w:r>
          <w:rPr>
            <w:rFonts w:ascii="Calibri" w:cs="Calibri" w:eastAsia="Calibri" w:hAnsi="Calibri"/>
            <w:color w:val="1155CC"/>
            <w:sz w:val="19"/>
            <w:szCs w:val="19"/>
            <w:u w:val="single"/>
          </w:rPr>
          <w:t xml:space="preserve">https://aclanthology.org/2023.findings-acl.428/</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The method behind the AI-solvability check. An independent QA model answers the generated question and a span scorer compares it to the gold answer. No training required, correlates better with humans than BLEU or ROUGE, and is robust to adversarial corruptions that fool n-gram metrics.</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Kurdi, G., Leo, J., Parsia, B., Sattler, U., &amp; Al-Emari, S. (2020). A systematic review of automatic question generation for educational purposes. International Journal of Artificial Intelligence in Education, 30(1), 121–204.</w:t>
      </w:r>
    </w:p>
    <w:p>
      <w:pPr>
        <w:spacing w:after="40"/>
        <w:ind w:left="340"/>
      </w:pPr>
      <w:r>
        <w:rPr>
          <w:rFonts w:ascii="Calibri" w:cs="Calibri" w:eastAsia="Calibri" w:hAnsi="Calibri"/>
          <w:i/>
          <w:iCs/>
          <w:color w:val="666666"/>
          <w:sz w:val="20"/>
          <w:szCs w:val="20"/>
        </w:rPr>
        <w:t xml:space="preserve">IJAIED</w:t>
      </w:r>
    </w:p>
    <w:p>
      <w:pPr>
        <w:spacing w:after="80"/>
        <w:ind w:left="340"/>
      </w:pPr>
      <w:hyperlink w:history="1" r:id="rIdhpxm0eles2pr8oqf3q89f">
        <w:r>
          <w:rPr>
            <w:rFonts w:ascii="Calibri" w:cs="Calibri" w:eastAsia="Calibri" w:hAnsi="Calibri"/>
            <w:color w:val="1155CC"/>
            <w:sz w:val="19"/>
            <w:szCs w:val="19"/>
            <w:u w:val="single"/>
          </w:rPr>
          <w:t xml:space="preserve">https://link.springer.com/article/10.1007/s40593-019-00186-y</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The standard survey of the field, covering 93 papers. Useful context: only 14 of those 93 addressed question difficulty at all, so difficulty control is genuinely under-served rather than something we have overlooked.</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Getahun, D. A., et al. (2024). Experts' prediction of item difficulty of multiple-choice questions in the Ethiopian Undergraduate Medicine Licensure Examination. BMC Medical Education, 24, 1049.</w:t>
      </w:r>
    </w:p>
    <w:p>
      <w:pPr>
        <w:spacing w:after="40"/>
        <w:ind w:left="340"/>
      </w:pPr>
      <w:r>
        <w:rPr>
          <w:rFonts w:ascii="Calibri" w:cs="Calibri" w:eastAsia="Calibri" w:hAnsi="Calibri"/>
          <w:i/>
          <w:iCs/>
          <w:color w:val="666666"/>
          <w:sz w:val="20"/>
          <w:szCs w:val="20"/>
        </w:rPr>
        <w:t xml:space="preserve">BMC Medical Education</w:t>
      </w:r>
    </w:p>
    <w:p>
      <w:pPr>
        <w:spacing w:after="80"/>
        <w:ind w:left="340"/>
      </w:pPr>
      <w:hyperlink w:history="1" r:id="rIds2yx05dprwfezzbemu1g5">
        <w:r>
          <w:rPr>
            <w:rFonts w:ascii="Calibri" w:cs="Calibri" w:eastAsia="Calibri" w:hAnsi="Calibri"/>
            <w:color w:val="1155CC"/>
            <w:sz w:val="19"/>
            <w:szCs w:val="19"/>
            <w:u w:val="single"/>
          </w:rPr>
          <w:t xml:space="preserve">https://link.springer.com/article/10.1186/s12909-024-06012-x</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The most consequential paper for our labelling exercise. Six to seven expert physicians rated 200 MCQs later sat by 815 examinees. They agreed with each other at r = 0.73 to 0.84 but with actual difficulty at only r = 0.46 to 0.55, explaining R² = 0.33 overall and as little as 0.001 in some domains. The implication: high inter-rater agreement on difficulty is not evidence the labels are right, and we should report our difficulty labels as intended difficulty.</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Yaneva, V., et al. (2024). Findings from the first shared task on automated prediction of difficulty and response time for multiple-choice questions.</w:t>
      </w:r>
    </w:p>
    <w:p>
      <w:pPr>
        <w:spacing w:after="40"/>
        <w:ind w:left="340"/>
      </w:pPr>
      <w:r>
        <w:rPr>
          <w:rFonts w:ascii="Calibri" w:cs="Calibri" w:eastAsia="Calibri" w:hAnsi="Calibri"/>
          <w:i/>
          <w:iCs/>
          <w:color w:val="666666"/>
          <w:sz w:val="20"/>
          <w:szCs w:val="20"/>
        </w:rPr>
        <w:t xml:space="preserve">BEA 2024 (NAACL workshop)</w:t>
      </w:r>
    </w:p>
    <w:p>
      <w:pPr>
        <w:spacing w:after="80"/>
        <w:ind w:left="340"/>
      </w:pPr>
      <w:hyperlink w:history="1" r:id="rIdsybgaxsz8x79ydtjblovc">
        <w:r>
          <w:rPr>
            <w:rFonts w:ascii="Calibri" w:cs="Calibri" w:eastAsia="Calibri" w:hAnsi="Calibri"/>
            <w:color w:val="1155CC"/>
            <w:sz w:val="19"/>
            <w:szCs w:val="19"/>
            <w:u w:val="single"/>
          </w:rPr>
          <w:t xml:space="preserve">https://aclanthology.org/2024.bea-1.39/</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Run by the National Board of Medical Examiners on 667 retired USMLE items with 17 competing teams. The best system barely beat a predict-the-mean baseline. This is the honest state of the art for predicting difficulty from question text, and the reason we should treat difficulty as a limitation rather than a deliverable.</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Moore, S., Nguyen, H. A., Chen, T., &amp; Stamper, J. (2023). Assessing the quality of multiple-choice questions using GPT-4 and rule-based methods.</w:t>
      </w:r>
    </w:p>
    <w:p>
      <w:pPr>
        <w:spacing w:after="40"/>
        <w:ind w:left="340"/>
      </w:pPr>
      <w:r>
        <w:rPr>
          <w:rFonts w:ascii="Calibri" w:cs="Calibri" w:eastAsia="Calibri" w:hAnsi="Calibri"/>
          <w:i/>
          <w:iCs/>
          <w:color w:val="666666"/>
          <w:sz w:val="20"/>
          <w:szCs w:val="20"/>
        </w:rPr>
        <w:t xml:space="preserve">EC-TEL 2023</w:t>
      </w:r>
    </w:p>
    <w:p>
      <w:pPr>
        <w:spacing w:after="80"/>
        <w:ind w:left="340"/>
      </w:pPr>
      <w:hyperlink w:history="1" r:id="rIde9mip867bqvbng05utv2h">
        <w:r>
          <w:rPr>
            <w:rFonts w:ascii="Calibri" w:cs="Calibri" w:eastAsia="Calibri" w:hAnsi="Calibri"/>
            <w:color w:val="1155CC"/>
            <w:sz w:val="19"/>
            <w:szCs w:val="19"/>
            <w:u w:val="single"/>
          </w:rPr>
          <w:t xml:space="preserve">https://arxiv.org/abs/2307.08161</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On 200 questions across four subjects, a rule-based method detected 91% of item-writing flaws versus GPT-4's 79%. The lesson we are adopting: use deterministic rules for structural quality checks and reserve the LLM for semantic judgement. The same group's SAQUET toolkit (AIED 2024) is open source and validated across five subject areas.</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Haladyna, T. M., Downing, S. M., &amp; Rodriguez, M. C. (2002). A review of multiple-choice item-writing guidelines for classroom assessment. Applied Measurement in Education, 15(3), 309–333.</w:t>
      </w:r>
    </w:p>
    <w:p>
      <w:pPr>
        <w:spacing w:after="40"/>
        <w:ind w:left="340"/>
      </w:pPr>
      <w:r>
        <w:rPr>
          <w:rFonts w:ascii="Calibri" w:cs="Calibri" w:eastAsia="Calibri" w:hAnsi="Calibri"/>
          <w:i/>
          <w:iCs/>
          <w:color w:val="666666"/>
          <w:sz w:val="20"/>
          <w:szCs w:val="20"/>
        </w:rPr>
        <w:t xml:space="preserve">Applied Measurement in Education</w:t>
      </w:r>
    </w:p>
    <w:p>
      <w:pPr>
        <w:spacing w:after="80"/>
        <w:ind w:left="340"/>
      </w:pPr>
      <w:hyperlink w:history="1" r:id="rIdi5j5tkuvcszmke9ax5yt-">
        <w:r>
          <w:rPr>
            <w:rFonts w:ascii="Calibri" w:cs="Calibri" w:eastAsia="Calibri" w:hAnsi="Calibri"/>
            <w:color w:val="1155CC"/>
            <w:sz w:val="19"/>
            <w:szCs w:val="19"/>
            <w:u w:val="single"/>
          </w:rPr>
          <w:t xml:space="preserve">https://eric.ed.gov/?id=EJ660246</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The standard 31-guideline taxonomy in educational measurement, validated against 27 textbooks and 27 studies. The basis for any automated item-quality checking we build.</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Downing, S. M. (2005). The effects of violating standard item writing principles on tests and students. Advances in Health Sciences Education, 10(2), 133–143.</w:t>
      </w:r>
    </w:p>
    <w:p>
      <w:pPr>
        <w:spacing w:after="40"/>
        <w:ind w:left="340"/>
      </w:pPr>
      <w:r>
        <w:rPr>
          <w:rFonts w:ascii="Calibri" w:cs="Calibri" w:eastAsia="Calibri" w:hAnsi="Calibri"/>
          <w:i/>
          <w:iCs/>
          <w:color w:val="666666"/>
          <w:sz w:val="20"/>
          <w:szCs w:val="20"/>
        </w:rPr>
        <w:t xml:space="preserve">Advances in Health Sciences Education</w:t>
      </w:r>
    </w:p>
    <w:p>
      <w:pPr>
        <w:spacing w:after="80"/>
        <w:ind w:left="340"/>
      </w:pPr>
      <w:hyperlink w:history="1" r:id="rIdnz7gfld1dfximi2onlnww">
        <w:r>
          <w:rPr>
            <w:rFonts w:ascii="Calibri" w:cs="Calibri" w:eastAsia="Calibri" w:hAnsi="Calibri"/>
            <w:color w:val="1155CC"/>
            <w:sz w:val="19"/>
            <w:szCs w:val="19"/>
            <w:u w:val="single"/>
          </w:rPr>
          <w:t xml:space="preserve">https://pubmed.ncbi.nlm.nih.gov/16078098/</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Why item flaws matter beyond tidiness: across four medical exams, 36 to 65% of items were flawed, flawed items ran 0 to 15 percentage points harder than sound items measuring the same content, and pass rates differed by a median of 3.5 points. Flaws distort difficulty, which would corrupt any calibration built on top of them.</w:t>
      </w:r>
    </w:p>
    <w:p>
      <w:pPr>
        <w:pStyle w:val="Heading1"/>
      </w:pPr>
      <w:r>
        <w:t xml:space="preserve">4.  Human evaluation protocol</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Howcroft, D. M., et al. (2020). Twenty years of confusion in human evaluation: NLG needs evaluation sheets and standardised definitions.</w:t>
      </w:r>
    </w:p>
    <w:p>
      <w:pPr>
        <w:spacing w:after="40"/>
        <w:ind w:left="340"/>
      </w:pPr>
      <w:r>
        <w:rPr>
          <w:rFonts w:ascii="Calibri" w:cs="Calibri" w:eastAsia="Calibri" w:hAnsi="Calibri"/>
          <w:i/>
          <w:iCs/>
          <w:color w:val="666666"/>
          <w:sz w:val="20"/>
          <w:szCs w:val="20"/>
        </w:rPr>
        <w:t xml:space="preserve">INLG 2020</w:t>
      </w:r>
    </w:p>
    <w:p>
      <w:pPr>
        <w:spacing w:after="80"/>
        <w:ind w:left="340"/>
      </w:pPr>
      <w:hyperlink w:history="1" r:id="rIdurpshwrdvy1n5ewfct1nz">
        <w:r>
          <w:rPr>
            <w:rFonts w:ascii="Calibri" w:cs="Calibri" w:eastAsia="Calibri" w:hAnsi="Calibri"/>
            <w:color w:val="1155CC"/>
            <w:sz w:val="19"/>
            <w:szCs w:val="19"/>
            <w:u w:val="single"/>
          </w:rPr>
          <w:t xml:space="preserve">https://aclanthology.org/2020.inlg-1.23/</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A review of 165 NLG papers found 204 distinct quality dimensions collapsing to 71 criteria, with 'fluency' alone resolving into 15 different definitions. The practical takeaway for our rubric: define every criterion operationally with examples, and report item count, rater count, overlap, and the named agreement statistic.</w:t>
      </w:r>
    </w:p>
    <w:p>
      <w:pPr>
        <w:spacing w:after="40" w:before="200" w:line="260"/>
        <w:ind w:left="340" w:hanging="340"/>
      </w:pPr>
      <w:r>
        <w:rPr>
          <w:rFonts w:ascii="Calibri" w:cs="Calibri" w:eastAsia="Calibri" w:hAnsi="Calibri"/>
          <w:b w:val="false"/>
          <w:bCs w:val="false"/>
          <w:i w:val="false"/>
          <w:iCs w:val="false"/>
          <w:color w:val="222222"/>
          <w:sz w:val="22"/>
          <w:szCs w:val="22"/>
        </w:rPr>
        <w:t xml:space="preserve">National Institute of Standards and Technology. (2000). TREC English relevance judgements.</w:t>
      </w:r>
    </w:p>
    <w:p>
      <w:pPr>
        <w:spacing w:after="40"/>
        <w:ind w:left="340"/>
      </w:pPr>
      <w:r>
        <w:rPr>
          <w:rFonts w:ascii="Calibri" w:cs="Calibri" w:eastAsia="Calibri" w:hAnsi="Calibri"/>
          <w:i/>
          <w:iCs/>
          <w:color w:val="666666"/>
          <w:sz w:val="20"/>
          <w:szCs w:val="20"/>
        </w:rPr>
        <w:t xml:space="preserve">NIST</w:t>
      </w:r>
    </w:p>
    <w:p>
      <w:pPr>
        <w:spacing w:after="80"/>
        <w:ind w:left="340"/>
      </w:pPr>
      <w:hyperlink w:history="1" r:id="rIdjrjoseqmsnf_4gtfci3my">
        <w:r>
          <w:rPr>
            <w:rFonts w:ascii="Calibri" w:cs="Calibri" w:eastAsia="Calibri" w:hAnsi="Calibri"/>
            <w:color w:val="1155CC"/>
            <w:sz w:val="19"/>
            <w:szCs w:val="19"/>
            <w:u w:val="single"/>
          </w:rPr>
          <w:t xml:space="preserve">https://trec.nist.gov/data/reljudge_eng.html</w:t>
        </w:r>
      </w:hyperlink>
    </w:p>
    <w:p>
      <w:pPr>
        <w:pBdr>
          <w:left w:val="single" w:color="2E74B5" w:sz="12" w:space="8"/>
        </w:pBdr>
        <w:shd w:fill="F4F6F8" w:color="auto" w:val="clear"/>
        <w:spacing w:after="140" w:line="260"/>
        <w:ind w:left="340" w:right="200"/>
      </w:pPr>
      <w:r>
        <w:rPr>
          <w:rFonts w:ascii="Calibri" w:cs="Calibri" w:eastAsia="Calibri" w:hAnsi="Calibri"/>
          <w:b w:val="false"/>
          <w:bCs w:val="false"/>
          <w:i w:val="false"/>
          <w:iCs w:val="false"/>
          <w:color w:val="222222"/>
          <w:sz w:val="21"/>
          <w:szCs w:val="21"/>
        </w:rPr>
        <w:t xml:space="preserve">The labelling standard we are adopting for the retrieval gold set, and worth quoting directly: if you were writing a report on the subject of the topic and would use the information contained in the document in the report, then the document is relevant. Judged binary, and relevant if any part of the document is relevant. That last rule is what keeps binary labelling fast and consistent between annotators.</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999999"/>
        <w:sz w:val="16"/>
        <w:szCs w:val="16"/>
      </w:rPr>
      <w:t xml:space="preserve">P000233DS · Key References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6E0EC" w:sz="4" w:space="4"/>
      </w:pBdr>
      <w:spacing w:after="130" w:before="320"/>
    </w:pPr>
    <w:rPr>
      <w:rFonts w:ascii="Calibri" w:cs="Calibri" w:eastAsia="Calibri" w:hAnsi="Calibri"/>
      <w:b/>
      <w:bCs/>
      <w:color w:val="1F4E79"/>
      <w:sz w:val="27"/>
      <w:szCs w:val="27"/>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gxvaickidzknwcyl-e34" Type="http://schemas.openxmlformats.org/officeDocument/2006/relationships/hyperlink" Target="https://arxiv.org/abs/2104.08663" TargetMode="External"/><Relationship Id="rIdnjjtugkt3sjrrafnfd105" Type="http://schemas.openxmlformats.org/officeDocument/2006/relationships/hyperlink" Target="https://doi.org/10.1145/3626772.3657834" TargetMode="External"/><Relationship Id="rIdttzy4ienfbmwlyl3qsvm5" Type="http://schemas.openxmlformats.org/officeDocument/2006/relationships/hyperlink" Target="https://arxiv.org/abs/2307.03172" TargetMode="External"/><Relationship Id="rId7lbesiada3abwihd46czn" Type="http://schemas.openxmlformats.org/officeDocument/2006/relationships/hyperlink" Target="https://aclanthology.org/2024.naacl-long.20.pdf" TargetMode="External"/><Relationship Id="rIdfgmjdzjxadgnoyc_w-ttp" Type="http://schemas.openxmlformats.org/officeDocument/2006/relationships/hyperlink" Target="https://aclanthology.org/2024.eacl-demo.16.pdf" TargetMode="External"/><Relationship Id="rIdqomjoun_4831l6s2ehtmx" Type="http://schemas.openxmlformats.org/officeDocument/2006/relationships/hyperlink" Target="https://arxiv.org/abs/2306.05685" TargetMode="External"/><Relationship Id="rIdexime4ufba5s5-ynrgij0" Type="http://schemas.openxmlformats.org/officeDocument/2006/relationships/hyperlink" Target="https://arxiv.org/abs/2404.13076" TargetMode="External"/><Relationship Id="rIdu4fpsyrxvvnowti5mvgwj" Type="http://schemas.openxmlformats.org/officeDocument/2006/relationships/hyperlink" Target="https://aclanthology.org/2024.acl-long.511/" TargetMode="External"/><Relationship Id="rIdng61q88qtoj_fq5rks8rp" Type="http://schemas.openxmlformats.org/officeDocument/2006/relationships/hyperlink" Target="https://aclanthology.org/2025.gem-1.33/" TargetMode="External"/><Relationship Id="rIdx2ocsvbcodxfu2e6f55ai" Type="http://schemas.openxmlformats.org/officeDocument/2006/relationships/hyperlink" Target="https://aclanthology.org/2025.acl-long.782/" TargetMode="External"/><Relationship Id="rIdwtcy6v0qsg0fsxkv0pmls" Type="http://schemas.openxmlformats.org/officeDocument/2006/relationships/hyperlink" Target="https://aclanthology.org/2025.acl-short.20/" TargetMode="External"/><Relationship Id="rIdfuk8ohcnq6csorw6jjbco" Type="http://schemas.openxmlformats.org/officeDocument/2006/relationships/hyperlink" Target="https://aclanthology.org/2024.emnlp-main.658/" TargetMode="External"/><Relationship Id="rIdzsnlevrhj77ciphgizwmm" Type="http://schemas.openxmlformats.org/officeDocument/2006/relationships/hyperlink" Target="https://aclanthology.org/2023.findings-acl.428/" TargetMode="External"/><Relationship Id="rIdhpxm0eles2pr8oqf3q89f" Type="http://schemas.openxmlformats.org/officeDocument/2006/relationships/hyperlink" Target="https://link.springer.com/article/10.1007/s40593-019-00186-y" TargetMode="External"/><Relationship Id="rIds2yx05dprwfezzbemu1g5" Type="http://schemas.openxmlformats.org/officeDocument/2006/relationships/hyperlink" Target="https://link.springer.com/article/10.1186/s12909-024-06012-x" TargetMode="External"/><Relationship Id="rIdsybgaxsz8x79ydtjblovc" Type="http://schemas.openxmlformats.org/officeDocument/2006/relationships/hyperlink" Target="https://aclanthology.org/2024.bea-1.39/" TargetMode="External"/><Relationship Id="rIde9mip867bqvbng05utv2h" Type="http://schemas.openxmlformats.org/officeDocument/2006/relationships/hyperlink" Target="https://arxiv.org/abs/2307.08161" TargetMode="External"/><Relationship Id="rIdi5j5tkuvcszmke9ax5yt-" Type="http://schemas.openxmlformats.org/officeDocument/2006/relationships/hyperlink" Target="https://eric.ed.gov/?id=EJ660246" TargetMode="External"/><Relationship Id="rIdnz7gfld1dfximi2onlnww" Type="http://schemas.openxmlformats.org/officeDocument/2006/relationships/hyperlink" Target="https://pubmed.ncbi.nlm.nih.gov/16078098/" TargetMode="External"/><Relationship Id="rIdurpshwrdvy1n5ewfct1nz" Type="http://schemas.openxmlformats.org/officeDocument/2006/relationships/hyperlink" Target="https://aclanthology.org/2020.inlg-1.23/" TargetMode="External"/><Relationship Id="rIdjrjoseqmsnf_4gtfci3my" Type="http://schemas.openxmlformats.org/officeDocument/2006/relationships/hyperlink" Target="https://trec.nist.gov/data/reljudge_eng.html"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References — Evaluation Methodology (P000233DS)</dc:title>
  <dc:creator>Mohammed Danish Alam</dc:creator>
  <cp:lastModifiedBy>Un-named</cp:lastModifiedBy>
  <cp:revision>1</cp:revision>
  <dcterms:created xsi:type="dcterms:W3CDTF">2026-08-25T04:11:16.217Z</dcterms:created>
  <dcterms:modified xsi:type="dcterms:W3CDTF">2026-08-25T04:11:16.217Z</dcterms:modified>
</cp:coreProperties>
</file>

<file path=docProps/custom.xml><?xml version="1.0" encoding="utf-8"?>
<Properties xmlns="http://schemas.openxmlformats.org/officeDocument/2006/custom-properties" xmlns:vt="http://schemas.openxmlformats.org/officeDocument/2006/docPropsVTypes"/>
</file>