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AD71" w14:textId="77777777" w:rsidR="00DA0722" w:rsidRPr="00DA0722" w:rsidRDefault="00DA0722" w:rsidP="00DA0722">
      <w:pPr>
        <w:pStyle w:val="Heading1"/>
      </w:pPr>
      <w:r w:rsidRPr="00DA0722">
        <w:t>A Dual-Horizon Financial Assessment of Semiconductor Monopolies: Fundamental Resiliency and Long-Term Market Valuation of ASML Holding N.V.</w:t>
      </w:r>
    </w:p>
    <w:p w14:paraId="67F10B8C" w14:textId="52E0DC78" w:rsidR="00CE4CD2" w:rsidRDefault="00DA0722" w:rsidP="00CE4CD2">
      <w:r>
        <w:t>Danish Shaikh 77124115940</w:t>
      </w:r>
    </w:p>
    <w:p w14:paraId="4182F586" w14:textId="77777777" w:rsidR="00DA0722" w:rsidRDefault="00DA0722" w:rsidP="00CE4CD2"/>
    <w:p w14:paraId="41ABC3AC" w14:textId="769FC7D9" w:rsidR="00DA0722" w:rsidRDefault="00DA0722" w:rsidP="00CE4CD2">
      <w:r w:rsidRPr="00DA0722">
        <w:t xml:space="preserve">Submitted in partial </w:t>
      </w:r>
      <w:proofErr w:type="spellStart"/>
      <w:r w:rsidRPr="00DA0722">
        <w:t>fulfillment</w:t>
      </w:r>
      <w:proofErr w:type="spellEnd"/>
      <w:r w:rsidRPr="00DA0722">
        <w:t xml:space="preserve"> of the requirements for the degree of Master of Business Administration (Finance Specialization)</w:t>
      </w:r>
    </w:p>
    <w:p w14:paraId="58091F9C" w14:textId="77777777" w:rsidR="00DA0722" w:rsidRDefault="00DA0722" w:rsidP="00CE4CD2"/>
    <w:p w14:paraId="1B0D05C5" w14:textId="77777777" w:rsidR="00DA0722" w:rsidRPr="00DA0722" w:rsidRDefault="00DA0722" w:rsidP="00DA0722">
      <w:r w:rsidRPr="00DA0722">
        <w:t>Centre for Distance and Online Education SVKM’s NMIMS Deemed-to-be University</w:t>
      </w:r>
    </w:p>
    <w:p w14:paraId="5DA30EFC" w14:textId="77777777" w:rsidR="00DA0722" w:rsidRDefault="00DA0722" w:rsidP="00DA0722">
      <w:r w:rsidRPr="00DA0722">
        <w:t>May 2026</w:t>
      </w:r>
    </w:p>
    <w:p w14:paraId="51584610" w14:textId="4284BEE3" w:rsidR="00401C92" w:rsidRDefault="00401C92">
      <w:r>
        <w:br w:type="page"/>
      </w:r>
    </w:p>
    <w:p w14:paraId="7F2D73C7" w14:textId="77777777" w:rsidR="00DA0722" w:rsidRPr="00DA0722" w:rsidRDefault="00DA0722" w:rsidP="00DA0722">
      <w:r w:rsidRPr="00DA0722">
        <w:rPr>
          <w:b/>
          <w:bCs/>
        </w:rPr>
        <w:lastRenderedPageBreak/>
        <w:t>Executive Abstract</w:t>
      </w:r>
    </w:p>
    <w:p w14:paraId="21A77668" w14:textId="77777777" w:rsidR="00DA0722" w:rsidRPr="00DA0722" w:rsidRDefault="00DA0722" w:rsidP="00DA0722">
      <w:r w:rsidRPr="00DA0722">
        <w:t>The global semiconductor industry serves as the foundational architecture for modern technological advancement, heavily reliant on highly consolidated supply chains. This quantitative research project investigates the fundamental health, capital efficiency, and market valuation of ASML Holding N.V., the exclusive global manufacturer of Extreme Ultraviolet (EUV) lithography systems. Utilizing an automated data extraction methodology via Python and financial APIs, this paper conducts a dual-horizon assessment. The short-term horizon (4-year fundamental analysis) deploys the DuPont Identity and corporate solvency metrics to evaluate margin resiliency and working capital management amidst post-pandemic supply chain shocks. The long-term horizon (15-year technical analysis) calculates the Capital Asset Pricing Model (CAPM) Beta, moving average crossovers, and a 5-year Discounted Cash Flow (DCF) model to determine the asset's intrinsic value. The findings indicate that ASML maintains extraordinary pricing power and return on equity driven by profit margin rather than financial leverage. Furthermore, the DCF valuation yields a quantitative verdict on the stock's current market premium, providing critical insights for institutional capital allocation in high-capex tech monopolies.</w:t>
      </w:r>
    </w:p>
    <w:p w14:paraId="1BDE850A" w14:textId="77777777" w:rsidR="00401C92" w:rsidRDefault="00401C92">
      <w:r>
        <w:br w:type="page"/>
      </w:r>
    </w:p>
    <w:p w14:paraId="113FF945" w14:textId="084A0CED" w:rsidR="00DA0722" w:rsidRPr="00DA0722" w:rsidRDefault="00DA0722" w:rsidP="00DA0722">
      <w:r w:rsidRPr="00DA0722">
        <w:rPr>
          <w:b/>
          <w:bCs/>
        </w:rPr>
        <w:lastRenderedPageBreak/>
        <w:t>1. Introduction</w:t>
      </w:r>
    </w:p>
    <w:p w14:paraId="01DD5ECC" w14:textId="1A40E5F6" w:rsidR="00DA0722" w:rsidRDefault="00DA0722" w:rsidP="00CE4CD2">
      <w:pPr>
        <w:rPr>
          <w:b/>
          <w:bCs/>
        </w:rPr>
      </w:pPr>
      <w:r w:rsidRPr="00DA0722">
        <w:rPr>
          <w:b/>
          <w:bCs/>
        </w:rPr>
        <w:t>1.1 The Macroeconomic Context of Semiconductor Manufacturing</w:t>
      </w:r>
    </w:p>
    <w:p w14:paraId="12BA1ADA" w14:textId="77777777" w:rsidR="00DA0722" w:rsidRPr="00DA0722" w:rsidRDefault="00DA0722" w:rsidP="00DA0722">
      <w:r w:rsidRPr="00DA0722">
        <w:t>In the contemporary global economy, semiconductors have transitioned from mere electronic components to critical geopolitical assets. The proliferation of artificial intelligence (AI), the electrification of the automotive industry, and the expansion of cloud computing have triggered an unprecedented demand for advanced microchips. However, the manufacturing of these highly complex components is constrained by a severe technological bottleneck: lithography. ASML Holding N.V., headquartered in the Netherlands, operates as a de facto global monopoly in the production of Extreme Ultraviolet (EUV) lithography systems. These multi-million-dollar machines are uniquely capable of printing the microscopic circuitry required for next-generation silicon chips. Consequently, ASML’s financial performance is inextricably linked to the broader macroeconomic super-cycle of global technology infrastructure.</w:t>
      </w:r>
    </w:p>
    <w:p w14:paraId="187B2AC2" w14:textId="59FEBFCC" w:rsidR="00DA0722" w:rsidRDefault="00DA0722" w:rsidP="00CE4CD2">
      <w:pPr>
        <w:rPr>
          <w:b/>
          <w:bCs/>
        </w:rPr>
      </w:pPr>
      <w:r w:rsidRPr="00DA0722">
        <w:rPr>
          <w:b/>
          <w:bCs/>
        </w:rPr>
        <w:t>1.2 Research Problem and Objectives</w:t>
      </w:r>
    </w:p>
    <w:p w14:paraId="48EF3400" w14:textId="77777777" w:rsidR="00DA0722" w:rsidRPr="00DA0722" w:rsidRDefault="00DA0722" w:rsidP="00DA0722">
      <w:r w:rsidRPr="00DA0722">
        <w:t>While qualitative analyses of ASML’s technological dominance are abundant, rigorous quantitative assessments of how this monopoly translates into fundamental financial resiliency and intrinsic market value are required for sound institutional investment strategies. Operating as a capital-intensive hardware manufacturer requires massive, continuous Research and Development (R&amp;D) and Capital Expenditure (</w:t>
      </w:r>
      <w:proofErr w:type="spellStart"/>
      <w:r w:rsidRPr="00DA0722">
        <w:t>CapEx</w:t>
      </w:r>
      <w:proofErr w:type="spellEnd"/>
      <w:r w:rsidRPr="00DA0722">
        <w:t xml:space="preserve">). The primary research problem this paper addresses is: </w:t>
      </w:r>
      <w:r w:rsidRPr="00DA0722">
        <w:rPr>
          <w:i/>
          <w:iCs/>
        </w:rPr>
        <w:t>How does a monopolistic hardware entity balance extreme capital expenditures with liquidity constraints during global supply chain crises, and does the broader equities market accurately price its future cash flows?</w:t>
      </w:r>
    </w:p>
    <w:p w14:paraId="2EA46501" w14:textId="77777777" w:rsidR="00DA0722" w:rsidRDefault="00DA0722" w:rsidP="00CE4CD2"/>
    <w:p w14:paraId="0508CFD1" w14:textId="77777777" w:rsidR="00DA0722" w:rsidRPr="00DA0722" w:rsidRDefault="00DA0722" w:rsidP="00DA0722">
      <w:r w:rsidRPr="00DA0722">
        <w:t>To address this, the project outlines three core objectives:</w:t>
      </w:r>
    </w:p>
    <w:p w14:paraId="5EF5D4BF" w14:textId="6BEF9E2B" w:rsidR="00DA0722" w:rsidRDefault="00DA0722" w:rsidP="00DA0722">
      <w:pPr>
        <w:numPr>
          <w:ilvl w:val="0"/>
          <w:numId w:val="2"/>
        </w:numPr>
      </w:pPr>
      <w:r>
        <w:t>To deconstruct ASML’s Return on Equity (ROE) using the DuPont framework to isolate operational efficiency from financial leverage.</w:t>
      </w:r>
    </w:p>
    <w:p w14:paraId="5B223A8A" w14:textId="75F20485" w:rsidR="00DA0722" w:rsidRDefault="00DA0722" w:rsidP="00DA0722">
      <w:pPr>
        <w:numPr>
          <w:ilvl w:val="0"/>
          <w:numId w:val="2"/>
        </w:numPr>
      </w:pPr>
      <w:r>
        <w:t>To mathematically assess the systematic risk (Beta) and long-term Compound Annual Growth Rate (CAGR) of the asset over a 15-year macroeconomic cycle.</w:t>
      </w:r>
    </w:p>
    <w:p w14:paraId="3E1932DB" w14:textId="4B2CB4DF" w:rsidR="00DA0722" w:rsidRPr="00DA0722" w:rsidRDefault="00DA0722" w:rsidP="00DA0722">
      <w:pPr>
        <w:numPr>
          <w:ilvl w:val="0"/>
          <w:numId w:val="2"/>
        </w:numPr>
      </w:pPr>
      <w:r>
        <w:t>To calculate the intrinsic value of ASML via a Discounted Cash Flow (DCF) model to determine if current market valuations are justified by underlying Free Cash Flow generation.</w:t>
      </w:r>
    </w:p>
    <w:p w14:paraId="557BB3B7" w14:textId="77777777" w:rsidR="00DA0722" w:rsidRDefault="00DA0722" w:rsidP="00CE4CD2"/>
    <w:p w14:paraId="1018325F" w14:textId="51029789" w:rsidR="00DA0722" w:rsidRDefault="00DA0722" w:rsidP="00CE4CD2">
      <w:pPr>
        <w:rPr>
          <w:b/>
          <w:bCs/>
        </w:rPr>
      </w:pPr>
      <w:r w:rsidRPr="00DA0722">
        <w:rPr>
          <w:b/>
          <w:bCs/>
        </w:rPr>
        <w:t>1.3 Scope and Methodology Overlap</w:t>
      </w:r>
    </w:p>
    <w:p w14:paraId="4BFFFDA4" w14:textId="77777777" w:rsidR="00DA0722" w:rsidRPr="00DA0722" w:rsidRDefault="00DA0722" w:rsidP="00DA0722">
      <w:r w:rsidRPr="00DA0722">
        <w:t>This project adopts a strictly quantitative approach, extracting raw GAAP financial data and historical market pricing via automated Python scripting. By eliminating manual data entry, the analysis ensures high-fidelity results. The study bridges traditional corporate finance (liquidity and solvency profiling) with investment banking valuation frameworks (WACC and DCF), offering a comprehensive, MBA-level assessment of capital allocation in the high-tech sector.</w:t>
      </w:r>
    </w:p>
    <w:p w14:paraId="72DAB380" w14:textId="77777777" w:rsidR="00401C92" w:rsidRDefault="00401C92">
      <w:r>
        <w:br w:type="page"/>
      </w:r>
    </w:p>
    <w:p w14:paraId="6C67B946" w14:textId="77777777" w:rsidR="00401C92" w:rsidRDefault="00401C92">
      <w:pPr>
        <w:rPr>
          <w:b/>
          <w:bCs/>
        </w:rPr>
      </w:pPr>
      <w:r>
        <w:rPr>
          <w:b/>
          <w:bCs/>
        </w:rPr>
        <w:lastRenderedPageBreak/>
        <w:br w:type="page"/>
      </w:r>
    </w:p>
    <w:p w14:paraId="22A91792" w14:textId="77777777" w:rsidR="00401C92" w:rsidRDefault="00401C92">
      <w:pPr>
        <w:rPr>
          <w:b/>
          <w:bCs/>
        </w:rPr>
      </w:pPr>
      <w:r>
        <w:rPr>
          <w:b/>
          <w:bCs/>
        </w:rPr>
        <w:lastRenderedPageBreak/>
        <w:br w:type="page"/>
      </w:r>
    </w:p>
    <w:p w14:paraId="613BAE2A" w14:textId="623B93FC" w:rsidR="00DA0722" w:rsidRPr="00DA0722" w:rsidRDefault="00DA0722" w:rsidP="00DA0722">
      <w:r w:rsidRPr="00DA0722">
        <w:rPr>
          <w:b/>
          <w:bCs/>
        </w:rPr>
        <w:lastRenderedPageBreak/>
        <w:t>3. Literature Review</w:t>
      </w:r>
    </w:p>
    <w:p w14:paraId="41822840" w14:textId="6A3FEC8C" w:rsidR="00DA0722" w:rsidRDefault="00DA0722" w:rsidP="00CE4CD2">
      <w:pPr>
        <w:rPr>
          <w:b/>
          <w:bCs/>
        </w:rPr>
      </w:pPr>
      <w:r w:rsidRPr="00DA0722">
        <w:rPr>
          <w:b/>
          <w:bCs/>
        </w:rPr>
        <w:t>3.1 Economic Moats and Capital-Intensive Monopolies</w:t>
      </w:r>
    </w:p>
    <w:p w14:paraId="12AE0C17" w14:textId="77777777" w:rsidR="00DA0722" w:rsidRPr="00DA0722" w:rsidRDefault="00DA0722" w:rsidP="00DA0722">
      <w:r w:rsidRPr="00DA0722">
        <w:t>The concept of an "Economic Moat," popularized by Warren Buffett and formalized by Morningstar’s equity research frameworks, describes a firm's ability to maintain competitive advantages to protect long-term profits and market share. In the semiconductor equipment industry, this moat is defined by intangible assets (patents) and insurmountable barriers to entry (extreme R&amp;D costs). Academic literature on monopolistic competition suggests that companies like ASML, which possess an absolute monopoly on Extreme Ultraviolet (EUV) lithography, exhibit inelastic pricing power. This paper builds on the premise that such pricing power allows for margin expansion even during periods of global macroeconomic inflation and supply chain disruption.</w:t>
      </w:r>
    </w:p>
    <w:p w14:paraId="2B6DD909" w14:textId="4EF462D9" w:rsidR="00DA0722" w:rsidRDefault="00DA0722" w:rsidP="00CE4CD2">
      <w:pPr>
        <w:rPr>
          <w:b/>
          <w:bCs/>
        </w:rPr>
      </w:pPr>
      <w:r w:rsidRPr="00DA0722">
        <w:rPr>
          <w:b/>
          <w:bCs/>
        </w:rPr>
        <w:t>3.2 The DuPont Identity in High-Tech Manufacturing</w:t>
      </w:r>
    </w:p>
    <w:p w14:paraId="6D0DF583" w14:textId="77777777" w:rsidR="00DA0722" w:rsidRPr="00DA0722" w:rsidRDefault="00DA0722" w:rsidP="00DA0722">
      <w:r w:rsidRPr="00DA0722">
        <w:t>Return on Equity (ROE) is a standard measure of financial performance, but traditional ROE calculations fail to identify the source of the return. The DuPont Analysis, developed by the DuPont Corporation in the 1920s, decomposes ROE into three distinct drivers: Net Profit Margin, Asset Turnover, and the Equity Multiplier (financial leverage). Modern financial literature frequently applies the DuPont model to technology firms to assess whether high returns are driven by genuine operational efficiency (margin) or dangerous levels of debt (leverage). This paper utilizes the DuPont framework to assess ASML’s fundamental health, hypothesizing that its ROE is heavily skewed toward profit margin due to its monopolistic status.</w:t>
      </w:r>
    </w:p>
    <w:p w14:paraId="7187FD7D" w14:textId="5D310566" w:rsidR="00DA0722" w:rsidRDefault="00DA0722" w:rsidP="00CE4CD2">
      <w:pPr>
        <w:rPr>
          <w:b/>
          <w:bCs/>
        </w:rPr>
      </w:pPr>
      <w:r w:rsidRPr="00DA0722">
        <w:rPr>
          <w:b/>
          <w:bCs/>
        </w:rPr>
        <w:t>3.3 Intrinsic Valuation: Discounted Cash Flow (DCF) and CAPM</w:t>
      </w:r>
    </w:p>
    <w:p w14:paraId="04F25957" w14:textId="77777777" w:rsidR="00DA0722" w:rsidRPr="00DA0722" w:rsidRDefault="00DA0722" w:rsidP="00DA0722">
      <w:r w:rsidRPr="00DA0722">
        <w:t xml:space="preserve">The foundation of modern corporate valuation rests on the Discounted Cash Flow (DCF) model, which dictates that the intrinsic value of an asset is the present value of its expected future cash flows. To discount these cash flows accurately, analysts utilize the Weighted Average Cost of Capital (WACC), which inherently relies on the Capital Asset Pricing Model (CAPM) to determine the cost of equity. CAPM introduces "Beta" as a measure of systematic, un-diversifiable market risk. While the Efficient Market Hypothesis (EMH) argues that equities are always perfectly priced, </w:t>
      </w:r>
      <w:proofErr w:type="spellStart"/>
      <w:r w:rsidRPr="00DA0722">
        <w:t>behavioral</w:t>
      </w:r>
      <w:proofErr w:type="spellEnd"/>
      <w:r w:rsidRPr="00DA0722">
        <w:t xml:space="preserve"> finance and intrinsic valuation theories argue that market sentiment often misprices heavily capitalized tech stocks. This study employs these valuation frameworks to mathematically test if ASML’s current market capitalization aligns with its Free Cash Flow generation.</w:t>
      </w:r>
    </w:p>
    <w:p w14:paraId="267DD4D2" w14:textId="19DE3B08" w:rsidR="00DA0722" w:rsidRDefault="00DA0722" w:rsidP="00CE4CD2">
      <w:pPr>
        <w:rPr>
          <w:b/>
          <w:bCs/>
        </w:rPr>
      </w:pPr>
      <w:r w:rsidRPr="00DA0722">
        <w:rPr>
          <w:b/>
          <w:bCs/>
        </w:rPr>
        <w:t>3.4 Technical Momentum and Long-Term Capital Appreciation</w:t>
      </w:r>
    </w:p>
    <w:p w14:paraId="1E1B5F4B" w14:textId="77777777" w:rsidR="00DA0722" w:rsidRDefault="00DA0722" w:rsidP="00DA0722">
      <w:r w:rsidRPr="00DA0722">
        <w:t>While fundamental analysis determines what to buy, technical analysis dictates market timing and historical volatility. The use of Simple Moving Averages (SMA), specifically the 50-day and 200-day SMA, is a heavily researched quantitative metric for identifying macro-market trends. The intersection of these averages (the "Golden Cross") is recognized in quantitative finance as an indicator of sustained bullish momentum. By combining a 15-year technical momentum analysis with a 4-year fundamental analysis, this paper adheres to a dual-horizon strategy, mitigating the limitations of relying solely on short-term financial statements.</w:t>
      </w:r>
    </w:p>
    <w:p w14:paraId="74E1AF59" w14:textId="77777777" w:rsidR="00401C92" w:rsidRDefault="00401C92">
      <w:pPr>
        <w:rPr>
          <w:b/>
          <w:bCs/>
        </w:rPr>
      </w:pPr>
      <w:r>
        <w:rPr>
          <w:b/>
          <w:bCs/>
        </w:rPr>
        <w:br w:type="page"/>
      </w:r>
    </w:p>
    <w:p w14:paraId="4ED695CB" w14:textId="77777777" w:rsidR="00401C92" w:rsidRDefault="00401C92">
      <w:pPr>
        <w:rPr>
          <w:b/>
          <w:bCs/>
        </w:rPr>
      </w:pPr>
      <w:r>
        <w:rPr>
          <w:b/>
          <w:bCs/>
        </w:rPr>
        <w:lastRenderedPageBreak/>
        <w:br w:type="page"/>
      </w:r>
    </w:p>
    <w:p w14:paraId="667DD8AB" w14:textId="77777777" w:rsidR="00401C92" w:rsidRDefault="00401C92">
      <w:pPr>
        <w:rPr>
          <w:b/>
          <w:bCs/>
        </w:rPr>
      </w:pPr>
      <w:r>
        <w:rPr>
          <w:b/>
          <w:bCs/>
        </w:rPr>
        <w:lastRenderedPageBreak/>
        <w:br w:type="page"/>
      </w:r>
    </w:p>
    <w:p w14:paraId="385C910C" w14:textId="77777777" w:rsidR="00401C92" w:rsidRDefault="00401C92">
      <w:pPr>
        <w:rPr>
          <w:b/>
          <w:bCs/>
        </w:rPr>
      </w:pPr>
      <w:r>
        <w:rPr>
          <w:b/>
          <w:bCs/>
        </w:rPr>
        <w:lastRenderedPageBreak/>
        <w:br w:type="page"/>
      </w:r>
    </w:p>
    <w:p w14:paraId="61F3C6A3" w14:textId="77777777" w:rsidR="00401C92" w:rsidRDefault="00401C92">
      <w:pPr>
        <w:rPr>
          <w:b/>
          <w:bCs/>
        </w:rPr>
      </w:pPr>
      <w:r>
        <w:rPr>
          <w:b/>
          <w:bCs/>
        </w:rPr>
        <w:lastRenderedPageBreak/>
        <w:br w:type="page"/>
      </w:r>
    </w:p>
    <w:p w14:paraId="207DD4CC" w14:textId="77777777" w:rsidR="00401C92" w:rsidRDefault="00401C92">
      <w:pPr>
        <w:rPr>
          <w:b/>
          <w:bCs/>
        </w:rPr>
      </w:pPr>
      <w:r>
        <w:rPr>
          <w:b/>
          <w:bCs/>
        </w:rPr>
        <w:lastRenderedPageBreak/>
        <w:br w:type="page"/>
      </w:r>
    </w:p>
    <w:p w14:paraId="7C545B0C" w14:textId="77777777" w:rsidR="00401C92" w:rsidRDefault="00401C92">
      <w:pPr>
        <w:rPr>
          <w:b/>
          <w:bCs/>
        </w:rPr>
      </w:pPr>
      <w:r>
        <w:rPr>
          <w:b/>
          <w:bCs/>
        </w:rPr>
        <w:lastRenderedPageBreak/>
        <w:br w:type="page"/>
      </w:r>
    </w:p>
    <w:p w14:paraId="2DEF1439" w14:textId="16595667" w:rsidR="00401C92" w:rsidRPr="00401C92" w:rsidRDefault="00401C92" w:rsidP="00401C92">
      <w:r w:rsidRPr="00401C92">
        <w:rPr>
          <w:b/>
          <w:bCs/>
        </w:rPr>
        <w:lastRenderedPageBreak/>
        <w:t>4. Methodology</w:t>
      </w:r>
    </w:p>
    <w:p w14:paraId="500CF99D" w14:textId="3CD6D549" w:rsidR="00401C92" w:rsidRDefault="00401C92" w:rsidP="00DA0722">
      <w:pPr>
        <w:rPr>
          <w:b/>
          <w:bCs/>
        </w:rPr>
      </w:pPr>
      <w:r w:rsidRPr="00401C92">
        <w:rPr>
          <w:b/>
          <w:bCs/>
        </w:rPr>
        <w:t>4.1 Research Design</w:t>
      </w:r>
    </w:p>
    <w:p w14:paraId="5B92518D" w14:textId="77777777" w:rsidR="00401C92" w:rsidRPr="00401C92" w:rsidRDefault="00401C92" w:rsidP="00401C92">
      <w:r w:rsidRPr="00401C92">
        <w:t>This project employs a purely quantitative, descriptive, and analytical research design. The objective is to evaluate historical financial data and project future valuations using established corporate finance frameworks. A dual-horizon approach was adopted: a 4-year short-term window (2020–2023/2024) to assess post-pandemic fundamental resiliency, and a 15-year long-term window to measure macroeconomic asset growth and technical volatility.</w:t>
      </w:r>
    </w:p>
    <w:p w14:paraId="2D294519" w14:textId="21AB3A7A" w:rsidR="00401C92" w:rsidRDefault="00401C92" w:rsidP="00DA0722">
      <w:pPr>
        <w:rPr>
          <w:b/>
          <w:bCs/>
        </w:rPr>
      </w:pPr>
      <w:r w:rsidRPr="00401C92">
        <w:rPr>
          <w:b/>
          <w:bCs/>
        </w:rPr>
        <w:t>4.2 Data Collection and Automation Pipeline</w:t>
      </w:r>
    </w:p>
    <w:p w14:paraId="2FA1C3FF" w14:textId="542891F5" w:rsidR="00401C92" w:rsidRDefault="00401C92" w:rsidP="00401C92">
      <w:r w:rsidRPr="00401C92">
        <w:t>To ensure absolute data integrity and eliminate the risk of manual transcription errors, all financial data was extracted dynamically via automated Python scripts.</w:t>
      </w:r>
    </w:p>
    <w:p w14:paraId="0A64EC5B" w14:textId="69D900FA" w:rsidR="00401C92" w:rsidRPr="00401C92" w:rsidRDefault="00401C92" w:rsidP="00401C92">
      <w:pPr>
        <w:pStyle w:val="ListParagraph"/>
        <w:numPr>
          <w:ilvl w:val="0"/>
          <w:numId w:val="4"/>
        </w:numPr>
      </w:pPr>
      <w:r w:rsidRPr="00401C92">
        <w:rPr>
          <w:b/>
          <w:bCs/>
        </w:rPr>
        <w:t>Fundamental Data:</w:t>
      </w:r>
      <w:r w:rsidRPr="00401C92">
        <w:t xml:space="preserve"> Audited US GAAP Income Statements, Balance Sheets, and Cash Flow Statements were programmatically extracted using the </w:t>
      </w:r>
      <w:proofErr w:type="spellStart"/>
      <w:r w:rsidRPr="00401C92">
        <w:t>yfinance</w:t>
      </w:r>
      <w:proofErr w:type="spellEnd"/>
      <w:r w:rsidRPr="00401C92">
        <w:t xml:space="preserve"> API, ensuring standardized accounting formats across all evaluated years.</w:t>
      </w:r>
    </w:p>
    <w:p w14:paraId="5CCC123C" w14:textId="4507699C" w:rsidR="00401C92" w:rsidRDefault="00401C92" w:rsidP="00401C92">
      <w:pPr>
        <w:pStyle w:val="ListParagraph"/>
        <w:numPr>
          <w:ilvl w:val="0"/>
          <w:numId w:val="4"/>
        </w:numPr>
      </w:pPr>
      <w:r w:rsidRPr="00401C92">
        <w:rPr>
          <w:b/>
          <w:bCs/>
        </w:rPr>
        <w:t>Market Data:</w:t>
      </w:r>
      <w:r w:rsidRPr="00401C92">
        <w:t xml:space="preserve"> 15 years of daily historical stock prices, trading volumes, and broader market index data (S&amp;P 500) were extracted to compute technical indicators and systematic risk (Beta).</w:t>
      </w:r>
    </w:p>
    <w:p w14:paraId="2C3E72F3" w14:textId="787B6B81" w:rsidR="00401C92" w:rsidRDefault="00401C92" w:rsidP="00401C92">
      <w:pPr>
        <w:rPr>
          <w:b/>
          <w:bCs/>
        </w:rPr>
      </w:pPr>
      <w:r w:rsidRPr="00401C92">
        <w:rPr>
          <w:b/>
          <w:bCs/>
        </w:rPr>
        <w:t>4.3 Analytical Frameworks and Statistical Tools</w:t>
      </w:r>
    </w:p>
    <w:p w14:paraId="00D076A6" w14:textId="57624483" w:rsidR="00401C92" w:rsidRDefault="00401C92" w:rsidP="00401C92">
      <w:r w:rsidRPr="00401C92">
        <w:t>The raw data was processed utilizing Python’s pandas library for data manipulation and matplotlib for generating high-resolution financial visualizations. The following mathematical models were coded and executed:</w:t>
      </w:r>
    </w:p>
    <w:p w14:paraId="3872FD36" w14:textId="282B2DCC" w:rsidR="00401C92" w:rsidRDefault="00401C92" w:rsidP="00401C92">
      <w:pPr>
        <w:pStyle w:val="ListParagraph"/>
        <w:numPr>
          <w:ilvl w:val="0"/>
          <w:numId w:val="6"/>
        </w:numPr>
      </w:pPr>
      <w:r>
        <w:t xml:space="preserve">Liquidity and Solvency Profiling: Calculation of the Current Ratio and Debt-to-Equity to stress-test corporate survivability against massive </w:t>
      </w:r>
      <w:proofErr w:type="spellStart"/>
      <w:r>
        <w:t>CapEx</w:t>
      </w:r>
      <w:proofErr w:type="spellEnd"/>
      <w:r>
        <w:t xml:space="preserve"> requirements.</w:t>
      </w:r>
    </w:p>
    <w:p w14:paraId="07DF28B0" w14:textId="1B88B1D8" w:rsidR="00401C92" w:rsidRDefault="00401C92" w:rsidP="00401C92">
      <w:pPr>
        <w:pStyle w:val="ListParagraph"/>
        <w:numPr>
          <w:ilvl w:val="0"/>
          <w:numId w:val="6"/>
        </w:numPr>
      </w:pPr>
      <w:r>
        <w:t>DuPont Deconstruction: Multiplication of Profit Margin, Asset Turnover, and Financial Leverage to isolate the drivers of ASML’s Return on Equity.</w:t>
      </w:r>
    </w:p>
    <w:p w14:paraId="0C605D5D" w14:textId="661B70ED" w:rsidR="00401C92" w:rsidRDefault="00401C92" w:rsidP="00401C92">
      <w:pPr>
        <w:pStyle w:val="ListParagraph"/>
        <w:numPr>
          <w:ilvl w:val="0"/>
          <w:numId w:val="6"/>
        </w:numPr>
      </w:pPr>
      <w:r>
        <w:t>Systematic Risk (Beta): Calculated using the covariance of ASML’s monthly returns against the S&amp;P 500 divided by the variance of the market over a 5-year period.</w:t>
      </w:r>
    </w:p>
    <w:p w14:paraId="2D02FB13" w14:textId="67EA722E" w:rsidR="00401C92" w:rsidRDefault="00401C92" w:rsidP="00401C92">
      <w:pPr>
        <w:pStyle w:val="ListParagraph"/>
        <w:numPr>
          <w:ilvl w:val="0"/>
          <w:numId w:val="6"/>
        </w:numPr>
      </w:pPr>
      <w:r>
        <w:t>Intrinsic Valuation (DCF): A 5-year forecasted DCF model was constructed utilizing a calculated WACC of 8.5%, an estimated near-term revenue growth rate of 15% (reflecting AI-driven demand), and a terminal growth rate of 2.5%.</w:t>
      </w:r>
    </w:p>
    <w:p w14:paraId="4CA06AB2" w14:textId="15C32FB5" w:rsidR="00401C92" w:rsidRDefault="00401C92" w:rsidP="00401C92">
      <w:pPr>
        <w:rPr>
          <w:b/>
          <w:bCs/>
        </w:rPr>
      </w:pPr>
      <w:r w:rsidRPr="00401C92">
        <w:rPr>
          <w:b/>
          <w:bCs/>
        </w:rPr>
        <w:t>4.4 Limitations of the Study</w:t>
      </w:r>
    </w:p>
    <w:p w14:paraId="0BFFB350" w14:textId="77777777" w:rsidR="00401C92" w:rsidRPr="00401C92" w:rsidRDefault="00401C92" w:rsidP="00401C92">
      <w:r w:rsidRPr="00401C92">
        <w:t>Quantitative financial models rely on historical performance to project future outcomes. Consequently, this study cannot account for unpredictable geopolitical black swan events, such as international trade embargoes restricting ASML’s ability to export EUV technology to key markets like China. Furthermore, the DCF valuation is highly sensitive to the assumed discount rate and terminal growth rate; minor adjustments to these inputs can result in significant variations in the calculated intrinsic share price.</w:t>
      </w:r>
    </w:p>
    <w:p w14:paraId="6B8DD434" w14:textId="77777777" w:rsidR="00401C92" w:rsidRDefault="00401C92">
      <w:pPr>
        <w:rPr>
          <w:b/>
          <w:bCs/>
        </w:rPr>
      </w:pPr>
      <w:r>
        <w:rPr>
          <w:b/>
          <w:bCs/>
        </w:rPr>
        <w:br w:type="page"/>
      </w:r>
    </w:p>
    <w:p w14:paraId="58AB9F67" w14:textId="77777777" w:rsidR="00401C92" w:rsidRDefault="00401C92">
      <w:pPr>
        <w:rPr>
          <w:b/>
          <w:bCs/>
        </w:rPr>
      </w:pPr>
      <w:r>
        <w:rPr>
          <w:b/>
          <w:bCs/>
        </w:rPr>
        <w:lastRenderedPageBreak/>
        <w:br w:type="page"/>
      </w:r>
    </w:p>
    <w:p w14:paraId="1CB7A1BE" w14:textId="77777777" w:rsidR="00401C92" w:rsidRDefault="00401C92">
      <w:pPr>
        <w:rPr>
          <w:b/>
          <w:bCs/>
        </w:rPr>
      </w:pPr>
      <w:r>
        <w:rPr>
          <w:b/>
          <w:bCs/>
        </w:rPr>
        <w:lastRenderedPageBreak/>
        <w:br w:type="page"/>
      </w:r>
    </w:p>
    <w:p w14:paraId="571C91D4" w14:textId="77777777" w:rsidR="00401C92" w:rsidRDefault="00401C92">
      <w:pPr>
        <w:rPr>
          <w:b/>
          <w:bCs/>
        </w:rPr>
      </w:pPr>
      <w:r>
        <w:rPr>
          <w:b/>
          <w:bCs/>
        </w:rPr>
        <w:lastRenderedPageBreak/>
        <w:br w:type="page"/>
      </w:r>
    </w:p>
    <w:p w14:paraId="0F994488" w14:textId="4BC4C73F" w:rsidR="00401C92" w:rsidRPr="00401C92" w:rsidRDefault="00401C92" w:rsidP="00401C92">
      <w:r w:rsidRPr="00401C92">
        <w:rPr>
          <w:b/>
          <w:bCs/>
        </w:rPr>
        <w:lastRenderedPageBreak/>
        <w:t>5. Data Analysis &amp; Findings: Part 1 - Fundamental Health</w:t>
      </w:r>
    </w:p>
    <w:p w14:paraId="2DE643D9" w14:textId="7A53D073" w:rsidR="00401C92" w:rsidRDefault="00401C92" w:rsidP="00401C92">
      <w:pPr>
        <w:rPr>
          <w:b/>
          <w:bCs/>
        </w:rPr>
      </w:pPr>
      <w:r w:rsidRPr="00401C92">
        <w:rPr>
          <w:b/>
          <w:bCs/>
        </w:rPr>
        <w:t>5.1 DuPont Identity Deconstruction: The Drivers of ROE</w:t>
      </w:r>
    </w:p>
    <w:p w14:paraId="5A2F7F4C" w14:textId="77777777" w:rsidR="00401C92" w:rsidRPr="00401C92" w:rsidRDefault="00401C92" w:rsidP="00401C92">
      <w:r w:rsidRPr="00401C92">
        <w:t xml:space="preserve">A high Return on Equity (ROE) is often celebrated by retail investors, but quantitative analysis requires isolating the source of that return to ensure it is not artificially inflated by dangerous debt levels. Utilizing the DuPont framework </w:t>
      </w:r>
      <w:r w:rsidRPr="00401C92">
        <w:rPr>
          <w:i/>
          <w:iCs/>
        </w:rPr>
        <w:t>(Refer to Annexure A: Figure 1 - DuPont Analysis)</w:t>
      </w:r>
      <w:r w:rsidRPr="00401C92">
        <w:t>, ASML’s ROE was disaggregated into three constituent variables: Net Profit Margin, Asset Turnover, and the Equity Multiplier.</w:t>
      </w:r>
    </w:p>
    <w:p w14:paraId="54EFC9F8" w14:textId="77777777" w:rsidR="00401C92" w:rsidRPr="00401C92" w:rsidRDefault="00401C92" w:rsidP="00401C92">
      <w:r w:rsidRPr="00401C92">
        <w:t>The programmatic analysis of the 2020–2024 fundamental data reveals a structural narrative: ASML’s ROE expansion is aggressively driven by its Net Profit Margin. In the context of the global semiconductor shortage, ASML did not experience margin compression; rather, its absolute monopoly on Extreme Ultraviolet (EUV) systems afforded it supreme pricing power. The Equity Multiplier remained remarkably flat during this period. This proves mathematically that the company generates wealth for shareholders through operational excellence and inelastic demand, not through the over-leveraging of its balance sheet.</w:t>
      </w:r>
    </w:p>
    <w:p w14:paraId="0A6A12B6" w14:textId="111C53AF" w:rsidR="00401C92" w:rsidRDefault="00401C92" w:rsidP="00401C92">
      <w:pPr>
        <w:rPr>
          <w:b/>
          <w:bCs/>
        </w:rPr>
      </w:pPr>
      <w:r w:rsidRPr="00401C92">
        <w:rPr>
          <w:b/>
          <w:bCs/>
        </w:rPr>
        <w:t>5.2 Corporate Solvency and Liquidity Profiling</w:t>
      </w:r>
    </w:p>
    <w:p w14:paraId="3EF49086" w14:textId="77777777" w:rsidR="00401C92" w:rsidRPr="00401C92" w:rsidRDefault="00401C92" w:rsidP="00401C92">
      <w:r w:rsidRPr="00401C92">
        <w:t>Operating a hardware monopoly requires staggering Capital Expenditures (</w:t>
      </w:r>
      <w:proofErr w:type="spellStart"/>
      <w:r w:rsidRPr="00401C92">
        <w:t>CapEx</w:t>
      </w:r>
      <w:proofErr w:type="spellEnd"/>
      <w:r w:rsidRPr="00401C92">
        <w:t xml:space="preserve">). To assess whether this spending jeopardizes the firm's survivability during macroeconomic shocks, liquidity and solvency metrics were computed </w:t>
      </w:r>
      <w:r w:rsidRPr="00401C92">
        <w:rPr>
          <w:i/>
          <w:iCs/>
        </w:rPr>
        <w:t>(Refer to Annexure A: Figure 2 - Risk Profile)</w:t>
      </w:r>
      <w:r w:rsidRPr="00401C92">
        <w:t>.</w:t>
      </w:r>
    </w:p>
    <w:p w14:paraId="6AC269E4" w14:textId="77777777" w:rsidR="00401C92" w:rsidRPr="00401C92" w:rsidRDefault="00401C92" w:rsidP="00401C92">
      <w:r w:rsidRPr="00401C92">
        <w:t>The Current Ratio consistently remained in healthy territory, indicating that ASML possesses sufficient short-term liquid assets to cover its immediate liabilities, even amidst global supply chain disruptions. More critically, the dual-axis analysis mapping the Debt-to-Equity ratio against Gross Margin illustrates a highly conservative capital structure. Despite funding billions in next-generation High-NA EUV research, ASML finances its growth primarily through retained earnings and operating cash flow rather than toxic debt issuance. This fundamental risk profile categorizes the firm as highly resilient against sudden interest rate hikes.</w:t>
      </w:r>
    </w:p>
    <w:p w14:paraId="68880460" w14:textId="77777777" w:rsidR="00401C92" w:rsidRDefault="00401C92">
      <w:pPr>
        <w:rPr>
          <w:b/>
          <w:bCs/>
        </w:rPr>
      </w:pPr>
      <w:r>
        <w:rPr>
          <w:b/>
          <w:bCs/>
        </w:rPr>
        <w:br w:type="page"/>
      </w:r>
    </w:p>
    <w:p w14:paraId="7C408548" w14:textId="77777777" w:rsidR="00401C92" w:rsidRDefault="00401C92">
      <w:pPr>
        <w:rPr>
          <w:b/>
          <w:bCs/>
        </w:rPr>
      </w:pPr>
      <w:r>
        <w:rPr>
          <w:b/>
          <w:bCs/>
        </w:rPr>
        <w:lastRenderedPageBreak/>
        <w:br w:type="page"/>
      </w:r>
    </w:p>
    <w:p w14:paraId="66D3A752" w14:textId="77777777" w:rsidR="00401C92" w:rsidRDefault="00401C92">
      <w:pPr>
        <w:rPr>
          <w:b/>
          <w:bCs/>
        </w:rPr>
      </w:pPr>
      <w:r>
        <w:rPr>
          <w:b/>
          <w:bCs/>
        </w:rPr>
        <w:lastRenderedPageBreak/>
        <w:br w:type="page"/>
      </w:r>
    </w:p>
    <w:p w14:paraId="4A94F2C0" w14:textId="77777777" w:rsidR="00401C92" w:rsidRDefault="00401C92">
      <w:pPr>
        <w:rPr>
          <w:b/>
          <w:bCs/>
        </w:rPr>
      </w:pPr>
      <w:r>
        <w:rPr>
          <w:b/>
          <w:bCs/>
        </w:rPr>
        <w:lastRenderedPageBreak/>
        <w:br w:type="page"/>
      </w:r>
    </w:p>
    <w:p w14:paraId="384D707D" w14:textId="77777777" w:rsidR="00401C92" w:rsidRDefault="00401C92">
      <w:pPr>
        <w:rPr>
          <w:b/>
          <w:bCs/>
        </w:rPr>
      </w:pPr>
      <w:r>
        <w:rPr>
          <w:b/>
          <w:bCs/>
        </w:rPr>
        <w:lastRenderedPageBreak/>
        <w:br w:type="page"/>
      </w:r>
    </w:p>
    <w:p w14:paraId="148F6C6B" w14:textId="77777777" w:rsidR="00401C92" w:rsidRDefault="00401C92">
      <w:pPr>
        <w:rPr>
          <w:b/>
          <w:bCs/>
        </w:rPr>
      </w:pPr>
      <w:r>
        <w:rPr>
          <w:b/>
          <w:bCs/>
        </w:rPr>
        <w:lastRenderedPageBreak/>
        <w:br w:type="page"/>
      </w:r>
    </w:p>
    <w:p w14:paraId="55CCC8DB" w14:textId="77777777" w:rsidR="00401C92" w:rsidRDefault="00401C92">
      <w:pPr>
        <w:rPr>
          <w:b/>
          <w:bCs/>
        </w:rPr>
      </w:pPr>
      <w:r>
        <w:rPr>
          <w:b/>
          <w:bCs/>
        </w:rPr>
        <w:lastRenderedPageBreak/>
        <w:br w:type="page"/>
      </w:r>
    </w:p>
    <w:p w14:paraId="0624B1A3" w14:textId="77777777" w:rsidR="00401C92" w:rsidRDefault="00401C92">
      <w:pPr>
        <w:rPr>
          <w:b/>
          <w:bCs/>
        </w:rPr>
      </w:pPr>
      <w:r>
        <w:rPr>
          <w:b/>
          <w:bCs/>
        </w:rPr>
        <w:lastRenderedPageBreak/>
        <w:br w:type="page"/>
      </w:r>
    </w:p>
    <w:p w14:paraId="740803A6" w14:textId="77777777" w:rsidR="00401C92" w:rsidRDefault="00401C92">
      <w:pPr>
        <w:rPr>
          <w:b/>
          <w:bCs/>
        </w:rPr>
      </w:pPr>
      <w:r>
        <w:rPr>
          <w:b/>
          <w:bCs/>
        </w:rPr>
        <w:lastRenderedPageBreak/>
        <w:br w:type="page"/>
      </w:r>
    </w:p>
    <w:p w14:paraId="5833ECF1" w14:textId="77777777" w:rsidR="00401C92" w:rsidRDefault="00401C92">
      <w:pPr>
        <w:rPr>
          <w:b/>
          <w:bCs/>
        </w:rPr>
      </w:pPr>
      <w:r>
        <w:rPr>
          <w:b/>
          <w:bCs/>
        </w:rPr>
        <w:lastRenderedPageBreak/>
        <w:br w:type="page"/>
      </w:r>
    </w:p>
    <w:p w14:paraId="6B98491A" w14:textId="77777777" w:rsidR="00401C92" w:rsidRDefault="00401C92">
      <w:pPr>
        <w:rPr>
          <w:b/>
          <w:bCs/>
        </w:rPr>
      </w:pPr>
      <w:r>
        <w:rPr>
          <w:b/>
          <w:bCs/>
        </w:rPr>
        <w:lastRenderedPageBreak/>
        <w:br w:type="page"/>
      </w:r>
    </w:p>
    <w:p w14:paraId="4DE37588" w14:textId="5B15BA48" w:rsidR="00401C92" w:rsidRPr="00401C92" w:rsidRDefault="00401C92" w:rsidP="00401C92">
      <w:r w:rsidRPr="00401C92">
        <w:rPr>
          <w:b/>
          <w:bCs/>
        </w:rPr>
        <w:lastRenderedPageBreak/>
        <w:t>6. Data Analysis &amp; Findings: Part 2 - Market Valuation</w:t>
      </w:r>
    </w:p>
    <w:p w14:paraId="06633115" w14:textId="66BE888B" w:rsidR="00401C92" w:rsidRDefault="00401C92" w:rsidP="00401C92">
      <w:pPr>
        <w:rPr>
          <w:b/>
          <w:bCs/>
        </w:rPr>
      </w:pPr>
      <w:r w:rsidRPr="00401C92">
        <w:rPr>
          <w:b/>
          <w:bCs/>
        </w:rPr>
        <w:t>6.1 Long-Term Technical Momentum and CAGR</w:t>
      </w:r>
    </w:p>
    <w:p w14:paraId="52077422" w14:textId="77777777" w:rsidR="00401C92" w:rsidRPr="00401C92" w:rsidRDefault="00401C92" w:rsidP="00401C92">
      <w:r w:rsidRPr="00401C92">
        <w:t xml:space="preserve">To complement the short-term fundamental analysis, a 15-year macroeconomic market evaluation was executed </w:t>
      </w:r>
      <w:r w:rsidRPr="00401C92">
        <w:rPr>
          <w:i/>
          <w:iCs/>
        </w:rPr>
        <w:t>(Refer to Annexure B: Figure 3 - 15-Year Technical Analysis)</w:t>
      </w:r>
      <w:r w:rsidRPr="00401C92">
        <w:t>. The visualization of the 50-day and 200-day Simple Moving Averages (SMA) confirms a persistent, multi-decade structural bull trend. The frequent occurrences of the "Golden Cross" (where the short-term momentum overtakes long-term averages) align perfectly with the semiconductor super-cycle and the global transition toward Artificial Intelligence (AI) and cloud computing. The calculated 15-Year Compound Annual Growth Rate (CAGR) demonstrates a level of capital appreciation that vastly outperforms the broader S&amp;P 500 index, confirming ASML's status as a foundational growth asset.</w:t>
      </w:r>
    </w:p>
    <w:p w14:paraId="244C9780" w14:textId="22FCF2CD" w:rsidR="00401C92" w:rsidRDefault="00401C92" w:rsidP="00401C92">
      <w:pPr>
        <w:rPr>
          <w:b/>
          <w:bCs/>
        </w:rPr>
      </w:pPr>
      <w:r w:rsidRPr="00401C92">
        <w:rPr>
          <w:b/>
          <w:bCs/>
        </w:rPr>
        <w:t>6.2 Free Cash Flow (FCF) Generation and Reinvestment</w:t>
      </w:r>
    </w:p>
    <w:p w14:paraId="711A61E7" w14:textId="77777777" w:rsidR="00401C92" w:rsidRPr="00401C92" w:rsidRDefault="00401C92" w:rsidP="00401C92">
      <w:r w:rsidRPr="00401C92">
        <w:t xml:space="preserve">Accounting profit (Net Income) is easily manipulated by depreciation schedules; therefore, strict valuation requires </w:t>
      </w:r>
      <w:proofErr w:type="spellStart"/>
      <w:r w:rsidRPr="00401C92">
        <w:t>analyzing</w:t>
      </w:r>
      <w:proofErr w:type="spellEnd"/>
      <w:r w:rsidRPr="00401C92">
        <w:t xml:space="preserve"> raw cash. The programmatic extraction of ASML’s cash flow statements </w:t>
      </w:r>
      <w:r w:rsidRPr="00401C92">
        <w:rPr>
          <w:i/>
          <w:iCs/>
        </w:rPr>
        <w:t>(Refer to Annexure B: Figure 4 - Free Cash Flow Generation)</w:t>
      </w:r>
      <w:r w:rsidRPr="00401C92">
        <w:t xml:space="preserve"> highlights the true scale of its operational efficiency.</w:t>
      </w:r>
    </w:p>
    <w:p w14:paraId="3014FA5D" w14:textId="77777777" w:rsidR="00401C92" w:rsidRPr="00401C92" w:rsidRDefault="00401C92" w:rsidP="00401C92">
      <w:r w:rsidRPr="00401C92">
        <w:t>The visualization demonstrates that while absolute Capital Expenditures (the red reinvestment line) are massive, the Operating Cash Flow completely eclipses them. The resulting Free Cash Flow—the actual cash remaining after maintaining and expanding the business—is immense. This expanding FCF spread is the ultimate quantitative proof of a widening economic moat. It provides the necessary capital for aggressive share buyback programs and dividend increases, directly rewarding equity holders.</w:t>
      </w:r>
    </w:p>
    <w:p w14:paraId="6E272016" w14:textId="0F75672A" w:rsidR="00401C92" w:rsidRDefault="00401C92" w:rsidP="00401C92">
      <w:pPr>
        <w:rPr>
          <w:b/>
          <w:bCs/>
        </w:rPr>
      </w:pPr>
      <w:r w:rsidRPr="00401C92">
        <w:rPr>
          <w:b/>
          <w:bCs/>
        </w:rPr>
        <w:t>6.3 Discounted Cash Flow (DCF) Valuation and Intrinsic Pricing</w:t>
      </w:r>
    </w:p>
    <w:p w14:paraId="4B6B25BD" w14:textId="77777777" w:rsidR="00401C92" w:rsidRPr="00401C92" w:rsidRDefault="00401C92" w:rsidP="00401C92">
      <w:r w:rsidRPr="00401C92">
        <w:t xml:space="preserve">The culmination of this quantitative study is the calculation of ASML’s intrinsic value to determine if the public equities market has efficiently priced its future growth </w:t>
      </w:r>
      <w:r w:rsidRPr="00401C92">
        <w:rPr>
          <w:i/>
          <w:iCs/>
        </w:rPr>
        <w:t>(Refer to Annexure B: Figure 5 - DCF Valuation Breakdown)</w:t>
      </w:r>
      <w:r w:rsidRPr="00401C92">
        <w:t>.</w:t>
      </w:r>
    </w:p>
    <w:p w14:paraId="4DDE8679" w14:textId="77777777" w:rsidR="00401C92" w:rsidRPr="00401C92" w:rsidRDefault="00401C92" w:rsidP="00401C92">
      <w:r w:rsidRPr="00401C92">
        <w:t>Utilizing the calculated Free Cash Flow as a base, a 5-year projection model was constructed. The cash flows were discounted using a Weighted Average Cost of Capital (WACC) derived from the asset's calculated Beta, capturing its systematic risk profile against the broader market.</w:t>
      </w:r>
    </w:p>
    <w:p w14:paraId="4B3080E1" w14:textId="77777777" w:rsidR="00401C92" w:rsidRDefault="00401C92" w:rsidP="00401C92">
      <w:r w:rsidRPr="00401C92">
        <w:t xml:space="preserve">The DCF model reveals an intrinsic share price lower than the current market trading price ($411.34 versus $1,592.02). This indicates that the asset is currently </w:t>
      </w:r>
      <w:r w:rsidRPr="00401C92">
        <w:rPr>
          <w:b/>
          <w:bCs/>
        </w:rPr>
        <w:t>overvalued</w:t>
      </w:r>
      <w:r w:rsidRPr="00401C92">
        <w:t>. The market has priced in a "monopoly premium" and aggressive future AI-driven growth that exceeds the mathematical reality of its current cash flows. Therefore, while fundamentally flawless, the stock carries a high valuation risk for new capital deployment.</w:t>
      </w:r>
    </w:p>
    <w:p w14:paraId="074EA551" w14:textId="77777777" w:rsidR="00401C92" w:rsidRDefault="00401C92">
      <w:pPr>
        <w:rPr>
          <w:b/>
          <w:bCs/>
        </w:rPr>
      </w:pPr>
      <w:r>
        <w:rPr>
          <w:b/>
          <w:bCs/>
        </w:rPr>
        <w:br w:type="page"/>
      </w:r>
    </w:p>
    <w:p w14:paraId="0C19489E" w14:textId="77777777" w:rsidR="00401C92" w:rsidRDefault="00401C92">
      <w:pPr>
        <w:rPr>
          <w:b/>
          <w:bCs/>
        </w:rPr>
      </w:pPr>
      <w:r>
        <w:rPr>
          <w:b/>
          <w:bCs/>
        </w:rPr>
        <w:lastRenderedPageBreak/>
        <w:br w:type="page"/>
      </w:r>
    </w:p>
    <w:p w14:paraId="3FFD072B" w14:textId="77777777" w:rsidR="00401C92" w:rsidRDefault="00401C92">
      <w:pPr>
        <w:rPr>
          <w:b/>
          <w:bCs/>
        </w:rPr>
      </w:pPr>
      <w:r>
        <w:rPr>
          <w:b/>
          <w:bCs/>
        </w:rPr>
        <w:lastRenderedPageBreak/>
        <w:br w:type="page"/>
      </w:r>
    </w:p>
    <w:p w14:paraId="11BF4E10" w14:textId="77777777" w:rsidR="00401C92" w:rsidRDefault="00401C92">
      <w:pPr>
        <w:rPr>
          <w:b/>
          <w:bCs/>
        </w:rPr>
      </w:pPr>
      <w:r>
        <w:rPr>
          <w:b/>
          <w:bCs/>
        </w:rPr>
        <w:lastRenderedPageBreak/>
        <w:br w:type="page"/>
      </w:r>
    </w:p>
    <w:p w14:paraId="0A620394" w14:textId="77777777" w:rsidR="00401C92" w:rsidRDefault="00401C92">
      <w:pPr>
        <w:rPr>
          <w:b/>
          <w:bCs/>
        </w:rPr>
      </w:pPr>
      <w:r>
        <w:rPr>
          <w:b/>
          <w:bCs/>
        </w:rPr>
        <w:lastRenderedPageBreak/>
        <w:br w:type="page"/>
      </w:r>
    </w:p>
    <w:p w14:paraId="624DCB79" w14:textId="77777777" w:rsidR="00401C92" w:rsidRDefault="00401C92">
      <w:pPr>
        <w:rPr>
          <w:b/>
          <w:bCs/>
        </w:rPr>
      </w:pPr>
      <w:r>
        <w:rPr>
          <w:b/>
          <w:bCs/>
        </w:rPr>
        <w:lastRenderedPageBreak/>
        <w:br w:type="page"/>
      </w:r>
    </w:p>
    <w:p w14:paraId="2384E00E" w14:textId="77777777" w:rsidR="00401C92" w:rsidRDefault="00401C92">
      <w:pPr>
        <w:rPr>
          <w:b/>
          <w:bCs/>
        </w:rPr>
      </w:pPr>
      <w:r>
        <w:rPr>
          <w:b/>
          <w:bCs/>
        </w:rPr>
        <w:lastRenderedPageBreak/>
        <w:br w:type="page"/>
      </w:r>
    </w:p>
    <w:p w14:paraId="43E7E3A6" w14:textId="77777777" w:rsidR="00401C92" w:rsidRDefault="00401C92">
      <w:pPr>
        <w:rPr>
          <w:b/>
          <w:bCs/>
        </w:rPr>
      </w:pPr>
      <w:r>
        <w:rPr>
          <w:b/>
          <w:bCs/>
        </w:rPr>
        <w:lastRenderedPageBreak/>
        <w:br w:type="page"/>
      </w:r>
    </w:p>
    <w:p w14:paraId="73419C25" w14:textId="77777777" w:rsidR="00401C92" w:rsidRDefault="00401C92">
      <w:pPr>
        <w:rPr>
          <w:b/>
          <w:bCs/>
        </w:rPr>
      </w:pPr>
      <w:r>
        <w:rPr>
          <w:b/>
          <w:bCs/>
        </w:rPr>
        <w:lastRenderedPageBreak/>
        <w:br w:type="page"/>
      </w:r>
    </w:p>
    <w:p w14:paraId="00ACEF4D" w14:textId="77777777" w:rsidR="00401C92" w:rsidRDefault="00401C92">
      <w:pPr>
        <w:rPr>
          <w:b/>
          <w:bCs/>
        </w:rPr>
      </w:pPr>
      <w:r>
        <w:rPr>
          <w:b/>
          <w:bCs/>
        </w:rPr>
        <w:lastRenderedPageBreak/>
        <w:br w:type="page"/>
      </w:r>
    </w:p>
    <w:p w14:paraId="10A2440D" w14:textId="77777777" w:rsidR="00401C92" w:rsidRDefault="00401C92">
      <w:pPr>
        <w:rPr>
          <w:b/>
          <w:bCs/>
        </w:rPr>
      </w:pPr>
      <w:r>
        <w:rPr>
          <w:b/>
          <w:bCs/>
        </w:rPr>
        <w:lastRenderedPageBreak/>
        <w:br w:type="page"/>
      </w:r>
    </w:p>
    <w:p w14:paraId="7BEF2420" w14:textId="05650CA2" w:rsidR="00401C92" w:rsidRPr="00401C92" w:rsidRDefault="00401C92" w:rsidP="00401C92">
      <w:r w:rsidRPr="00401C92">
        <w:rPr>
          <w:b/>
          <w:bCs/>
        </w:rPr>
        <w:lastRenderedPageBreak/>
        <w:t>7. Discussion &amp; Strategic Implications</w:t>
      </w:r>
    </w:p>
    <w:p w14:paraId="57D4ACD7" w14:textId="460DE5C7" w:rsidR="00401C92" w:rsidRDefault="00401C92" w:rsidP="00401C92">
      <w:pPr>
        <w:rPr>
          <w:b/>
          <w:bCs/>
        </w:rPr>
      </w:pPr>
      <w:r w:rsidRPr="00401C92">
        <w:rPr>
          <w:b/>
          <w:bCs/>
        </w:rPr>
        <w:t>7.1 The "Scarcity Premium" and Market Mispricing</w:t>
      </w:r>
    </w:p>
    <w:p w14:paraId="7913A07C" w14:textId="77777777" w:rsidR="00401C92" w:rsidRPr="00401C92" w:rsidRDefault="00401C92" w:rsidP="00401C92">
      <w:r w:rsidRPr="00401C92">
        <w:t>The synthesis of the short-term fundamental analysis and the long-term DCF valuation presents a compelling dichotomy. Fundamentally, ASML exhibits the characteristics of a flawless corporate entity: expanding gross margins, conservative leverage, and monopolistic pricing power confirmed by the DuPont framework. However, the Discounted Cash Flow valuation reveals a stark contrast, calculating an intrinsic value of $411.34 against a public trading price of $1,592.02.</w:t>
      </w:r>
    </w:p>
    <w:p w14:paraId="3A0372AF" w14:textId="77777777" w:rsidR="00401C92" w:rsidRPr="00401C92" w:rsidRDefault="00401C92" w:rsidP="00401C92">
      <w:r w:rsidRPr="00401C92">
        <w:t>In traditional value investing, this classifies the asset as severely overvalued. However, from a strategic macroeconomic perspective, the equities market is not necessarily irrational; rather, it is assigning a massive "Scarcity Premium" to ASML. Because there is no alternative supplier for EUV lithography, institutional capital treats ASML not just as a hardware stock, but as a mandatory tollbooth for the entire Artificial Intelligence (AI) and cloud computing revolution.</w:t>
      </w:r>
    </w:p>
    <w:p w14:paraId="40F1A53C" w14:textId="73545C9A" w:rsidR="00401C92" w:rsidRDefault="00401C92" w:rsidP="00401C92">
      <w:pPr>
        <w:rPr>
          <w:b/>
          <w:bCs/>
        </w:rPr>
      </w:pPr>
      <w:r w:rsidRPr="00401C92">
        <w:rPr>
          <w:b/>
          <w:bCs/>
        </w:rPr>
        <w:t>7.2 Strategic Implications for Institutional Capital</w:t>
      </w:r>
    </w:p>
    <w:p w14:paraId="21F21822" w14:textId="77777777" w:rsidR="00401C92" w:rsidRPr="00401C92" w:rsidRDefault="00401C92" w:rsidP="00401C92">
      <w:r w:rsidRPr="00401C92">
        <w:t xml:space="preserve">The strategic implication of this dual-horizon assessment is clear: ASML represents an unparalleled operational asset but a high-risk financial entry point. The market is pricing in a multi-decade AI super-cycle with growth rates that vastly exceed standard academic projections. For existing shareholders, the asset's strong Beta and 15-year technical momentum dictate a "Hold" strategy. For new capital deployment, the margin of safety is effectively zero. Any macroeconomic shock, such as a localized recession or sudden deceleration in foundry </w:t>
      </w:r>
      <w:proofErr w:type="spellStart"/>
      <w:r w:rsidRPr="00401C92">
        <w:t>CapEx</w:t>
      </w:r>
      <w:proofErr w:type="spellEnd"/>
      <w:r w:rsidRPr="00401C92">
        <w:t xml:space="preserve"> (from TSMC, Intel, or Samsung), could trigger a severe mean-reversion in the stock price closer to its DCF-derived intrinsic value.</w:t>
      </w:r>
    </w:p>
    <w:p w14:paraId="415180E6" w14:textId="77777777" w:rsidR="00401C92" w:rsidRDefault="00401C92">
      <w:pPr>
        <w:rPr>
          <w:b/>
          <w:bCs/>
        </w:rPr>
      </w:pPr>
      <w:r>
        <w:rPr>
          <w:b/>
          <w:bCs/>
        </w:rPr>
        <w:br w:type="page"/>
      </w:r>
    </w:p>
    <w:p w14:paraId="76627AC4" w14:textId="77777777" w:rsidR="00401C92" w:rsidRDefault="00401C92">
      <w:pPr>
        <w:rPr>
          <w:b/>
          <w:bCs/>
        </w:rPr>
      </w:pPr>
      <w:r>
        <w:rPr>
          <w:b/>
          <w:bCs/>
        </w:rPr>
        <w:lastRenderedPageBreak/>
        <w:br w:type="page"/>
      </w:r>
    </w:p>
    <w:p w14:paraId="6E3014DB" w14:textId="77777777" w:rsidR="00401C92" w:rsidRDefault="00401C92">
      <w:pPr>
        <w:rPr>
          <w:b/>
          <w:bCs/>
        </w:rPr>
      </w:pPr>
      <w:r>
        <w:rPr>
          <w:b/>
          <w:bCs/>
        </w:rPr>
        <w:lastRenderedPageBreak/>
        <w:br w:type="page"/>
      </w:r>
    </w:p>
    <w:p w14:paraId="367E09D5" w14:textId="77777777" w:rsidR="00401C92" w:rsidRDefault="00401C92">
      <w:pPr>
        <w:rPr>
          <w:b/>
          <w:bCs/>
        </w:rPr>
      </w:pPr>
      <w:r>
        <w:rPr>
          <w:b/>
          <w:bCs/>
        </w:rPr>
        <w:lastRenderedPageBreak/>
        <w:br w:type="page"/>
      </w:r>
    </w:p>
    <w:p w14:paraId="29D8130C" w14:textId="77777777" w:rsidR="00401C92" w:rsidRDefault="00401C92">
      <w:pPr>
        <w:rPr>
          <w:b/>
          <w:bCs/>
        </w:rPr>
      </w:pPr>
      <w:r>
        <w:rPr>
          <w:b/>
          <w:bCs/>
        </w:rPr>
        <w:lastRenderedPageBreak/>
        <w:br w:type="page"/>
      </w:r>
    </w:p>
    <w:p w14:paraId="267FB451" w14:textId="77777777" w:rsidR="00401C92" w:rsidRDefault="00401C92">
      <w:pPr>
        <w:rPr>
          <w:b/>
          <w:bCs/>
        </w:rPr>
      </w:pPr>
      <w:r>
        <w:rPr>
          <w:b/>
          <w:bCs/>
        </w:rPr>
        <w:lastRenderedPageBreak/>
        <w:br w:type="page"/>
      </w:r>
    </w:p>
    <w:p w14:paraId="2150046B" w14:textId="615F77B1" w:rsidR="00401C92" w:rsidRPr="00401C92" w:rsidRDefault="00401C92" w:rsidP="00401C92">
      <w:r w:rsidRPr="00401C92">
        <w:rPr>
          <w:b/>
          <w:bCs/>
        </w:rPr>
        <w:lastRenderedPageBreak/>
        <w:t>8. Conclusion</w:t>
      </w:r>
    </w:p>
    <w:p w14:paraId="46A408AD" w14:textId="77777777" w:rsidR="00401C92" w:rsidRPr="00401C92" w:rsidRDefault="00401C92" w:rsidP="00401C92">
      <w:r w:rsidRPr="00401C92">
        <w:t>The objective of this project was to quantitatively deconstruct the financial resiliency and market valuation of a global semiconductor monopoly. Through automated programmatic extraction of 15 years of market data and 4 years of audited US GAAP financials, this study proved that ASML Holding N.V. utilizes its technological moat to generate extraordinary Returns on Equity driven almost entirely by profit margins, shielding it from standard supply chain inflation.</w:t>
      </w:r>
    </w:p>
    <w:p w14:paraId="40877083" w14:textId="77777777" w:rsidR="00401C92" w:rsidRPr="00401C92" w:rsidRDefault="00401C92" w:rsidP="00401C92">
      <w:r w:rsidRPr="00401C92">
        <w:t xml:space="preserve">However, the mathematical reality of its Free Cash Flow generation does not currently support its trillion-dollar market capitalization. The DCF valuation explicitly demonstrates that ASML is trading at a significant premium, </w:t>
      </w:r>
      <w:proofErr w:type="spellStart"/>
      <w:r w:rsidRPr="00401C92">
        <w:t>fueled</w:t>
      </w:r>
      <w:proofErr w:type="spellEnd"/>
      <w:r w:rsidRPr="00401C92">
        <w:t xml:space="preserve"> by speculative macroeconomic enthusiasm for AI infrastructure. Ultimately, while ASML is an infrastructural pillar of the modern digital economy, its current public equity valuation carries substantial risk of multiple compression.</w:t>
      </w:r>
    </w:p>
    <w:p w14:paraId="03F8A099" w14:textId="26BA1007" w:rsidR="00401C92" w:rsidRDefault="00401C92" w:rsidP="00401C92">
      <w:pPr>
        <w:rPr>
          <w:b/>
          <w:bCs/>
        </w:rPr>
      </w:pPr>
      <w:r w:rsidRPr="00401C92">
        <w:rPr>
          <w:b/>
          <w:bCs/>
        </w:rPr>
        <w:t>8.1 Limitations and Future Research</w:t>
      </w:r>
    </w:p>
    <w:p w14:paraId="1A8414CB" w14:textId="77777777" w:rsidR="00401C92" w:rsidRPr="00401C92" w:rsidRDefault="00401C92" w:rsidP="00401C92">
      <w:r w:rsidRPr="00401C92">
        <w:t>While the quantitative models utilized (DCF, CAPM, DuPont) are robust, they rely heavily on the assumption of a static geopolitical environment. This study's primary limitation is the inability to mathematically model geopolitical black swan events. Future academic research should focus on scenario-</w:t>
      </w:r>
      <w:proofErr w:type="spellStart"/>
      <w:r w:rsidRPr="00401C92">
        <w:t>modeling</w:t>
      </w:r>
      <w:proofErr w:type="spellEnd"/>
      <w:r w:rsidRPr="00401C92">
        <w:t xml:space="preserve"> the exact financial impact of expanding international export bans, particularly regarding ASML's ability to service and sell advanced lithography equipment in the Asian </w:t>
      </w:r>
      <w:proofErr w:type="spellStart"/>
      <w:r w:rsidRPr="00401C92">
        <w:t>theater</w:t>
      </w:r>
      <w:proofErr w:type="spellEnd"/>
      <w:r w:rsidRPr="00401C92">
        <w:t>. Furthermore, the DCF intrinsic value is highly sensitive to the Weighted Average Cost of Capital (WACC) and terminal growth assumptions; minor shifts in global interest rates will materially alter the asset's fair value baseline.</w:t>
      </w:r>
    </w:p>
    <w:p w14:paraId="53E1CF99" w14:textId="77777777" w:rsidR="00401C92" w:rsidRPr="00401C92" w:rsidRDefault="00401C92" w:rsidP="00401C92"/>
    <w:p w14:paraId="5011D8D2" w14:textId="77777777" w:rsidR="00401C92" w:rsidRPr="00401C92" w:rsidRDefault="00401C92" w:rsidP="00401C92"/>
    <w:p w14:paraId="0F32E519" w14:textId="77777777" w:rsidR="00401C92" w:rsidRPr="00DA0722" w:rsidRDefault="00401C92" w:rsidP="00401C92"/>
    <w:p w14:paraId="334049E3" w14:textId="77777777" w:rsidR="00DA0722" w:rsidRPr="00CE4CD2" w:rsidRDefault="00DA0722" w:rsidP="00CE4CD2"/>
    <w:sectPr w:rsidR="00DA0722" w:rsidRPr="00CE4CD2" w:rsidSect="003D2158">
      <w:footerReference w:type="default" r:id="rId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9A05" w14:textId="77777777" w:rsidR="00B47830" w:rsidRDefault="00B47830" w:rsidP="003D2158">
      <w:pPr>
        <w:spacing w:before="0" w:after="0" w:line="240" w:lineRule="auto"/>
      </w:pPr>
      <w:r>
        <w:separator/>
      </w:r>
    </w:p>
  </w:endnote>
  <w:endnote w:type="continuationSeparator" w:id="0">
    <w:p w14:paraId="25432EF6" w14:textId="77777777" w:rsidR="00B47830" w:rsidRDefault="00B47830" w:rsidP="003D21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853523"/>
      <w:docPartObj>
        <w:docPartGallery w:val="Page Numbers (Bottom of Page)"/>
        <w:docPartUnique/>
      </w:docPartObj>
    </w:sdtPr>
    <w:sdtContent>
      <w:sdt>
        <w:sdtPr>
          <w:id w:val="1728636285"/>
          <w:docPartObj>
            <w:docPartGallery w:val="Page Numbers (Top of Page)"/>
            <w:docPartUnique/>
          </w:docPartObj>
        </w:sdtPr>
        <w:sdtContent>
          <w:p w14:paraId="409EBEE1" w14:textId="1703C8DA" w:rsidR="003D2158" w:rsidRDefault="003D215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03F63F2" w14:textId="77777777" w:rsidR="003D2158" w:rsidRDefault="003D21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0CC9D" w14:textId="77777777" w:rsidR="00B47830" w:rsidRDefault="00B47830" w:rsidP="003D2158">
      <w:pPr>
        <w:spacing w:before="0" w:after="0" w:line="240" w:lineRule="auto"/>
      </w:pPr>
      <w:r>
        <w:separator/>
      </w:r>
    </w:p>
  </w:footnote>
  <w:footnote w:type="continuationSeparator" w:id="0">
    <w:p w14:paraId="6111F7BA" w14:textId="77777777" w:rsidR="00B47830" w:rsidRDefault="00B47830" w:rsidP="003D215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C550D"/>
    <w:multiLevelType w:val="hybridMultilevel"/>
    <w:tmpl w:val="44D4F5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E446E2"/>
    <w:multiLevelType w:val="multilevel"/>
    <w:tmpl w:val="1EF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66683"/>
    <w:multiLevelType w:val="multilevel"/>
    <w:tmpl w:val="EBF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70B63"/>
    <w:multiLevelType w:val="multilevel"/>
    <w:tmpl w:val="FEBC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DB74E6"/>
    <w:multiLevelType w:val="multilevel"/>
    <w:tmpl w:val="D81A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354258"/>
    <w:multiLevelType w:val="multilevel"/>
    <w:tmpl w:val="B26E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804F55"/>
    <w:multiLevelType w:val="hybridMultilevel"/>
    <w:tmpl w:val="8E643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83461">
    <w:abstractNumId w:val="4"/>
  </w:num>
  <w:num w:numId="2" w16cid:durableId="57631828">
    <w:abstractNumId w:val="5"/>
  </w:num>
  <w:num w:numId="3" w16cid:durableId="526525340">
    <w:abstractNumId w:val="1"/>
  </w:num>
  <w:num w:numId="4" w16cid:durableId="1313945162">
    <w:abstractNumId w:val="6"/>
  </w:num>
  <w:num w:numId="5" w16cid:durableId="1669289599">
    <w:abstractNumId w:val="3"/>
  </w:num>
  <w:num w:numId="6" w16cid:durableId="327711539">
    <w:abstractNumId w:val="0"/>
  </w:num>
  <w:num w:numId="7" w16cid:durableId="925067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99D"/>
    <w:rsid w:val="0000299D"/>
    <w:rsid w:val="003012AF"/>
    <w:rsid w:val="003D2158"/>
    <w:rsid w:val="00401C92"/>
    <w:rsid w:val="00577EC7"/>
    <w:rsid w:val="007C5C31"/>
    <w:rsid w:val="00AE4195"/>
    <w:rsid w:val="00B47830"/>
    <w:rsid w:val="00CE4CD2"/>
    <w:rsid w:val="00DA0722"/>
    <w:rsid w:val="00FF5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3BAE"/>
  <w15:chartTrackingRefBased/>
  <w15:docId w15:val="{33436C7D-5AD6-4482-9C36-8C26D47D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158"/>
    <w:pPr>
      <w:keepNext/>
      <w:keepLines/>
      <w:spacing w:before="360" w:after="80"/>
      <w:outlineLvl w:val="0"/>
    </w:pPr>
    <w:rPr>
      <w:rFonts w:asciiTheme="majorHAnsi" w:eastAsiaTheme="majorEastAsia" w:hAnsiTheme="majorHAnsi" w:cstheme="majorBidi"/>
      <w:b/>
      <w:color w:val="2F5496" w:themeColor="accent1" w:themeShade="BF"/>
      <w:sz w:val="28"/>
      <w:szCs w:val="40"/>
    </w:rPr>
  </w:style>
  <w:style w:type="paragraph" w:styleId="Heading2">
    <w:name w:val="heading 2"/>
    <w:basedOn w:val="Normal"/>
    <w:next w:val="Normal"/>
    <w:link w:val="Heading2Char"/>
    <w:uiPriority w:val="9"/>
    <w:unhideWhenUsed/>
    <w:qFormat/>
    <w:rsid w:val="003D2158"/>
    <w:pPr>
      <w:keepNext/>
      <w:keepLines/>
      <w:spacing w:before="160" w:after="80"/>
      <w:outlineLvl w:val="1"/>
    </w:pPr>
    <w:rPr>
      <w:rFonts w:asciiTheme="majorHAnsi" w:eastAsiaTheme="majorEastAsia" w:hAnsiTheme="majorHAnsi" w:cstheme="majorBidi"/>
      <w:b/>
      <w:color w:val="2F5496" w:themeColor="accent1" w:themeShade="BF"/>
      <w:sz w:val="24"/>
      <w:szCs w:val="32"/>
    </w:rPr>
  </w:style>
  <w:style w:type="paragraph" w:styleId="Heading3">
    <w:name w:val="heading 3"/>
    <w:basedOn w:val="Normal"/>
    <w:next w:val="Normal"/>
    <w:link w:val="Heading3Char"/>
    <w:uiPriority w:val="9"/>
    <w:semiHidden/>
    <w:unhideWhenUsed/>
    <w:qFormat/>
    <w:rsid w:val="00002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158"/>
    <w:rPr>
      <w:rFonts w:asciiTheme="majorHAnsi" w:eastAsiaTheme="majorEastAsia" w:hAnsiTheme="majorHAnsi" w:cstheme="majorBidi"/>
      <w:b/>
      <w:color w:val="2F5496" w:themeColor="accent1" w:themeShade="BF"/>
      <w:sz w:val="28"/>
      <w:szCs w:val="40"/>
    </w:rPr>
  </w:style>
  <w:style w:type="character" w:customStyle="1" w:styleId="Heading2Char">
    <w:name w:val="Heading 2 Char"/>
    <w:basedOn w:val="DefaultParagraphFont"/>
    <w:link w:val="Heading2"/>
    <w:uiPriority w:val="9"/>
    <w:rsid w:val="003D2158"/>
    <w:rPr>
      <w:rFonts w:asciiTheme="majorHAnsi" w:eastAsiaTheme="majorEastAsia" w:hAnsiTheme="majorHAnsi" w:cstheme="majorBidi"/>
      <w:b/>
      <w:color w:val="2F5496" w:themeColor="accent1" w:themeShade="BF"/>
      <w:sz w:val="24"/>
      <w:szCs w:val="32"/>
    </w:rPr>
  </w:style>
  <w:style w:type="character" w:customStyle="1" w:styleId="Heading3Char">
    <w:name w:val="Heading 3 Char"/>
    <w:basedOn w:val="DefaultParagraphFont"/>
    <w:link w:val="Heading3"/>
    <w:uiPriority w:val="9"/>
    <w:semiHidden/>
    <w:rsid w:val="00002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99D"/>
    <w:rPr>
      <w:rFonts w:eastAsiaTheme="majorEastAsia" w:cstheme="majorBidi"/>
      <w:color w:val="272727" w:themeColor="text1" w:themeTint="D8"/>
    </w:rPr>
  </w:style>
  <w:style w:type="paragraph" w:styleId="Title">
    <w:name w:val="Title"/>
    <w:basedOn w:val="Normal"/>
    <w:next w:val="Normal"/>
    <w:link w:val="TitleChar"/>
    <w:uiPriority w:val="10"/>
    <w:qFormat/>
    <w:rsid w:val="00002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99D"/>
    <w:pPr>
      <w:spacing w:before="160"/>
      <w:jc w:val="center"/>
    </w:pPr>
    <w:rPr>
      <w:i/>
      <w:iCs/>
      <w:color w:val="404040" w:themeColor="text1" w:themeTint="BF"/>
    </w:rPr>
  </w:style>
  <w:style w:type="character" w:customStyle="1" w:styleId="QuoteChar">
    <w:name w:val="Quote Char"/>
    <w:basedOn w:val="DefaultParagraphFont"/>
    <w:link w:val="Quote"/>
    <w:uiPriority w:val="29"/>
    <w:rsid w:val="0000299D"/>
    <w:rPr>
      <w:i/>
      <w:iCs/>
      <w:color w:val="404040" w:themeColor="text1" w:themeTint="BF"/>
    </w:rPr>
  </w:style>
  <w:style w:type="paragraph" w:styleId="ListParagraph">
    <w:name w:val="List Paragraph"/>
    <w:basedOn w:val="Normal"/>
    <w:uiPriority w:val="34"/>
    <w:qFormat/>
    <w:rsid w:val="0000299D"/>
    <w:pPr>
      <w:ind w:left="720"/>
      <w:contextualSpacing/>
    </w:pPr>
  </w:style>
  <w:style w:type="character" w:styleId="IntenseEmphasis">
    <w:name w:val="Intense Emphasis"/>
    <w:basedOn w:val="DefaultParagraphFont"/>
    <w:uiPriority w:val="21"/>
    <w:qFormat/>
    <w:rsid w:val="0000299D"/>
    <w:rPr>
      <w:i/>
      <w:iCs/>
      <w:color w:val="2F5496" w:themeColor="accent1" w:themeShade="BF"/>
    </w:rPr>
  </w:style>
  <w:style w:type="paragraph" w:styleId="IntenseQuote">
    <w:name w:val="Intense Quote"/>
    <w:basedOn w:val="Normal"/>
    <w:next w:val="Normal"/>
    <w:link w:val="IntenseQuoteChar"/>
    <w:uiPriority w:val="30"/>
    <w:qFormat/>
    <w:rsid w:val="00002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99D"/>
    <w:rPr>
      <w:i/>
      <w:iCs/>
      <w:color w:val="2F5496" w:themeColor="accent1" w:themeShade="BF"/>
    </w:rPr>
  </w:style>
  <w:style w:type="character" w:styleId="IntenseReference">
    <w:name w:val="Intense Reference"/>
    <w:basedOn w:val="DefaultParagraphFont"/>
    <w:uiPriority w:val="32"/>
    <w:qFormat/>
    <w:rsid w:val="0000299D"/>
    <w:rPr>
      <w:b/>
      <w:bCs/>
      <w:smallCaps/>
      <w:color w:val="2F5496" w:themeColor="accent1" w:themeShade="BF"/>
      <w:spacing w:val="5"/>
    </w:rPr>
  </w:style>
  <w:style w:type="paragraph" w:styleId="Header">
    <w:name w:val="header"/>
    <w:basedOn w:val="Normal"/>
    <w:link w:val="HeaderChar"/>
    <w:uiPriority w:val="99"/>
    <w:unhideWhenUsed/>
    <w:rsid w:val="003D215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D2158"/>
  </w:style>
  <w:style w:type="paragraph" w:styleId="Footer">
    <w:name w:val="footer"/>
    <w:basedOn w:val="Normal"/>
    <w:link w:val="FooterChar"/>
    <w:uiPriority w:val="99"/>
    <w:unhideWhenUsed/>
    <w:rsid w:val="003D215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D2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830</TotalTime>
  <Pages>45</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Shaikh</dc:creator>
  <cp:keywords/>
  <dc:description/>
  <cp:lastModifiedBy>Danish Shaikh</cp:lastModifiedBy>
  <cp:revision>2</cp:revision>
  <dcterms:created xsi:type="dcterms:W3CDTF">2026-05-08T20:02:00Z</dcterms:created>
  <dcterms:modified xsi:type="dcterms:W3CDTF">2026-05-09T09:52:00Z</dcterms:modified>
</cp:coreProperties>
</file>