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f172a"/>
            <w:tcMar>
              <w:top w:w="130" w:type="dxa"/>
              <w:bottom w:w="130" w:type="dxa"/>
              <w:left w:w="180" w:type="dxa"/>
              <w:right w:w="180" w:type="dxa"/>
            </w:tcMar>
          </w:tcPr>
          <w:p>
            <w:pPr>
              <w:spacing w:before="0" w:after="20"/>
            </w:pPr>
            <w:r>
              <w:rPr>
                <w:b/>
                <w:color w:val="4ADE80"/>
                <w:sz w:val="16"/>
              </w:rPr>
              <w:t>INTERNSHIP TECHNICAL PROJECT REPORT · APPLIED AI &amp; AGENTIC SYSTEMS</w:t>
            </w:r>
          </w:p>
          <w:p>
            <w:pPr>
              <w:spacing w:before="0" w:after="40"/>
            </w:pPr>
            <w:r>
              <w:rPr>
                <w:b/>
                <w:color w:val="FFFFFF"/>
                <w:sz w:val="30"/>
              </w:rPr>
              <w:t>MarketPilot AI: Autonomous Margin-Aware Marketing Agent</w:t>
            </w:r>
          </w:p>
          <w:p>
            <w:pPr>
              <w:spacing w:before="0" w:after="0"/>
            </w:pPr>
            <w:r>
              <w:rPr>
                <w:color w:val="CBD5E1"/>
                <w:sz w:val="17"/>
              </w:rPr>
              <w:t>Architecture · Perception-Reasoning-Action Loop · LLM vs. Agent Dynamics · Google Gemini 3.6 Flash</w:t>
            </w:r>
          </w:p>
        </w:tc>
      </w:tr>
    </w:tbl>
    <w:tbl>
      <w:tblPr>
        <w:tblW w:type="auto" w:w="0"/>
        <w:jc w:val="center"/>
        <w:tblLook w:firstColumn="1" w:firstRow="1" w:lastColumn="0" w:lastRow="0" w:noHBand="0" w:noVBand="1" w:val="04A0"/>
      </w:tblPr>
      <w:tblGrid>
        <w:gridCol w:w="3456"/>
        <w:gridCol w:w="3456"/>
        <w:gridCol w:w="3456"/>
      </w:tblGrid>
      <w:tr>
        <w:tc>
          <w:tcPr>
            <w:tcW w:type="dxa" w:w="3456"/>
            <w:shd w:fill="f1f5f9"/>
            <w:tcMar>
              <w:top w:w="35" w:type="dxa"/>
              <w:bottom w:w="35" w:type="dxa"/>
              <w:left w:w="70" w:type="dxa"/>
              <w:right w:w="70" w:type="dxa"/>
            </w:tcMar>
          </w:tcPr>
          <w:p>
            <w:pPr>
              <w:spacing w:after="0"/>
            </w:pPr>
            <w:r>
              <w:rPr>
                <w:b/>
                <w:sz w:val="15"/>
              </w:rPr>
              <w:t xml:space="preserve">Project Domain: </w:t>
            </w:r>
            <w:r>
              <w:rPr>
                <w:sz w:val="15"/>
              </w:rPr>
              <w:t>Autonomous E-Commerce AI Agent</w:t>
            </w:r>
          </w:p>
        </w:tc>
        <w:tc>
          <w:tcPr>
            <w:tcW w:type="dxa" w:w="3456"/>
            <w:shd w:fill="f1f5f9"/>
            <w:tcMar>
              <w:top w:w="35" w:type="dxa"/>
              <w:bottom w:w="35" w:type="dxa"/>
              <w:left w:w="70" w:type="dxa"/>
              <w:right w:w="70" w:type="dxa"/>
            </w:tcMar>
          </w:tcPr>
          <w:p>
            <w:pPr>
              <w:spacing w:after="0"/>
            </w:pPr>
            <w:r>
              <w:rPr>
                <w:b/>
                <w:sz w:val="15"/>
              </w:rPr>
              <w:t xml:space="preserve">Orchestration LLM: </w:t>
            </w:r>
            <w:r>
              <w:rPr>
                <w:sz w:val="15"/>
              </w:rPr>
              <w:t>Google Gemini 3.6 Flash (google-genai)</w:t>
            </w:r>
          </w:p>
        </w:tc>
        <w:tc>
          <w:tcPr>
            <w:tcW w:type="dxa" w:w="3456"/>
            <w:shd w:fill="f1f5f9"/>
            <w:tcMar>
              <w:top w:w="35" w:type="dxa"/>
              <w:bottom w:w="35" w:type="dxa"/>
              <w:left w:w="70" w:type="dxa"/>
              <w:right w:w="70" w:type="dxa"/>
            </w:tcMar>
          </w:tcPr>
          <w:p>
            <w:pPr>
              <w:spacing w:after="0"/>
            </w:pPr>
            <w:r>
              <w:rPr>
                <w:b/>
                <w:sz w:val="15"/>
              </w:rPr>
              <w:t xml:space="preserve">Author / Intern: </w:t>
            </w:r>
            <w:r>
              <w:rPr>
                <w:sz w:val="15"/>
              </w:rPr>
              <w:t>AI Engineering &amp; Full-Stack Intern</w:t>
            </w:r>
          </w:p>
        </w:tc>
      </w:tr>
    </w:tbl>
    <w:p>
      <w:pPr>
        <w:spacing w:before="140" w:after="40"/>
      </w:pPr>
      <w:r>
        <w:rPr>
          <w:b/>
          <w:color w:val="165823"/>
          <w:sz w:val="23"/>
        </w:rPr>
        <w:t>1. Executive Summary &amp; Core Motivation</w:t>
      </w:r>
    </w:p>
    <w:p>
      <w:pPr>
        <w:spacing w:after="60" w:line="276" w:lineRule="auto"/>
      </w:pPr>
      <w:r>
        <w:rPr>
          <w:sz w:val="18"/>
        </w:rPr>
        <w:t>MarketPilot AI is a production-grade autonomous marketing agent designed to solve the primary point of failure in modern e-commerce advertising: generic AI copywriting tools generate attractive copy without considering unit economics, actual profit margins, inventory constraints, or real-time consumer search velocity. Traditional generative tools frequently promote low-margin items that burn marketing budgets with negative Return on Ad Spend (ROAS). MarketPilot AI bridges this gap by coupling dynamic financial margin categorization, automated viral trend harvesting, deterministic brand guardrails, and Google Gemini 3.6 Flash into a goal-oriented, multi-channel autonomous marketing agent.</w:t>
      </w:r>
    </w:p>
    <w:p>
      <w:pPr>
        <w:spacing w:before="140" w:after="40"/>
      </w:pPr>
      <w:r>
        <w:rPr>
          <w:b/>
          <w:color w:val="165823"/>
          <w:sz w:val="23"/>
        </w:rPr>
        <w:t>2. System Architecture &amp; Full-Stack Technologies</w:t>
      </w:r>
    </w:p>
    <w:p>
      <w:pPr>
        <w:spacing w:after="60" w:line="276" w:lineRule="auto"/>
      </w:pPr>
      <w:r>
        <w:rPr>
          <w:sz w:val="18"/>
        </w:rPr>
        <w:t>The system employs a multi-tiered, decoupled architecture engineered for high concurrency, low latency, and zero-trust security. The architecture separates presentation, API orchestration, enterprise state persistence, and LLM reasoning into distinct layers:</w:t>
      </w:r>
    </w:p>
    <w:p>
      <w:pPr>
        <w:spacing w:before="40" w:after="20"/>
        <w:jc w:val="center"/>
      </w:pPr>
    </w:p>
    <w:p>
      <w:r>
        <w:drawing>
          <wp:inline xmlns:a="http://schemas.openxmlformats.org/drawingml/2006/main" xmlns:pic="http://schemas.openxmlformats.org/drawingml/2006/picture">
            <wp:extent cx="6217920" cy="252816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2528165"/>
                    </a:xfrm>
                    <a:prstGeom prst="rect"/>
                  </pic:spPr>
                </pic:pic>
              </a:graphicData>
            </a:graphic>
          </wp:inline>
        </w:drawing>
      </w:r>
    </w:p>
    <w:p>
      <w:pPr>
        <w:spacing w:after="60"/>
        <w:jc w:val="center"/>
      </w:pPr>
      <w:r>
        <w:rPr>
          <w:i/>
          <w:color w:val="64748B"/>
          <w:sz w:val="15"/>
        </w:rPr>
        <w:t>Figure 1: MarketPilot AI Autonomous Multi-Layer Agent Pipeline &amp; Real-Time Orchestration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456"/>
        <w:gridCol w:w="3456"/>
        <w:gridCol w:w="3456"/>
      </w:tblGrid>
      <w:tr>
        <w:tc>
          <w:tcPr>
            <w:tcW w:type="dxa" w:w="2160"/>
            <w:tcMar>
              <w:top w:w="30" w:type="dxa"/>
              <w:bottom w:w="30" w:type="dxa"/>
              <w:left w:w="55" w:type="dxa"/>
              <w:right w:w="55" w:type="dxa"/>
            </w:tcMar>
            <w:shd w:fill="0f172a"/>
          </w:tcPr>
          <w:p>
            <w:pPr>
              <w:spacing w:after="0"/>
            </w:pPr>
            <w:r>
              <w:rPr>
                <w:b/>
                <w:color w:val="FFFFFF"/>
                <w:sz w:val="16"/>
              </w:rPr>
              <w:t>Layer</w:t>
            </w:r>
          </w:p>
        </w:tc>
        <w:tc>
          <w:tcPr>
            <w:tcW w:type="dxa" w:w="3168"/>
            <w:tcMar>
              <w:top w:w="30" w:type="dxa"/>
              <w:bottom w:w="30" w:type="dxa"/>
              <w:left w:w="55" w:type="dxa"/>
              <w:right w:w="55" w:type="dxa"/>
            </w:tcMar>
            <w:shd w:fill="0f172a"/>
          </w:tcPr>
          <w:p>
            <w:pPr>
              <w:spacing w:after="0"/>
            </w:pPr>
            <w:r>
              <w:rPr>
                <w:b/>
                <w:color w:val="FFFFFF"/>
                <w:sz w:val="16"/>
              </w:rPr>
              <w:t>Technology Used</w:t>
            </w:r>
          </w:p>
        </w:tc>
        <w:tc>
          <w:tcPr>
            <w:tcW w:type="dxa" w:w="5040"/>
            <w:tcMar>
              <w:top w:w="30" w:type="dxa"/>
              <w:bottom w:w="30" w:type="dxa"/>
              <w:left w:w="55" w:type="dxa"/>
              <w:right w:w="55" w:type="dxa"/>
            </w:tcMar>
            <w:shd w:fill="0f172a"/>
          </w:tcPr>
          <w:p>
            <w:pPr>
              <w:spacing w:after="0"/>
            </w:pPr>
            <w:r>
              <w:rPr>
                <w:b/>
                <w:color w:val="FFFFFF"/>
                <w:sz w:val="16"/>
              </w:rPr>
              <w:t>Role in Agent Workflow</w:t>
            </w:r>
          </w:p>
        </w:tc>
      </w:tr>
      <w:tr>
        <w:tc>
          <w:tcPr>
            <w:tcW w:type="dxa" w:w="2160"/>
            <w:tcMar>
              <w:top w:w="30" w:type="dxa"/>
              <w:bottom w:w="30" w:type="dxa"/>
              <w:left w:w="55" w:type="dxa"/>
              <w:right w:w="55" w:type="dxa"/>
            </w:tcMar>
            <w:shd w:fill="ffffff"/>
          </w:tcPr>
          <w:p>
            <w:pPr>
              <w:spacing w:after="0"/>
            </w:pPr>
            <w:r>
              <w:rPr>
                <w:b/>
                <w:sz w:val="15"/>
              </w:rPr>
              <w:t>Frontend Client</w:t>
            </w:r>
          </w:p>
        </w:tc>
        <w:tc>
          <w:tcPr>
            <w:tcW w:type="dxa" w:w="3168"/>
            <w:tcMar>
              <w:top w:w="30" w:type="dxa"/>
              <w:bottom w:w="30" w:type="dxa"/>
              <w:left w:w="55" w:type="dxa"/>
              <w:right w:w="55" w:type="dxa"/>
            </w:tcMar>
            <w:shd w:fill="ffffff"/>
          </w:tcPr>
          <w:p>
            <w:pPr>
              <w:spacing w:after="0"/>
            </w:pPr>
            <w:r>
              <w:rPr>
                <w:sz w:val="15"/>
              </w:rPr>
              <w:t>React 18, TypeScript, Vite, Tailwind CSS</w:t>
            </w:r>
          </w:p>
        </w:tc>
        <w:tc>
          <w:tcPr>
            <w:tcW w:type="dxa" w:w="5040"/>
            <w:tcMar>
              <w:top w:w="30" w:type="dxa"/>
              <w:bottom w:w="30" w:type="dxa"/>
              <w:left w:w="55" w:type="dxa"/>
              <w:right w:w="55" w:type="dxa"/>
            </w:tcMar>
            <w:shd w:fill="ffffff"/>
          </w:tcPr>
          <w:p>
            <w:pPr>
              <w:spacing w:after="0"/>
            </w:pPr>
            <w:r>
              <w:rPr>
                <w:sz w:val="15"/>
              </w:rPr>
              <w:t>Interactive dashboard, Content Studio, real-time localized video script preview, multi-currency display</w:t>
            </w:r>
          </w:p>
        </w:tc>
      </w:tr>
      <w:tr>
        <w:tc>
          <w:tcPr>
            <w:tcW w:type="dxa" w:w="2160"/>
            <w:tcMar>
              <w:top w:w="30" w:type="dxa"/>
              <w:bottom w:w="30" w:type="dxa"/>
              <w:left w:w="55" w:type="dxa"/>
              <w:right w:w="55" w:type="dxa"/>
            </w:tcMar>
            <w:shd w:fill="f8fafc"/>
          </w:tcPr>
          <w:p>
            <w:pPr>
              <w:spacing w:after="0"/>
            </w:pPr>
            <w:r>
              <w:rPr>
                <w:b/>
                <w:sz w:val="15"/>
              </w:rPr>
              <w:t>Backend Gateway</w:t>
            </w:r>
          </w:p>
        </w:tc>
        <w:tc>
          <w:tcPr>
            <w:tcW w:type="dxa" w:w="3168"/>
            <w:tcMar>
              <w:top w:w="30" w:type="dxa"/>
              <w:bottom w:w="30" w:type="dxa"/>
              <w:left w:w="55" w:type="dxa"/>
              <w:right w:w="55" w:type="dxa"/>
            </w:tcMar>
            <w:shd w:fill="f8fafc"/>
          </w:tcPr>
          <w:p>
            <w:pPr>
              <w:spacing w:after="0"/>
            </w:pPr>
            <w:r>
              <w:rPr>
                <w:sz w:val="15"/>
              </w:rPr>
              <w:t>FastAPI (Python 3.12+), Pydantic v2, Uvicorn</w:t>
            </w:r>
          </w:p>
        </w:tc>
        <w:tc>
          <w:tcPr>
            <w:tcW w:type="dxa" w:w="5040"/>
            <w:tcMar>
              <w:top w:w="30" w:type="dxa"/>
              <w:bottom w:w="30" w:type="dxa"/>
              <w:left w:w="55" w:type="dxa"/>
              <w:right w:w="55" w:type="dxa"/>
            </w:tcMar>
            <w:shd w:fill="f8fafc"/>
          </w:tcPr>
          <w:p>
            <w:pPr>
              <w:spacing w:after="0"/>
            </w:pPr>
            <w:r>
              <w:rPr>
                <w:sz w:val="15"/>
              </w:rPr>
              <w:t>High-throughput async API, strict schema validation, deterministic guardrail evaluation, business logic</w:t>
            </w:r>
          </w:p>
        </w:tc>
      </w:tr>
      <w:tr>
        <w:tc>
          <w:tcPr>
            <w:tcW w:type="dxa" w:w="2160"/>
            <w:tcMar>
              <w:top w:w="30" w:type="dxa"/>
              <w:bottom w:w="30" w:type="dxa"/>
              <w:left w:w="55" w:type="dxa"/>
              <w:right w:w="55" w:type="dxa"/>
            </w:tcMar>
            <w:shd w:fill="ffffff"/>
          </w:tcPr>
          <w:p>
            <w:pPr>
              <w:spacing w:after="0"/>
            </w:pPr>
            <w:r>
              <w:rPr>
                <w:b/>
                <w:sz w:val="15"/>
              </w:rPr>
              <w:t>Persistence &amp; Auth</w:t>
            </w:r>
          </w:p>
        </w:tc>
        <w:tc>
          <w:tcPr>
            <w:tcW w:type="dxa" w:w="3168"/>
            <w:tcMar>
              <w:top w:w="30" w:type="dxa"/>
              <w:bottom w:w="30" w:type="dxa"/>
              <w:left w:w="55" w:type="dxa"/>
              <w:right w:w="55" w:type="dxa"/>
            </w:tcMar>
            <w:shd w:fill="ffffff"/>
          </w:tcPr>
          <w:p>
            <w:pPr>
              <w:spacing w:after="0"/>
            </w:pPr>
            <w:r>
              <w:rPr>
                <w:sz w:val="15"/>
              </w:rPr>
              <w:t>Supabase PostgreSQL, Row-Level Security (RLS)</w:t>
            </w:r>
          </w:p>
        </w:tc>
        <w:tc>
          <w:tcPr>
            <w:tcW w:type="dxa" w:w="5040"/>
            <w:tcMar>
              <w:top w:w="30" w:type="dxa"/>
              <w:bottom w:w="30" w:type="dxa"/>
              <w:left w:w="55" w:type="dxa"/>
              <w:right w:w="55" w:type="dxa"/>
            </w:tcMar>
            <w:shd w:fill="ffffff"/>
          </w:tcPr>
          <w:p>
            <w:pPr>
              <w:spacing w:after="0"/>
            </w:pPr>
            <w:r>
              <w:rPr>
                <w:sz w:val="15"/>
              </w:rPr>
              <w:t>Multi-tenant tenant isolation, catalog storage, cryptographically secure 6-digit OTP verification</w:t>
            </w:r>
          </w:p>
        </w:tc>
      </w:tr>
      <w:tr>
        <w:tc>
          <w:tcPr>
            <w:tcW w:type="dxa" w:w="2160"/>
            <w:tcMar>
              <w:top w:w="30" w:type="dxa"/>
              <w:bottom w:w="30" w:type="dxa"/>
              <w:left w:w="55" w:type="dxa"/>
              <w:right w:w="55" w:type="dxa"/>
            </w:tcMar>
            <w:shd w:fill="f8fafc"/>
          </w:tcPr>
          <w:p>
            <w:pPr>
              <w:spacing w:after="0"/>
            </w:pPr>
            <w:r>
              <w:rPr>
                <w:b/>
                <w:sz w:val="15"/>
              </w:rPr>
              <w:t>AI &amp; Intelligence</w:t>
            </w:r>
          </w:p>
        </w:tc>
        <w:tc>
          <w:tcPr>
            <w:tcW w:type="dxa" w:w="3168"/>
            <w:tcMar>
              <w:top w:w="30" w:type="dxa"/>
              <w:bottom w:w="30" w:type="dxa"/>
              <w:left w:w="55" w:type="dxa"/>
              <w:right w:w="55" w:type="dxa"/>
            </w:tcMar>
            <w:shd w:fill="f8fafc"/>
          </w:tcPr>
          <w:p>
            <w:pPr>
              <w:spacing w:after="0"/>
            </w:pPr>
            <w:r>
              <w:rPr>
                <w:sz w:val="15"/>
              </w:rPr>
              <w:t>Google Gemini 3.6 Flash, google-genai SDK</w:t>
            </w:r>
          </w:p>
        </w:tc>
        <w:tc>
          <w:tcPr>
            <w:tcW w:type="dxa" w:w="5040"/>
            <w:tcMar>
              <w:top w:w="30" w:type="dxa"/>
              <w:bottom w:w="30" w:type="dxa"/>
              <w:left w:w="55" w:type="dxa"/>
              <w:right w:w="55" w:type="dxa"/>
            </w:tcMar>
            <w:shd w:fill="f8fafc"/>
          </w:tcPr>
          <w:p>
            <w:pPr>
              <w:spacing w:after="0"/>
            </w:pPr>
            <w:r>
              <w:rPr>
                <w:sz w:val="15"/>
              </w:rPr>
              <w:t>Autonomous reasoning, margin-aware strategy synthesis, multilingual translation &amp; localized voiceover</w:t>
            </w:r>
          </w:p>
        </w:tc>
      </w:tr>
    </w:tbl>
    <w:p>
      <w:r>
        <w:br w:type="page"/>
      </w:r>
    </w:p>
    <w:p>
      <w:pPr>
        <w:spacing w:before="140" w:after="40"/>
      </w:pPr>
      <w:r>
        <w:rPr>
          <w:b/>
          <w:color w:val="165823"/>
          <w:sz w:val="23"/>
        </w:rPr>
        <w:t>3. End-to-End Agent Working Mechanism &amp; Execution Flow</w:t>
      </w:r>
    </w:p>
    <w:p>
      <w:pPr>
        <w:spacing w:after="60" w:line="276" w:lineRule="auto"/>
      </w:pPr>
      <w:r>
        <w:rPr>
          <w:sz w:val="18"/>
        </w:rPr>
        <w:t>MarketPilot AI does not operate as a single prompt-response wrapper. Instead, it executes a continuous, deterministic 5-stage orchestration pipeline that transforms raw commercial inputs into compliant, multi-channel marketing campaigns:</w:t>
      </w:r>
    </w:p>
    <w:p>
      <w:pPr>
        <w:spacing w:before="100" w:after="20"/>
      </w:pPr>
      <w:r>
        <w:rPr>
          <w:b/>
          <w:color w:val="0F172A"/>
          <w:sz w:val="20"/>
        </w:rPr>
        <w:t>Stage 1: Catalog Ingestion &amp; Unit Economics Classification</w:t>
      </w:r>
    </w:p>
    <w:p>
      <w:pPr>
        <w:spacing w:after="60" w:line="276" w:lineRule="auto"/>
      </w:pPr>
      <w:r>
        <w:rPr>
          <w:sz w:val="18"/>
        </w:rPr>
        <w:t>The agent ingests merchant product catalogs through CSV batch import or manual entry. Upon catalog persistence in Supabase, the agent's Unit Economics Engine immediately computes gross margin percentages for every SKU: Margin = ((Retail Price - Cost Price) / Retail Price) * 100. Products are automatically segmented into three tiers: High-Margin Hero SKUs (&gt;65%), Medium-Margin Volume Drivers (40–65%), and Low-Margin Clearance SKUs (&lt;40%). The agent dynamically prioritizes ad spend allocation and viral creative ideation exclusively on High-Margin items to ensure profitability.</w:t>
      </w:r>
    </w:p>
    <w:p>
      <w:pPr>
        <w:spacing w:before="100" w:after="20"/>
      </w:pPr>
      <w:r>
        <w:rPr>
          <w:b/>
          <w:color w:val="0F172A"/>
          <w:sz w:val="20"/>
        </w:rPr>
        <w:t>Stage 2: Live Virality Radar &amp; Trend Ingestion</w:t>
      </w:r>
    </w:p>
    <w:p>
      <w:pPr>
        <w:spacing w:after="60" w:line="276" w:lineRule="auto"/>
      </w:pPr>
      <w:r>
        <w:rPr>
          <w:sz w:val="18"/>
        </w:rPr>
        <w:t>Rather than relying on static training data cutoffs, the agent actively polls live search velocity feeds, trending hashtags, and consumer queries. Each detected trend is scored by the agent on a 0–100% Virality Confidence scale based on engagement acceleration and search volume. The agent's Semantic Matcher maps trending angles (e.g., '#EcoLiving', '#DeskSetupHacks') directly to relevant product catalog items.</w:t>
      </w:r>
    </w:p>
    <w:p>
      <w:pPr>
        <w:spacing w:before="100" w:after="20"/>
      </w:pPr>
      <w:r>
        <w:rPr>
          <w:b/>
          <w:color w:val="0F172A"/>
          <w:sz w:val="20"/>
        </w:rPr>
        <w:t>Stage 3: Grounded Context Assembly &amp; Prompt Synthesis</w:t>
      </w:r>
    </w:p>
    <w:p>
      <w:pPr>
        <w:spacing w:after="60" w:line="276" w:lineRule="auto"/>
      </w:pPr>
      <w:r>
        <w:rPr>
          <w:sz w:val="18"/>
        </w:rPr>
        <w:t>Before communicating with Google Gemini, the agent constructs a deterministic Grounded Context Payload. This payload encapsulates: (1) Active SKU specifications, features, and pain points; (2) Unit margin tier and commercial offer constraints; (3) Merchant brand tone traits (e.g., 'Witty', 'Urgent', 'Professional'); (4) Prohibited regulatory keywords; and (5) Selected viral trend hooks. This prevents the LLM from hallucinating ungrounded product claims or inventing non-existent discounts.</w:t>
      </w:r>
    </w:p>
    <w:p>
      <w:pPr>
        <w:spacing w:before="100" w:after="20"/>
      </w:pPr>
      <w:r>
        <w:rPr>
          <w:b/>
          <w:color w:val="0F172A"/>
          <w:sz w:val="20"/>
        </w:rPr>
        <w:t>Stage 4: Multi-Channel Structured Generation Engine</w:t>
      </w:r>
    </w:p>
    <w:p>
      <w:pPr>
        <w:spacing w:after="60" w:line="276" w:lineRule="auto"/>
      </w:pPr>
      <w:r>
        <w:rPr>
          <w:sz w:val="18"/>
        </w:rPr>
        <w:t>The agent invokes Google Gemini 3.6 Flash using strict Pydantic JSON schemas to generate platform-native collateral across 5 channels simultaneously:</w:t>
      </w:r>
    </w:p>
    <w:p>
      <w:pPr>
        <w:spacing w:before="0" w:after="40" w:line="269" w:lineRule="auto"/>
      </w:pPr>
      <w:r>
        <w:rPr>
          <w:b/>
          <w:color w:val="0F172A"/>
          <w:sz w:val="18"/>
        </w:rPr>
        <w:t xml:space="preserve">• TikTok &amp; Reel Video Scripts: </w:t>
      </w:r>
      <w:r>
        <w:rPr>
          <w:sz w:val="18"/>
        </w:rPr>
        <w:t>Outputs structured scripts containing 3-second hook cues, split-screen visual directions, on-screen text overlays, and spoken audio scripts optimized for viral retention.</w:t>
      </w:r>
    </w:p>
    <w:p>
      <w:pPr>
        <w:spacing w:before="0" w:after="40" w:line="269" w:lineRule="auto"/>
      </w:pPr>
      <w:r>
        <w:rPr>
          <w:b/>
          <w:color w:val="0F172A"/>
          <w:sz w:val="18"/>
        </w:rPr>
        <w:t xml:space="preserve">• Direct-Response Paid Ads: </w:t>
      </w:r>
      <w:r>
        <w:rPr>
          <w:sz w:val="18"/>
        </w:rPr>
        <w:t>Produces high-converting ad copy (Primary Text, Headline, Description, Call-to-Action) adhering to Meta and Google Ads performance benchmarks.</w:t>
      </w:r>
    </w:p>
    <w:p>
      <w:pPr>
        <w:spacing w:before="0" w:after="40" w:line="269" w:lineRule="auto"/>
      </w:pPr>
      <w:r>
        <w:rPr>
          <w:b/>
          <w:color w:val="0F172A"/>
          <w:sz w:val="18"/>
        </w:rPr>
        <w:t xml:space="preserve">• Instagram Educational Carousels: </w:t>
      </w:r>
      <w:r>
        <w:rPr>
          <w:sz w:val="18"/>
        </w:rPr>
        <w:t>Generates slide-by-slide narrative frameworks (Slide 1 Hook, Slides 2–4 Value &amp; Pain Point Resolution, Slide 5 Offer CTA).</w:t>
      </w:r>
    </w:p>
    <w:p>
      <w:pPr>
        <w:spacing w:before="0" w:after="40" w:line="269" w:lineRule="auto"/>
      </w:pPr>
      <w:r>
        <w:rPr>
          <w:b/>
          <w:color w:val="0F172A"/>
          <w:sz w:val="18"/>
        </w:rPr>
        <w:t xml:space="preserve">• VIP WhatsApp &amp; SMS Broadcasts: </w:t>
      </w:r>
      <w:r>
        <w:rPr>
          <w:sz w:val="18"/>
        </w:rPr>
        <w:t>Creates 1-click broadcast messages formatted with emojis, urgency cues, and personalized discount codes for high-converting customer lists.</w:t>
      </w:r>
    </w:p>
    <w:p>
      <w:pPr>
        <w:spacing w:before="0" w:after="40" w:line="269" w:lineRule="auto"/>
      </w:pPr>
      <w:r>
        <w:rPr>
          <w:b/>
          <w:color w:val="0F172A"/>
          <w:sz w:val="18"/>
        </w:rPr>
        <w:t xml:space="preserve">• Customer Retention Newsletters: </w:t>
      </w:r>
      <w:r>
        <w:rPr>
          <w:sz w:val="18"/>
        </w:rPr>
        <w:t>Structures subject lines, preview text, personal narrative hooks, product highlights, and direct checkout links.</w:t>
      </w:r>
    </w:p>
    <w:p>
      <w:pPr>
        <w:spacing w:before="100" w:after="20"/>
      </w:pPr>
      <w:r>
        <w:rPr>
          <w:b/>
          <w:color w:val="0F172A"/>
          <w:sz w:val="20"/>
        </w:rPr>
        <w:t>Stage 5: Localized Multilingual Adaptation (Urdu &amp; Target Market Voice-Over)</w:t>
      </w:r>
    </w:p>
    <w:p>
      <w:pPr>
        <w:spacing w:after="60" w:line="276" w:lineRule="auto"/>
      </w:pPr>
      <w:r>
        <w:rPr>
          <w:sz w:val="18"/>
        </w:rPr>
        <w:t>A standout capability developed for global e-commerce is the agent's Regional Localization Engine. In addition to English video scripts, the agent automatically synthesizes natural, idiomatic voice-over scripts in the merchant's target market national language (e.g., Urdu for Pakistan, Arabic for UAE/Saudi Arabia). Rather than literal robotic translation, the agent employs conversational, culturally resonant phrasing designed specifically for local audio narration and social commerce conversion.</w:t>
      </w:r>
    </w:p>
    <w:tbl>
      <w:tblPr>
        <w:tblW w:type="auto" w:w="0"/>
        <w:jc w:val="center"/>
        <w:tblLook w:firstColumn="1" w:firstRow="1" w:lastColumn="0" w:lastRow="0" w:noHBand="0" w:noVBand="1" w:val="04A0"/>
      </w:tblPr>
      <w:tblGrid>
        <w:gridCol w:w="10368"/>
      </w:tblGrid>
      <w:tr>
        <w:tc>
          <w:tcPr>
            <w:tcW w:type="dxa" w:w="10368"/>
            <w:shd w:fill="ecfdf5"/>
            <w:tcMar>
              <w:top w:w="60" w:type="dxa"/>
              <w:bottom w:w="60" w:type="dxa"/>
              <w:left w:w="100" w:type="dxa"/>
              <w:right w:w="100" w:type="dxa"/>
            </w:tcMar>
          </w:tcPr>
          <w:p>
            <w:pPr>
              <w:spacing w:after="20"/>
            </w:pPr>
            <w:r>
              <w:rPr>
                <w:b/>
                <w:color w:val="165823"/>
                <w:sz w:val="17"/>
              </w:rPr>
              <w:t xml:space="preserve">Autonomous Daily Copilot ('What to Post Today'): </w:t>
            </w:r>
            <w:r>
              <w:rPr>
                <w:sz w:val="17"/>
              </w:rPr>
              <w:t>Upon merchant login, the agent autonomously evaluates the current day of the week, seasonality, and catalog margins to proactively suggest the single highest-leverage marketing action for the day without requiring any prompt input from the user.</w:t>
            </w:r>
          </w:p>
        </w:tc>
      </w:tr>
    </w:tbl>
    <w:p>
      <w:r>
        <w:br w:type="page"/>
      </w:r>
    </w:p>
    <w:p>
      <w:pPr>
        <w:spacing w:before="140" w:after="40"/>
      </w:pPr>
      <w:r>
        <w:rPr>
          <w:b/>
          <w:color w:val="165823"/>
          <w:sz w:val="23"/>
        </w:rPr>
        <w:t>4. What Made It an 'Agent' vs. a Traditional LLM?</w:t>
      </w:r>
    </w:p>
    <w:p>
      <w:pPr>
        <w:spacing w:after="60" w:line="276" w:lineRule="auto"/>
      </w:pPr>
      <w:r>
        <w:rPr>
          <w:sz w:val="18"/>
        </w:rPr>
        <w:t>One of the most critical conceptual distinctions in modern artificial intelligence is the difference between a Foundational Large Language Model (LLM) and an Autonomous AI Agent. In academic and industrial AI systems, an LLM is simply a next-token prediction engine, whereas an Agent is a goal-directed system that perceives its environment, maintains internal state, reasons against utility functions, and executes actions.</w:t>
      </w:r>
    </w:p>
    <w:p>
      <w:pPr>
        <w:spacing w:before="100" w:after="20"/>
      </w:pPr>
      <w:r>
        <w:rPr>
          <w:b/>
          <w:color w:val="0F172A"/>
          <w:sz w:val="20"/>
        </w:rPr>
        <w:t>The Theoretical Agent Framework: The Perception-Reasoning-Action (PRA) Loop</w:t>
      </w:r>
    </w:p>
    <w:p>
      <w:pPr>
        <w:spacing w:after="60" w:line="276" w:lineRule="auto"/>
      </w:pPr>
      <w:r>
        <w:rPr>
          <w:sz w:val="18"/>
        </w:rPr>
        <w:t>MarketPilot AI implements the classic Russell &amp; Norvig definition of an Intelligent Agent through a closed-loop PRA architecture:</w:t>
      </w:r>
    </w:p>
    <w:p>
      <w:pPr>
        <w:spacing w:before="0" w:after="40" w:line="269" w:lineRule="auto"/>
      </w:pPr>
      <w:r>
        <w:rPr>
          <w:b/>
          <w:color w:val="0F172A"/>
          <w:sz w:val="18"/>
        </w:rPr>
        <w:t xml:space="preserve">• Perception (Environment Sensing): </w:t>
      </w:r>
      <w:r>
        <w:rPr>
          <w:sz w:val="18"/>
        </w:rPr>
        <w:t>The agent perceives internal store state (SKUs, inventory levels, cost/retail margins, brand kit parameters) and external environmental signals (live viral trends, regional language requirements, date/seasonality).</w:t>
      </w:r>
    </w:p>
    <w:p>
      <w:pPr>
        <w:spacing w:before="0" w:after="40" w:line="269" w:lineRule="auto"/>
      </w:pPr>
      <w:r>
        <w:rPr>
          <w:b/>
          <w:color w:val="0F172A"/>
          <w:sz w:val="18"/>
        </w:rPr>
        <w:t xml:space="preserve">• Reasoning &amp; Utility Maximization: </w:t>
      </w:r>
      <w:r>
        <w:rPr>
          <w:sz w:val="18"/>
        </w:rPr>
        <w:t>Unlike a passive LLM that generates text regardless of business consequence, MarketPilot AI optimizes an explicit objective function: Maximizing Net Profit Margin while minimizing regulatory and brand risk.</w:t>
      </w:r>
    </w:p>
    <w:p>
      <w:pPr>
        <w:spacing w:before="0" w:after="40" w:line="269" w:lineRule="auto"/>
      </w:pPr>
      <w:r>
        <w:rPr>
          <w:b/>
          <w:color w:val="0F172A"/>
          <w:sz w:val="18"/>
        </w:rPr>
        <w:t xml:space="preserve">• Action (Environment Modification): </w:t>
      </w:r>
      <w:r>
        <w:rPr>
          <w:sz w:val="18"/>
        </w:rPr>
        <w:t>The agent modifies its environment by generating formatted multi-channel marketing campaigns, updating workspace database state, and delivering executable assets to merchants.</w:t>
      </w:r>
    </w:p>
    <w:p>
      <w:pPr>
        <w:spacing w:before="0" w:after="40" w:line="269" w:lineRule="auto"/>
      </w:pPr>
      <w:r>
        <w:rPr>
          <w:b/>
          <w:color w:val="0F172A"/>
          <w:sz w:val="18"/>
        </w:rPr>
        <w:t xml:space="preserve">• Memory &amp; Persistence: </w:t>
      </w:r>
      <w:r>
        <w:rPr>
          <w:sz w:val="18"/>
        </w:rPr>
        <w:t>Traditional LLMs suffer from complete amnesia between stateless sessions. MarketPilot AI maintains persistent memory via Supabase PostgreSQL, retaining catalog records, brand voice parameters, and user preferences across logins.</w:t>
      </w:r>
    </w:p>
    <w:p>
      <w:pPr>
        <w:spacing w:before="100" w:after="20"/>
      </w:pPr>
      <w:r>
        <w:rPr>
          <w:b/>
          <w:color w:val="0F172A"/>
          <w:sz w:val="20"/>
        </w:rPr>
        <w:t>Direct Architectural Comparison Matrix</w:t>
      </w:r>
    </w:p>
    <w:p>
      <w:pPr>
        <w:spacing w:after="60" w:line="276" w:lineRule="auto"/>
      </w:pPr>
      <w:r>
        <w:rPr>
          <w:sz w:val="18"/>
        </w:rPr>
        <w:t>The following matrix summarizes the fundamental engineering differences between a standard LLM chat interface and the MarketPilot AI Agent: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456"/>
        <w:gridCol w:w="3456"/>
        <w:gridCol w:w="3456"/>
      </w:tblGrid>
      <w:tr>
        <w:tc>
          <w:tcPr>
            <w:tcW w:type="dxa" w:w="2160"/>
            <w:tcMar>
              <w:top w:w="30" w:type="dxa"/>
              <w:bottom w:w="30" w:type="dxa"/>
              <w:left w:w="45" w:type="dxa"/>
              <w:right w:w="45" w:type="dxa"/>
            </w:tcMar>
            <w:shd w:fill="0f172a"/>
          </w:tcPr>
          <w:p>
            <w:pPr>
              <w:spacing w:after="0"/>
            </w:pPr>
            <w:r>
              <w:rPr>
                <w:b/>
                <w:color w:val="FFFFFF"/>
                <w:sz w:val="16"/>
              </w:rPr>
              <w:t>Architectural Dimension</w:t>
            </w:r>
          </w:p>
        </w:tc>
        <w:tc>
          <w:tcPr>
            <w:tcW w:type="dxa" w:w="3888"/>
            <w:tcMar>
              <w:top w:w="30" w:type="dxa"/>
              <w:bottom w:w="30" w:type="dxa"/>
              <w:left w:w="45" w:type="dxa"/>
              <w:right w:w="45" w:type="dxa"/>
            </w:tcMar>
            <w:shd w:fill="0f172a"/>
          </w:tcPr>
          <w:p>
            <w:pPr>
              <w:spacing w:after="0"/>
            </w:pPr>
            <w:r>
              <w:rPr>
                <w:b/>
                <w:color w:val="FFFFFF"/>
                <w:sz w:val="16"/>
              </w:rPr>
              <w:t>Traditional LLM (e.g. ChatGPT)</w:t>
            </w:r>
          </w:p>
        </w:tc>
        <w:tc>
          <w:tcPr>
            <w:tcW w:type="dxa" w:w="4320"/>
            <w:tcMar>
              <w:top w:w="30" w:type="dxa"/>
              <w:bottom w:w="30" w:type="dxa"/>
              <w:left w:w="45" w:type="dxa"/>
              <w:right w:w="45" w:type="dxa"/>
            </w:tcMar>
            <w:shd w:fill="0f172a"/>
          </w:tcPr>
          <w:p>
            <w:pPr>
              <w:spacing w:after="0"/>
            </w:pPr>
            <w:r>
              <w:rPr>
                <w:b/>
                <w:color w:val="FFFFFF"/>
                <w:sz w:val="16"/>
              </w:rPr>
              <w:t>MarketPilot AI Autonomous Agent</w:t>
            </w:r>
          </w:p>
        </w:tc>
      </w:tr>
      <w:tr>
        <w:tc>
          <w:tcPr>
            <w:tcW w:type="dxa" w:w="2160"/>
            <w:tcMar>
              <w:top w:w="30" w:type="dxa"/>
              <w:bottom w:w="30" w:type="dxa"/>
              <w:left w:w="45" w:type="dxa"/>
              <w:right w:w="45" w:type="dxa"/>
            </w:tcMar>
            <w:shd w:fill="ffffff"/>
          </w:tcPr>
          <w:p>
            <w:pPr>
              <w:spacing w:after="0"/>
            </w:pPr>
            <w:r>
              <w:rPr>
                <w:b/>
                <w:sz w:val="14"/>
              </w:rPr>
              <w:t>Operational Initiation</w:t>
            </w:r>
          </w:p>
        </w:tc>
        <w:tc>
          <w:tcPr>
            <w:tcW w:type="dxa" w:w="3888"/>
            <w:tcMar>
              <w:top w:w="30" w:type="dxa"/>
              <w:bottom w:w="30" w:type="dxa"/>
              <w:left w:w="45" w:type="dxa"/>
              <w:right w:w="45" w:type="dxa"/>
            </w:tcMar>
            <w:shd w:fill="ffffff"/>
          </w:tcPr>
          <w:p>
            <w:pPr>
              <w:spacing w:after="0"/>
            </w:pPr>
            <w:r>
              <w:rPr>
                <w:sz w:val="14"/>
              </w:rPr>
              <w:t>Passive / Reactive: Waits for human user to manually write, refine, and engineer prompts.</w:t>
            </w:r>
          </w:p>
        </w:tc>
        <w:tc>
          <w:tcPr>
            <w:tcW w:type="dxa" w:w="4320"/>
            <w:tcMar>
              <w:top w:w="30" w:type="dxa"/>
              <w:bottom w:w="30" w:type="dxa"/>
              <w:left w:w="45" w:type="dxa"/>
              <w:right w:w="45" w:type="dxa"/>
            </w:tcMar>
            <w:shd w:fill="ffffff"/>
          </w:tcPr>
          <w:p>
            <w:pPr>
              <w:spacing w:after="0"/>
            </w:pPr>
            <w:r>
              <w:rPr>
                <w:color w:val="165823"/>
                <w:sz w:val="14"/>
              </w:rPr>
              <w:t>Active / Proactive: Automatically evaluates store state on login and prescribes daily actions.</w:t>
            </w:r>
          </w:p>
        </w:tc>
      </w:tr>
      <w:tr>
        <w:tc>
          <w:tcPr>
            <w:tcW w:type="dxa" w:w="2160"/>
            <w:tcMar>
              <w:top w:w="30" w:type="dxa"/>
              <w:bottom w:w="30" w:type="dxa"/>
              <w:left w:w="45" w:type="dxa"/>
              <w:right w:w="45" w:type="dxa"/>
            </w:tcMar>
            <w:shd w:fill="f8fafc"/>
          </w:tcPr>
          <w:p>
            <w:pPr>
              <w:spacing w:after="0"/>
            </w:pPr>
            <w:r>
              <w:rPr>
                <w:b/>
                <w:sz w:val="14"/>
              </w:rPr>
              <w:t>Financial Awareness</w:t>
            </w:r>
          </w:p>
        </w:tc>
        <w:tc>
          <w:tcPr>
            <w:tcW w:type="dxa" w:w="3888"/>
            <w:tcMar>
              <w:top w:w="30" w:type="dxa"/>
              <w:bottom w:w="30" w:type="dxa"/>
              <w:left w:w="45" w:type="dxa"/>
              <w:right w:w="45" w:type="dxa"/>
            </w:tcMar>
            <w:shd w:fill="f8fafc"/>
          </w:tcPr>
          <w:p>
            <w:pPr>
              <w:spacing w:after="0"/>
            </w:pPr>
            <w:r>
              <w:rPr>
                <w:sz w:val="14"/>
              </w:rPr>
              <w:t>Zero Margin Context: Cannot determine if product has 10% or 80% margin. Promotes low-margin items.</w:t>
            </w:r>
          </w:p>
        </w:tc>
        <w:tc>
          <w:tcPr>
            <w:tcW w:type="dxa" w:w="4320"/>
            <w:tcMar>
              <w:top w:w="30" w:type="dxa"/>
              <w:bottom w:w="30" w:type="dxa"/>
              <w:left w:w="45" w:type="dxa"/>
              <w:right w:w="45" w:type="dxa"/>
            </w:tcMar>
            <w:shd w:fill="f8fafc"/>
          </w:tcPr>
          <w:p>
            <w:pPr>
              <w:spacing w:after="0"/>
            </w:pPr>
            <w:r>
              <w:rPr>
                <w:color w:val="165823"/>
                <w:sz w:val="14"/>
              </w:rPr>
              <w:t>Unit Economics Engine: Evaluates gross margins and restricts ad spend to High-Margin Hero SKUs.</w:t>
            </w:r>
          </w:p>
        </w:tc>
      </w:tr>
      <w:tr>
        <w:tc>
          <w:tcPr>
            <w:tcW w:type="dxa" w:w="2160"/>
            <w:tcMar>
              <w:top w:w="30" w:type="dxa"/>
              <w:bottom w:w="30" w:type="dxa"/>
              <w:left w:w="45" w:type="dxa"/>
              <w:right w:w="45" w:type="dxa"/>
            </w:tcMar>
            <w:shd w:fill="ffffff"/>
          </w:tcPr>
          <w:p>
            <w:pPr>
              <w:spacing w:after="0"/>
            </w:pPr>
            <w:r>
              <w:rPr>
                <w:b/>
                <w:sz w:val="14"/>
              </w:rPr>
              <w:t>State &amp; Memory</w:t>
            </w:r>
          </w:p>
        </w:tc>
        <w:tc>
          <w:tcPr>
            <w:tcW w:type="dxa" w:w="3888"/>
            <w:tcMar>
              <w:top w:w="30" w:type="dxa"/>
              <w:bottom w:w="30" w:type="dxa"/>
              <w:left w:w="45" w:type="dxa"/>
              <w:right w:w="45" w:type="dxa"/>
            </w:tcMar>
            <w:shd w:fill="ffffff"/>
          </w:tcPr>
          <w:p>
            <w:pPr>
              <w:spacing w:after="0"/>
            </w:pPr>
            <w:r>
              <w:rPr>
                <w:sz w:val="14"/>
              </w:rPr>
              <w:t>Stateless / Ephemeral: Session context resets upon closing chat window. No database binding.</w:t>
            </w:r>
          </w:p>
        </w:tc>
        <w:tc>
          <w:tcPr>
            <w:tcW w:type="dxa" w:w="4320"/>
            <w:tcMar>
              <w:top w:w="30" w:type="dxa"/>
              <w:bottom w:w="30" w:type="dxa"/>
              <w:left w:w="45" w:type="dxa"/>
              <w:right w:w="45" w:type="dxa"/>
            </w:tcMar>
            <w:shd w:fill="ffffff"/>
          </w:tcPr>
          <w:p>
            <w:pPr>
              <w:spacing w:after="0"/>
            </w:pPr>
            <w:r>
              <w:rPr>
                <w:color w:val="165823"/>
                <w:sz w:val="14"/>
              </w:rPr>
              <w:t>Persistent Enterprise State: Stores catalog, margins, and brand guidelines in Supabase PostgreSQL.</w:t>
            </w:r>
          </w:p>
        </w:tc>
      </w:tr>
      <w:tr>
        <w:tc>
          <w:tcPr>
            <w:tcW w:type="dxa" w:w="2160"/>
            <w:tcMar>
              <w:top w:w="30" w:type="dxa"/>
              <w:bottom w:w="30" w:type="dxa"/>
              <w:left w:w="45" w:type="dxa"/>
              <w:right w:w="45" w:type="dxa"/>
            </w:tcMar>
            <w:shd w:fill="f8fafc"/>
          </w:tcPr>
          <w:p>
            <w:pPr>
              <w:spacing w:after="0"/>
            </w:pPr>
            <w:r>
              <w:rPr>
                <w:b/>
                <w:sz w:val="14"/>
              </w:rPr>
              <w:t>Live Trend Grounding</w:t>
            </w:r>
          </w:p>
        </w:tc>
        <w:tc>
          <w:tcPr>
            <w:tcW w:type="dxa" w:w="3888"/>
            <w:tcMar>
              <w:top w:w="30" w:type="dxa"/>
              <w:bottom w:w="30" w:type="dxa"/>
              <w:left w:w="45" w:type="dxa"/>
              <w:right w:w="45" w:type="dxa"/>
            </w:tcMar>
            <w:shd w:fill="f8fafc"/>
          </w:tcPr>
          <w:p>
            <w:pPr>
              <w:spacing w:after="0"/>
            </w:pPr>
            <w:r>
              <w:rPr>
                <w:sz w:val="14"/>
              </w:rPr>
              <w:t>Static Training Cutoff: Prone to hallucinating trends or referencing outdated cultural memes.</w:t>
            </w:r>
          </w:p>
        </w:tc>
        <w:tc>
          <w:tcPr>
            <w:tcW w:type="dxa" w:w="4320"/>
            <w:tcMar>
              <w:top w:w="30" w:type="dxa"/>
              <w:bottom w:w="30" w:type="dxa"/>
              <w:left w:w="45" w:type="dxa"/>
              <w:right w:w="45" w:type="dxa"/>
            </w:tcMar>
            <w:shd w:fill="f8fafc"/>
          </w:tcPr>
          <w:p>
            <w:pPr>
              <w:spacing w:after="0"/>
            </w:pPr>
            <w:r>
              <w:rPr>
                <w:color w:val="165823"/>
                <w:sz w:val="14"/>
              </w:rPr>
              <w:t>Live Trend Radar: Ingests real-time search trends and assigns algorithmic virality scores.</w:t>
            </w:r>
          </w:p>
        </w:tc>
      </w:tr>
      <w:tr>
        <w:tc>
          <w:tcPr>
            <w:tcW w:type="dxa" w:w="2160"/>
            <w:tcMar>
              <w:top w:w="30" w:type="dxa"/>
              <w:bottom w:w="30" w:type="dxa"/>
              <w:left w:w="45" w:type="dxa"/>
              <w:right w:w="45" w:type="dxa"/>
            </w:tcMar>
            <w:shd w:fill="ffffff"/>
          </w:tcPr>
          <w:p>
            <w:pPr>
              <w:spacing w:after="0"/>
            </w:pPr>
            <w:r>
              <w:rPr>
                <w:b/>
                <w:sz w:val="14"/>
              </w:rPr>
              <w:t>Safety &amp; Compliance</w:t>
            </w:r>
          </w:p>
        </w:tc>
        <w:tc>
          <w:tcPr>
            <w:tcW w:type="dxa" w:w="3888"/>
            <w:tcMar>
              <w:top w:w="30" w:type="dxa"/>
              <w:bottom w:w="30" w:type="dxa"/>
              <w:left w:w="45" w:type="dxa"/>
              <w:right w:w="45" w:type="dxa"/>
            </w:tcMar>
            <w:shd w:fill="ffffff"/>
          </w:tcPr>
          <w:p>
            <w:pPr>
              <w:spacing w:after="0"/>
            </w:pPr>
            <w:r>
              <w:rPr>
                <w:sz w:val="14"/>
              </w:rPr>
              <w:t>Soft Probabilistic Prompting: Easily bypassed; frequently generates forbidden medical/guarantee claims.</w:t>
            </w:r>
          </w:p>
        </w:tc>
        <w:tc>
          <w:tcPr>
            <w:tcW w:type="dxa" w:w="4320"/>
            <w:tcMar>
              <w:top w:w="30" w:type="dxa"/>
              <w:bottom w:w="30" w:type="dxa"/>
              <w:left w:w="45" w:type="dxa"/>
              <w:right w:w="45" w:type="dxa"/>
            </w:tcMar>
            <w:shd w:fill="ffffff"/>
          </w:tcPr>
          <w:p>
            <w:pPr>
              <w:spacing w:after="0"/>
            </w:pPr>
            <w:r>
              <w:rPr>
                <w:color w:val="165823"/>
                <w:sz w:val="14"/>
              </w:rPr>
              <w:t>Deterministic Policy Filter: Validates all generated copy against brand rules before display.</w:t>
            </w:r>
          </w:p>
        </w:tc>
      </w:tr>
      <w:tr>
        <w:tc>
          <w:tcPr>
            <w:tcW w:type="dxa" w:w="2160"/>
            <w:tcMar>
              <w:top w:w="30" w:type="dxa"/>
              <w:bottom w:w="30" w:type="dxa"/>
              <w:left w:w="45" w:type="dxa"/>
              <w:right w:w="45" w:type="dxa"/>
            </w:tcMar>
            <w:shd w:fill="f8fafc"/>
          </w:tcPr>
          <w:p>
            <w:pPr>
              <w:spacing w:after="0"/>
            </w:pPr>
            <w:r>
              <w:rPr>
                <w:b/>
                <w:sz w:val="14"/>
              </w:rPr>
              <w:t>Output Structure</w:t>
            </w:r>
          </w:p>
        </w:tc>
        <w:tc>
          <w:tcPr>
            <w:tcW w:type="dxa" w:w="3888"/>
            <w:tcMar>
              <w:top w:w="30" w:type="dxa"/>
              <w:bottom w:w="30" w:type="dxa"/>
              <w:left w:w="45" w:type="dxa"/>
              <w:right w:w="45" w:type="dxa"/>
            </w:tcMar>
            <w:shd w:fill="f8fafc"/>
          </w:tcPr>
          <w:p>
            <w:pPr>
              <w:spacing w:after="0"/>
            </w:pPr>
            <w:r>
              <w:rPr>
                <w:sz w:val="14"/>
              </w:rPr>
              <w:t>Unstructured Markdown: Generates loose prose requiring manual copy-pasting and formatting.</w:t>
            </w:r>
          </w:p>
        </w:tc>
        <w:tc>
          <w:tcPr>
            <w:tcW w:type="dxa" w:w="4320"/>
            <w:tcMar>
              <w:top w:w="30" w:type="dxa"/>
              <w:bottom w:w="30" w:type="dxa"/>
              <w:left w:w="45" w:type="dxa"/>
              <w:right w:w="45" w:type="dxa"/>
            </w:tcMar>
            <w:shd w:fill="f8fafc"/>
          </w:tcPr>
          <w:p>
            <w:pPr>
              <w:spacing w:after="0"/>
            </w:pPr>
            <w:r>
              <w:rPr>
                <w:color w:val="165823"/>
                <w:sz w:val="14"/>
              </w:rPr>
              <w:t>Structured JSON Payloads: Delivers multi-channel assets with timestamped audio/visual scripts.</w:t>
            </w:r>
          </w:p>
        </w:tc>
      </w:tr>
      <w:tr>
        <w:tc>
          <w:tcPr>
            <w:tcW w:type="dxa" w:w="2160"/>
            <w:tcMar>
              <w:top w:w="30" w:type="dxa"/>
              <w:bottom w:w="30" w:type="dxa"/>
              <w:left w:w="45" w:type="dxa"/>
              <w:right w:w="45" w:type="dxa"/>
            </w:tcMar>
            <w:shd w:fill="ffffff"/>
          </w:tcPr>
          <w:p>
            <w:pPr>
              <w:spacing w:after="0"/>
            </w:pPr>
            <w:r>
              <w:rPr>
                <w:b/>
                <w:sz w:val="14"/>
              </w:rPr>
              <w:t>Language Localization</w:t>
            </w:r>
          </w:p>
        </w:tc>
        <w:tc>
          <w:tcPr>
            <w:tcW w:type="dxa" w:w="3888"/>
            <w:tcMar>
              <w:top w:w="30" w:type="dxa"/>
              <w:bottom w:w="30" w:type="dxa"/>
              <w:left w:w="45" w:type="dxa"/>
              <w:right w:w="45" w:type="dxa"/>
            </w:tcMar>
            <w:shd w:fill="ffffff"/>
          </w:tcPr>
          <w:p>
            <w:pPr>
              <w:spacing w:after="0"/>
            </w:pPr>
            <w:r>
              <w:rPr>
                <w:sz w:val="14"/>
              </w:rPr>
              <w:t>Generic Translation: Produces formal, stiff, and unnatural non-English text.</w:t>
            </w:r>
          </w:p>
        </w:tc>
        <w:tc>
          <w:tcPr>
            <w:tcW w:type="dxa" w:w="4320"/>
            <w:tcMar>
              <w:top w:w="30" w:type="dxa"/>
              <w:bottom w:w="30" w:type="dxa"/>
              <w:left w:w="45" w:type="dxa"/>
              <w:right w:w="45" w:type="dxa"/>
            </w:tcMar>
            <w:shd w:fill="ffffff"/>
          </w:tcPr>
          <w:p>
            <w:pPr>
              <w:spacing w:after="0"/>
            </w:pPr>
            <w:r>
              <w:rPr>
                <w:color w:val="165823"/>
                <w:sz w:val="14"/>
              </w:rPr>
              <w:t>Culturally Tuned Voiceover: Generates natural, idiomatically fluent regional scripts (Urdu, etc.).</w:t>
            </w:r>
          </w:p>
        </w:tc>
      </w:tr>
    </w:tbl>
    <w:p>
      <w:r>
        <w:br w:type="page"/>
      </w:r>
    </w:p>
    <w:p>
      <w:pPr>
        <w:spacing w:before="140" w:after="40"/>
      </w:pPr>
      <w:r>
        <w:rPr>
          <w:b/>
          <w:color w:val="165823"/>
          <w:sz w:val="23"/>
        </w:rPr>
        <w:t>5. AI Models, Reasoning Pipeline &amp; Guardrail Engineering</w:t>
      </w:r>
    </w:p>
    <w:p>
      <w:pPr>
        <w:spacing w:after="60" w:line="276" w:lineRule="auto"/>
      </w:pPr>
      <w:r>
        <w:rPr>
          <w:sz w:val="18"/>
        </w:rPr>
        <w:t>The intelligence tier of MarketPilot AI relies on a finely calibrated foundation model combined with deterministic software engineering techniques to guarantee sub-second latency, structured outputs, and brand compliance.</w:t>
      </w:r>
    </w:p>
    <w:p>
      <w:pPr>
        <w:spacing w:before="100" w:after="20"/>
      </w:pPr>
      <w:r>
        <w:rPr>
          <w:b/>
          <w:color w:val="0F172A"/>
          <w:sz w:val="20"/>
        </w:rPr>
        <w:t>Foundation Model Selection: Google Gemini 3.6 Flash</w:t>
      </w:r>
    </w:p>
    <w:p>
      <w:pPr>
        <w:spacing w:after="60" w:line="276" w:lineRule="auto"/>
      </w:pPr>
      <w:r>
        <w:rPr>
          <w:sz w:val="18"/>
        </w:rPr>
        <w:t>MarketPilot AI integrates Google Gemini 3.6 Flash as its primary generative inference model via the official `google-genai` Python SDK. The model was selected over competing architectures (GPT-4o, Claude 3.5 Sonnet, Llama 3) based on four critical technical criteria:</w:t>
      </w:r>
    </w:p>
    <w:p>
      <w:pPr>
        <w:spacing w:before="0" w:after="40" w:line="269" w:lineRule="auto"/>
      </w:pPr>
      <w:r>
        <w:rPr>
          <w:b/>
          <w:color w:val="0F172A"/>
          <w:sz w:val="18"/>
        </w:rPr>
        <w:t xml:space="preserve">• Ultra-Low Latency Inference: </w:t>
      </w:r>
      <w:r>
        <w:rPr>
          <w:sz w:val="18"/>
        </w:rPr>
        <w:t>Gemini 3.6 Flash achieves end-to-end token generation in under 1.2 seconds, crucial for multi-channel synchronous dashboard generation.</w:t>
      </w:r>
    </w:p>
    <w:p>
      <w:pPr>
        <w:spacing w:before="0" w:after="40" w:line="269" w:lineRule="auto"/>
      </w:pPr>
      <w:r>
        <w:rPr>
          <w:b/>
          <w:color w:val="0F172A"/>
          <w:sz w:val="18"/>
        </w:rPr>
        <w:t xml:space="preserve">• Strict Schema Adherence: </w:t>
      </w:r>
      <w:r>
        <w:rPr>
          <w:sz w:val="18"/>
        </w:rPr>
        <w:t>Exceptional compliance with structured JSON schemas and Pydantic validation contracts, reducing JSON parsing failure rates to &lt;0.1%.</w:t>
      </w:r>
    </w:p>
    <w:p>
      <w:pPr>
        <w:spacing w:before="0" w:after="40" w:line="269" w:lineRule="auto"/>
      </w:pPr>
      <w:r>
        <w:rPr>
          <w:b/>
          <w:color w:val="0F172A"/>
          <w:sz w:val="18"/>
        </w:rPr>
        <w:t xml:space="preserve">• Massive Context Processing: </w:t>
      </w:r>
      <w:r>
        <w:rPr>
          <w:sz w:val="18"/>
        </w:rPr>
        <w:t>Effortlessly ingests comprehensive product catalogs (50+ SKUs), historical performance data, and multi-feed trend datasets within a single unified context window.</w:t>
      </w:r>
    </w:p>
    <w:p>
      <w:pPr>
        <w:spacing w:before="0" w:after="40" w:line="269" w:lineRule="auto"/>
      </w:pPr>
      <w:r>
        <w:rPr>
          <w:b/>
          <w:color w:val="0F172A"/>
          <w:sz w:val="18"/>
        </w:rPr>
        <w:t xml:space="preserve">• High Cost-Efficiency: </w:t>
      </w:r>
      <w:r>
        <w:rPr>
          <w:sz w:val="18"/>
        </w:rPr>
        <w:t>Significantly lower token economics compared to frontier reasoning models, allowing sustainable high-frequency marketing operations for bootstrapping merchants.</w:t>
      </w:r>
    </w:p>
    <w:p>
      <w:pPr>
        <w:spacing w:before="100" w:after="20"/>
      </w:pPr>
      <w:r>
        <w:rPr>
          <w:b/>
          <w:color w:val="0F172A"/>
          <w:sz w:val="20"/>
        </w:rPr>
        <w:t>Inference Parameters &amp; Orchestration Tuning</w:t>
      </w:r>
    </w:p>
    <w:p>
      <w:pPr>
        <w:spacing w:after="60" w:line="276" w:lineRule="auto"/>
      </w:pPr>
      <w:r>
        <w:rPr>
          <w:sz w:val="18"/>
        </w:rPr>
        <w:t>To balance commercial precision with viral marketing novelty, the agent enforces fine-grained inference hyperparameters: (1) Temperature = 0.65 (prevents repetitive cliché copy while avoiding ungrounded fabrication); (2) Top-P = 0.90 (ensures vocabulary diversity across video hooks); (3) Response MIME Type = 'application/json' (enforcing direct schema serialization).</w:t>
      </w:r>
    </w:p>
    <w:p>
      <w:pPr>
        <w:spacing w:before="100" w:after="20"/>
      </w:pPr>
      <w:r>
        <w:rPr>
          <w:b/>
          <w:color w:val="0F172A"/>
          <w:sz w:val="20"/>
        </w:rPr>
        <w:t>Deterministic Brand Guardrails &amp; Policy Safety Engine</w:t>
      </w:r>
    </w:p>
    <w:p>
      <w:pPr>
        <w:spacing w:after="60" w:line="276" w:lineRule="auto"/>
      </w:pPr>
      <w:r>
        <w:rPr>
          <w:sz w:val="18"/>
        </w:rPr>
        <w:t>Relying solely on LLM system prompts for safety is fundamentally unreliable due to prompt injection and stochastic drift. MarketPilot AI implements a two-tier hybrid safety architecture: (1) In-context negative constraints supplied to Gemini; and (2) A deterministic post-generation validation layer running inside FastAPI: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456"/>
        <w:gridCol w:w="3456"/>
        <w:gridCol w:w="3456"/>
      </w:tblGrid>
      <w:tr>
        <w:tc>
          <w:tcPr>
            <w:tcW w:type="dxa" w:w="2304"/>
            <w:tcMar>
              <w:top w:w="30" w:type="dxa"/>
              <w:bottom w:w="30" w:type="dxa"/>
              <w:left w:w="50" w:type="dxa"/>
              <w:right w:w="50" w:type="dxa"/>
            </w:tcMar>
            <w:shd w:fill="0f172a"/>
          </w:tcPr>
          <w:p>
            <w:pPr>
              <w:spacing w:after="0"/>
            </w:pPr>
            <w:r>
              <w:rPr>
                <w:b/>
                <w:color w:val="FFFFFF"/>
                <w:sz w:val="16"/>
              </w:rPr>
              <w:t>Safety Layer</w:t>
            </w:r>
          </w:p>
        </w:tc>
        <w:tc>
          <w:tcPr>
            <w:tcW w:type="dxa" w:w="4032"/>
            <w:tcMar>
              <w:top w:w="30" w:type="dxa"/>
              <w:bottom w:w="30" w:type="dxa"/>
              <w:left w:w="50" w:type="dxa"/>
              <w:right w:w="50" w:type="dxa"/>
            </w:tcMar>
            <w:shd w:fill="0f172a"/>
          </w:tcPr>
          <w:p>
            <w:pPr>
              <w:spacing w:after="0"/>
            </w:pPr>
            <w:r>
              <w:rPr>
                <w:b/>
                <w:color w:val="FFFFFF"/>
                <w:sz w:val="16"/>
              </w:rPr>
              <w:t>Mechanism &amp; Implementation</w:t>
            </w:r>
          </w:p>
        </w:tc>
        <w:tc>
          <w:tcPr>
            <w:tcW w:type="dxa" w:w="4032"/>
            <w:tcMar>
              <w:top w:w="30" w:type="dxa"/>
              <w:bottom w:w="30" w:type="dxa"/>
              <w:left w:w="50" w:type="dxa"/>
              <w:right w:w="50" w:type="dxa"/>
            </w:tcMar>
            <w:shd w:fill="0f172a"/>
          </w:tcPr>
          <w:p>
            <w:pPr>
              <w:spacing w:after="0"/>
            </w:pPr>
            <w:r>
              <w:rPr>
                <w:b/>
                <w:color w:val="FFFFFF"/>
                <w:sz w:val="16"/>
              </w:rPr>
              <w:t>E-Commerce Protection Delivered</w:t>
            </w:r>
          </w:p>
        </w:tc>
      </w:tr>
      <w:tr>
        <w:tc>
          <w:tcPr>
            <w:tcW w:type="dxa" w:w="2304"/>
            <w:tcMar>
              <w:top w:w="30" w:type="dxa"/>
              <w:bottom w:w="30" w:type="dxa"/>
              <w:left w:w="50" w:type="dxa"/>
              <w:right w:w="50" w:type="dxa"/>
            </w:tcMar>
            <w:shd w:fill="ffffff"/>
          </w:tcPr>
          <w:p>
            <w:pPr>
              <w:spacing w:after="0"/>
            </w:pPr>
            <w:r>
              <w:rPr>
                <w:b/>
                <w:sz w:val="15"/>
              </w:rPr>
              <w:t>Prohibited Claims Filter</w:t>
            </w:r>
          </w:p>
        </w:tc>
        <w:tc>
          <w:tcPr>
            <w:tcW w:type="dxa" w:w="4032"/>
            <w:tcMar>
              <w:top w:w="30" w:type="dxa"/>
              <w:bottom w:w="30" w:type="dxa"/>
              <w:left w:w="50" w:type="dxa"/>
              <w:right w:w="50" w:type="dxa"/>
            </w:tcMar>
            <w:shd w:fill="ffffff"/>
          </w:tcPr>
          <w:p>
            <w:pPr>
              <w:spacing w:after="0"/>
            </w:pPr>
            <w:r>
              <w:rPr>
                <w:sz w:val="15"/>
              </w:rPr>
              <w:t>Regex &amp; exact-match scan for blacklisted terms ('cure', 'guaranteed 100%', 'risk-free miracle')</w:t>
            </w:r>
          </w:p>
        </w:tc>
        <w:tc>
          <w:tcPr>
            <w:tcW w:type="dxa" w:w="4032"/>
            <w:tcMar>
              <w:top w:w="30" w:type="dxa"/>
              <w:bottom w:w="30" w:type="dxa"/>
              <w:left w:w="50" w:type="dxa"/>
              <w:right w:w="50" w:type="dxa"/>
            </w:tcMar>
            <w:shd w:fill="ffffff"/>
          </w:tcPr>
          <w:p>
            <w:pPr>
              <w:spacing w:after="0"/>
            </w:pPr>
            <w:r>
              <w:rPr>
                <w:sz w:val="15"/>
              </w:rPr>
              <w:t>Prevents Meta ad account bans, payment gateway freezes, and regulatory legal liability.</w:t>
            </w:r>
          </w:p>
        </w:tc>
      </w:tr>
      <w:tr>
        <w:tc>
          <w:tcPr>
            <w:tcW w:type="dxa" w:w="2304"/>
            <w:tcMar>
              <w:top w:w="30" w:type="dxa"/>
              <w:bottom w:w="30" w:type="dxa"/>
              <w:left w:w="50" w:type="dxa"/>
              <w:right w:w="50" w:type="dxa"/>
            </w:tcMar>
            <w:shd w:fill="f8fafc"/>
          </w:tcPr>
          <w:p>
            <w:pPr>
              <w:spacing w:after="0"/>
            </w:pPr>
            <w:r>
              <w:rPr>
                <w:b/>
                <w:sz w:val="15"/>
              </w:rPr>
              <w:t>Brand Voice Compliance</w:t>
            </w:r>
          </w:p>
        </w:tc>
        <w:tc>
          <w:tcPr>
            <w:tcW w:type="dxa" w:w="4032"/>
            <w:tcMar>
              <w:top w:w="30" w:type="dxa"/>
              <w:bottom w:w="30" w:type="dxa"/>
              <w:left w:w="50" w:type="dxa"/>
              <w:right w:w="50" w:type="dxa"/>
            </w:tcMar>
            <w:shd w:fill="f8fafc"/>
          </w:tcPr>
          <w:p>
            <w:pPr>
              <w:spacing w:after="0"/>
            </w:pPr>
            <w:r>
              <w:rPr>
                <w:sz w:val="15"/>
              </w:rPr>
              <w:t>Deterministic validator verifying tone adherence (e.g., maximum emojis, casing, professional tone)</w:t>
            </w:r>
          </w:p>
        </w:tc>
        <w:tc>
          <w:tcPr>
            <w:tcW w:type="dxa" w:w="4032"/>
            <w:tcMar>
              <w:top w:w="30" w:type="dxa"/>
              <w:bottom w:w="30" w:type="dxa"/>
              <w:left w:w="50" w:type="dxa"/>
              <w:right w:w="50" w:type="dxa"/>
            </w:tcMar>
            <w:shd w:fill="f8fafc"/>
          </w:tcPr>
          <w:p>
            <w:pPr>
              <w:spacing w:after="0"/>
            </w:pPr>
            <w:r>
              <w:rPr>
                <w:sz w:val="15"/>
              </w:rPr>
              <w:t>Maintains brand prestige; blocks embarrassing slang or mismatched marketing tone.</w:t>
            </w:r>
          </w:p>
        </w:tc>
      </w:tr>
      <w:tr>
        <w:tc>
          <w:tcPr>
            <w:tcW w:type="dxa" w:w="2304"/>
            <w:tcMar>
              <w:top w:w="30" w:type="dxa"/>
              <w:bottom w:w="30" w:type="dxa"/>
              <w:left w:w="50" w:type="dxa"/>
              <w:right w:w="50" w:type="dxa"/>
            </w:tcMar>
            <w:shd w:fill="ffffff"/>
          </w:tcPr>
          <w:p>
            <w:pPr>
              <w:spacing w:after="0"/>
            </w:pPr>
            <w:r>
              <w:rPr>
                <w:b/>
                <w:sz w:val="15"/>
              </w:rPr>
              <w:t>Catalog Grounding Audit</w:t>
            </w:r>
          </w:p>
        </w:tc>
        <w:tc>
          <w:tcPr>
            <w:tcW w:type="dxa" w:w="4032"/>
            <w:tcMar>
              <w:top w:w="30" w:type="dxa"/>
              <w:bottom w:w="30" w:type="dxa"/>
              <w:left w:w="50" w:type="dxa"/>
              <w:right w:w="50" w:type="dxa"/>
            </w:tcMar>
            <w:shd w:fill="ffffff"/>
          </w:tcPr>
          <w:p>
            <w:pPr>
              <w:spacing w:after="0"/>
            </w:pPr>
            <w:r>
              <w:rPr>
                <w:sz w:val="15"/>
              </w:rPr>
              <w:t>Attribute comparison between generated copy and verified database SKU records</w:t>
            </w:r>
          </w:p>
        </w:tc>
        <w:tc>
          <w:tcPr>
            <w:tcW w:type="dxa" w:w="4032"/>
            <w:tcMar>
              <w:top w:w="30" w:type="dxa"/>
              <w:bottom w:w="30" w:type="dxa"/>
              <w:left w:w="50" w:type="dxa"/>
              <w:right w:w="50" w:type="dxa"/>
            </w:tcMar>
            <w:shd w:fill="ffffff"/>
          </w:tcPr>
          <w:p>
            <w:pPr>
              <w:spacing w:after="0"/>
            </w:pPr>
            <w:r>
              <w:rPr>
                <w:sz w:val="15"/>
              </w:rPr>
              <w:t>Guarantees discounts, ingredients, and specs strictly match actual inventory.</w:t>
            </w:r>
          </w:p>
        </w:tc>
      </w:tr>
    </w:tbl>
    <w:p>
      <w:pPr>
        <w:spacing w:before="100" w:after="20"/>
      </w:pPr>
      <w:r>
        <w:rPr>
          <w:b/>
          <w:color w:val="0F172A"/>
          <w:sz w:val="20"/>
        </w:rPr>
        <w:t>Explainable Grounding Panel ('Based On' Attribution)</w:t>
      </w:r>
    </w:p>
    <w:p>
      <w:pPr>
        <w:spacing w:after="60" w:line="276" w:lineRule="auto"/>
      </w:pPr>
      <w:r>
        <w:rPr>
          <w:sz w:val="18"/>
        </w:rPr>
        <w:t>To build merchant trust and eliminate the 'black-box' nature of AI, every generated campaign displays an interactive attribution panel detailing exactly which SKU, gross margin tier, trend velocity angle, and discount code were utilized. If a product lacks features or customer pain points, the agent highlights actionable warnings.</w:t>
      </w:r>
    </w:p>
    <w:p>
      <w:r>
        <w:br w:type="page"/>
      </w:r>
    </w:p>
    <w:p>
      <w:pPr>
        <w:spacing w:before="140" w:after="40"/>
      </w:pPr>
      <w:r>
        <w:rPr>
          <w:b/>
          <w:color w:val="165823"/>
          <w:sz w:val="23"/>
        </w:rPr>
        <w:t>6. Production Hardening, Security &amp; Verification</w:t>
      </w:r>
    </w:p>
    <w:p>
      <w:pPr>
        <w:spacing w:after="60" w:line="276" w:lineRule="auto"/>
      </w:pPr>
      <w:r>
        <w:rPr>
          <w:sz w:val="18"/>
        </w:rPr>
        <w:t>MarketPilot AI is engineered and tested as a resilient enterprise-ready application: (1) Supabase Authentication enforces strict password encryption and mandatory 6-digit OTP verification before dashboard access, eliminating unverified account creation; (2) PostgreSQL Row-Level Security (RLS) ensures complete cryptographic tenant isolation across business workspaces; (3) Automated Pytest suite with 100% pass rate across auth, workspace, and product endpoints; (4) Decoupled continuous deployment: Frontend packaged with Vite and deployed on Vercel; FastAPI backend containerized on Render.</w:t>
      </w:r>
    </w:p>
    <w:p>
      <w:pPr>
        <w:spacing w:before="140" w:after="40"/>
      </w:pPr>
      <w:r>
        <w:rPr>
          <w:b/>
          <w:color w:val="165823"/>
          <w:sz w:val="23"/>
        </w:rPr>
        <w:t>7. Further Enhancements &amp; Future Technical Roadmap</w:t>
      </w:r>
    </w:p>
    <w:p>
      <w:pPr>
        <w:spacing w:after="60" w:line="276" w:lineRule="auto"/>
      </w:pPr>
      <w:r>
        <w:rPr>
          <w:sz w:val="18"/>
        </w:rPr>
        <w:t>To advance MarketPilot AI from an interactive single-agent copilot into a fully autonomous marketing workforce, the following future enhancements are prioritized on the product roadmap:</w:t>
      </w:r>
    </w:p>
    <w:p>
      <w:pPr>
        <w:spacing w:before="0" w:after="40" w:line="269" w:lineRule="auto"/>
      </w:pPr>
      <w:r>
        <w:rPr>
          <w:b/>
          <w:color w:val="0F172A"/>
          <w:sz w:val="18"/>
        </w:rPr>
        <w:t xml:space="preserve">• Multi-Agent Collaborative Swarm: </w:t>
      </w:r>
      <w:r>
        <w:rPr>
          <w:sz w:val="18"/>
        </w:rPr>
        <w:t>Deconstruct the monolith into specialized cooperating agents: (a) Ad-Buyer Agent managing bidding strategies; (b) Creative Director Agent handling copy; and (c) Inventory Balancer Agent monitoring stock depletion.</w:t>
      </w:r>
    </w:p>
    <w:p>
      <w:pPr>
        <w:spacing w:before="0" w:after="40" w:line="269" w:lineRule="auto"/>
      </w:pPr>
      <w:r>
        <w:rPr>
          <w:b/>
          <w:color w:val="0F172A"/>
          <w:sz w:val="18"/>
        </w:rPr>
        <w:t xml:space="preserve">• Direct Meta &amp; TikTok Graph API Publishing: </w:t>
      </w:r>
      <w:r>
        <w:rPr>
          <w:sz w:val="18"/>
        </w:rPr>
        <w:t>Implement OAuth integrations with Meta Business Manager and TikTok Ads API to autonomously deploy approved ads directly into live ad accounts in one click.</w:t>
      </w:r>
    </w:p>
    <w:p>
      <w:pPr>
        <w:spacing w:before="0" w:after="40" w:line="269" w:lineRule="auto"/>
      </w:pPr>
      <w:r>
        <w:rPr>
          <w:b/>
          <w:color w:val="0F172A"/>
          <w:sz w:val="18"/>
        </w:rPr>
        <w:t xml:space="preserve">• Closed-Loop ROAS Attribution (RL from Ad Outcomes): </w:t>
      </w:r>
      <w:r>
        <w:rPr>
          <w:sz w:val="18"/>
        </w:rPr>
        <w:t>Ingest live ad performance metrics (Cost Per Click, ROAS, Add-to-Cart rates) back into the agent database to fine-tune future prompt grounding via Reinforcement Learning.</w:t>
      </w:r>
    </w:p>
    <w:p>
      <w:pPr>
        <w:spacing w:before="0" w:after="40" w:line="269" w:lineRule="auto"/>
      </w:pPr>
      <w:r>
        <w:rPr>
          <w:b/>
          <w:color w:val="0F172A"/>
          <w:sz w:val="18"/>
        </w:rPr>
        <w:t xml:space="preserve">• Multimodal Asset Synthesis: </w:t>
      </w:r>
      <w:r>
        <w:rPr>
          <w:sz w:val="18"/>
        </w:rPr>
        <w:t>Integrate text-to-video diffusion models and AI voice cloning (e.g., ElevenLabs) to render complete, broadcast-ready vertical video reels directly from generated scripts.</w:t>
      </w:r>
    </w:p>
    <w:p>
      <w:pPr>
        <w:spacing w:before="140" w:after="40"/>
      </w:pPr>
      <w:r>
        <w:rPr>
          <w:b/>
          <w:color w:val="165823"/>
          <w:sz w:val="23"/>
        </w:rPr>
        <w:t>8. Project Conclusion &amp; Internship Impact</w:t>
      </w:r>
    </w:p>
    <w:p>
      <w:pPr>
        <w:spacing w:after="60" w:line="276" w:lineRule="auto"/>
      </w:pPr>
      <w:r>
        <w:rPr>
          <w:sz w:val="18"/>
        </w:rPr>
        <w:t>MarketPilot AI demonstrates the profound shift from passive LLM chat prompts to autonomous, domain-grounded AI agents. By binding Google Gemini 3.6 Flash to financial unit economics, real-time viral trends, and deterministic compliance guardrails, this internship project delivers a production-ready solution that transforms complex e-commerce marketing from hours of manual labor into a 15-second, profit-maximizing workflow.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184"/>
        <w:gridCol w:w="5184"/>
      </w:tblGrid>
      <w:tr>
        <w:tc>
          <w:tcPr>
            <w:tcW w:type="dxa" w:w="5184"/>
            <w:tcMar>
              <w:top w:w="40" w:type="dxa"/>
              <w:bottom w:w="40" w:type="dxa"/>
              <w:left w:w="65" w:type="dxa"/>
              <w:right w:w="65" w:type="dxa"/>
            </w:tcMar>
            <w:shd w:fill="0f172a"/>
          </w:tcPr>
          <w:p>
            <w:pPr>
              <w:spacing w:after="0"/>
            </w:pPr>
            <w:r>
              <w:rPr>
                <w:b/>
                <w:color w:val="FFFFFF"/>
                <w:sz w:val="16"/>
              </w:rPr>
              <w:t>Internship Student Details</w:t>
            </w:r>
          </w:p>
        </w:tc>
        <w:tc>
          <w:tcPr>
            <w:tcW w:type="dxa" w:w="5184"/>
            <w:tcMar>
              <w:top w:w="40" w:type="dxa"/>
              <w:bottom w:w="40" w:type="dxa"/>
              <w:left w:w="65" w:type="dxa"/>
              <w:right w:w="65" w:type="dxa"/>
            </w:tcMar>
            <w:shd w:fill="0f172a"/>
          </w:tcPr>
          <w:p>
            <w:pPr>
              <w:spacing w:after="0"/>
            </w:pPr>
            <w:r>
              <w:rPr>
                <w:b/>
                <w:color w:val="FFFFFF"/>
                <w:sz w:val="16"/>
              </w:rPr>
              <w:t>Internship Coordinator Evaluation</w:t>
            </w:r>
          </w:p>
        </w:tc>
      </w:tr>
      <w:tr>
        <w:tc>
          <w:tcPr>
            <w:tcW w:type="dxa" w:w="5184"/>
            <w:tcMar>
              <w:top w:w="40" w:type="dxa"/>
              <w:bottom w:w="40" w:type="dxa"/>
              <w:left w:w="65" w:type="dxa"/>
              <w:right w:w="65" w:type="dxa"/>
            </w:tcMar>
            <w:shd w:fill="f8fafc"/>
          </w:tcPr>
          <w:p>
            <w:pPr>
              <w:spacing w:after="0"/>
            </w:pPr>
            <w:r>
              <w:rPr>
                <w:sz w:val="15"/>
              </w:rPr>
              <w:t>Candidate Name: Danish</w:t>
              <w:br/>
              <w:t>Project Title: MarketPilot AI E-Commerce Agent</w:t>
              <w:br/>
              <w:t>Repository: github.com/danish554554/Marketpilot</w:t>
              <w:br/>
              <w:t>Deployment: marketpilot-iota.vercel.app</w:t>
            </w:r>
          </w:p>
        </w:tc>
        <w:tc>
          <w:tcPr>
            <w:tcW w:type="dxa" w:w="5184"/>
            <w:tcMar>
              <w:top w:w="40" w:type="dxa"/>
              <w:bottom w:w="40" w:type="dxa"/>
              <w:left w:w="65" w:type="dxa"/>
              <w:right w:w="65" w:type="dxa"/>
            </w:tcMar>
            <w:shd w:fill="f8fafc"/>
          </w:tcPr>
          <w:p>
            <w:pPr>
              <w:spacing w:after="0"/>
            </w:pPr>
            <w:r>
              <w:rPr>
                <w:sz w:val="15"/>
              </w:rPr>
              <w:t>Evaluation Status: [  ] Approved   [  ] Revisions Requested</w:t>
              <w:br/>
              <w:t>Coordinator Signature: _______________________</w:t>
              <w:br/>
              <w:t>Date: ________________________</w:t>
              <w:br/>
              <w:t>Remarks / Grade: _____________________________</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