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2B4C6F"/>
          <w:sz w:val="22"/>
        </w:rPr>
        <w:t>dEngage.Loyalty — Scope Change Impact Analysis</w:t>
      </w:r>
    </w:p>
    <w:p>
      <w:pPr>
        <w:spacing w:after="80"/>
      </w:pPr>
      <w:r>
        <w:rPr>
          <w:b/>
          <w:color w:val="14202B"/>
          <w:sz w:val="56"/>
        </w:rPr>
        <w:t>Reward Type Taxonomy</w:t>
      </w:r>
    </w:p>
    <w:p>
      <w:pPr>
        <w:spacing w:after="320"/>
      </w:pPr>
      <w:r>
        <w:rPr>
          <w:i/>
          <w:color w:val="4A5A68"/>
          <w:sz w:val="26"/>
        </w:rPr>
        <w:t>Separating what a reward is from how it is earned, and retiring the ExternalCouponType field</w:t>
      </w:r>
    </w:p>
    <w:tbl>
      <w:tblPr>
        <w:tblStyle w:val="TableGrid"/>
        <w:tblW w:type="auto" w:w="0"/>
        <w:tblLayout w:type="autofit"/>
        <w:tblLook w:firstColumn="1" w:firstRow="1" w:lastColumn="0" w:lastRow="0" w:noHBand="0" w:noVBand="1" w:val="04A0"/>
      </w:tblPr>
      <w:tblGrid>
        <w:gridCol w:w="4873"/>
        <w:gridCol w:w="4873"/>
      </w:tblGrid>
      <w:tr>
        <w:tc>
          <w:tcPr>
            <w:tcW w:type="dxa" w:w="1872"/>
          </w:tcPr>
          <w:p>
            <w:r/>
            <w:r>
              <w:rPr>
                <w:b/>
                <w:color w:val="4A5A68"/>
                <w:sz w:val="20"/>
              </w:rPr>
              <w:t>Status</w:t>
            </w:r>
          </w:p>
        </w:tc>
        <w:tc>
          <w:tcPr>
            <w:tcW w:type="dxa" w:w="7488"/>
          </w:tcPr>
          <w:p>
            <w:r/>
            <w:r>
              <w:rPr>
                <w:b w:val="0"/>
                <w:sz w:val="20"/>
              </w:rPr>
              <w:t>Draft — pending Product Owner + Architect sign-off</w:t>
            </w:r>
          </w:p>
        </w:tc>
      </w:tr>
      <w:tr>
        <w:tc>
          <w:tcPr>
            <w:tcW w:type="dxa" w:w="1872"/>
          </w:tcPr>
          <w:p>
            <w:r/>
            <w:r>
              <w:rPr>
                <w:b/>
                <w:color w:val="4A5A68"/>
                <w:sz w:val="20"/>
              </w:rPr>
              <w:t>Date</w:t>
            </w:r>
          </w:p>
        </w:tc>
        <w:tc>
          <w:tcPr>
            <w:tcW w:type="dxa" w:w="7488"/>
          </w:tcPr>
          <w:p>
            <w:r/>
            <w:r>
              <w:rPr>
                <w:b w:val="0"/>
                <w:sz w:val="20"/>
              </w:rPr>
              <w:t>2026-09-17</w:t>
            </w:r>
          </w:p>
        </w:tc>
      </w:tr>
      <w:tr>
        <w:tc>
          <w:tcPr>
            <w:tcW w:type="dxa" w:w="1872"/>
          </w:tcPr>
          <w:p>
            <w:r/>
            <w:r>
              <w:rPr>
                <w:b/>
                <w:color w:val="4A5A68"/>
                <w:sz w:val="20"/>
              </w:rPr>
              <w:t>Prepared by</w:t>
            </w:r>
          </w:p>
        </w:tc>
        <w:tc>
          <w:tcPr>
            <w:tcW w:type="dxa" w:w="7488"/>
          </w:tcPr>
          <w:p>
            <w:r/>
            <w:r>
              <w:rPr>
                <w:b w:val="0"/>
                <w:sz w:val="20"/>
              </w:rPr>
              <w:t>Claude Code, at the request of danishaliqau@gmail.com</w:t>
            </w:r>
          </w:p>
        </w:tc>
      </w:tr>
      <w:tr>
        <w:tc>
          <w:tcPr>
            <w:tcW w:type="dxa" w:w="1872"/>
          </w:tcPr>
          <w:p>
            <w:r/>
            <w:r>
              <w:rPr>
                <w:b/>
                <w:color w:val="4A5A68"/>
                <w:sz w:val="20"/>
              </w:rPr>
              <w:t>Affects</w:t>
            </w:r>
          </w:p>
        </w:tc>
        <w:tc>
          <w:tcPr>
            <w:tcW w:type="dxa" w:w="7488"/>
          </w:tcPr>
          <w:p>
            <w:r/>
            <w:r>
              <w:rPr>
                <w:b w:val="0"/>
                <w:sz w:val="20"/>
              </w:rPr>
              <w:t>docs/SOW.md §2.2, docs/SCOPE_BASELINE.md, scripts/loyalty_schema_reference.md</w:t>
            </w:r>
          </w:p>
        </w:tc>
      </w:tr>
    </w:tbl>
    <w:p/>
    <w:p>
      <w:pPr>
        <w:spacing w:before="80" w:after="80"/>
        <w:ind w:left="216"/>
        <w:pBdr>
          <w:left w:val="single" w:sz="18" w:space="8" w:color="2B4C6F"/>
        </w:pBdr>
      </w:pPr>
      <w:r>
        <w:rPr>
          <w:b/>
          <w:color w:val="2B4C6F"/>
          <w:sz w:val="18"/>
        </w:rPr>
        <w:t>PROCESS NOTE</w:t>
        <w:br/>
      </w:r>
      <w:r>
        <w:rPr>
          <w:sz w:val="21"/>
        </w:rPr>
        <w:t>This document is step 2 of the scope-change process defined in CLAUDE.md: it analyzes impact against the current SCOPE_BASELINE.md and the as-built code. No implementation has started. A Jira Scope Change Request should be raised referencing this analysis; implementation begins only after Product Owner + Architect jointly approve.</w:t>
      </w:r>
    </w:p>
    <w:p/>
    <w:p>
      <w:r>
        <w:br w:type="page"/>
      </w:r>
    </w:p>
    <w:p>
      <w:pPr>
        <w:pStyle w:val="Heading1"/>
      </w:pPr>
      <w:r>
        <w:t>1. Why this change is being proposed</w:t>
      </w:r>
    </w:p>
    <w:p>
      <w:pPr>
        <w:spacing w:after="160"/>
      </w:pPr>
      <w:r>
        <w:rPr>
          <w:b w:val="0"/>
          <w:i w:val="0"/>
          <w:sz w:val="22"/>
        </w:rPr>
        <w:t>Reviewing Rewards as configured inside a Program surfaced three gaps against what an "enterprise-level" reward catalog needs:</w:t>
      </w:r>
    </w:p>
    <w:p>
      <w:pPr>
        <w:pStyle w:val="ListBullet"/>
        <w:spacing w:after="120"/>
      </w:pPr>
      <w:r>
        <w:t>Every reward is forced to carry a required ExternalCouponType field, regardless of how the reward is earned or what kind of reward it is — this reads as a bolted-on, one-size-fits-all field rather than a considered part of the reward model.</w:t>
      </w:r>
    </w:p>
    <w:p>
      <w:pPr>
        <w:pStyle w:val="ListBullet"/>
        <w:spacing w:after="120"/>
      </w:pPr>
      <w:r>
        <w:t>There is no concept of what a reward actually is. The only classification that exists today is Acquisition, which describes how a customer earns a reward (points purchase, stamp completion, streak completion), not what they get (a discount, cashback, a free product, a gift card, a tier upgrade, ...). A real reward catalog needs both axes.</w:t>
      </w:r>
    </w:p>
    <w:p>
      <w:pPr>
        <w:pStyle w:val="ListBullet"/>
        <w:spacing w:after="120"/>
      </w:pPr>
      <w:r>
        <w:t>Acquisition itself is inconsistently enforced — two of its three values have required fields; the third (streak_completion) has none, so a streak-driven reward can be defined with no distinguishing configuration at all.</w:t>
      </w:r>
    </w:p>
    <w:p>
      <w:pPr>
        <w:spacing w:before="80" w:after="80"/>
        <w:ind w:left="216"/>
        <w:pBdr>
          <w:left w:val="single" w:sz="18" w:space="8" w:color="2B4C6F"/>
        </w:pBdr>
      </w:pPr>
      <w:r>
        <w:rPr>
          <w:b/>
          <w:color w:val="2B4C6F"/>
          <w:sz w:val="18"/>
        </w:rPr>
        <w:t>DESIGN GOAL</w:t>
        <w:br/>
      </w:r>
      <w:r>
        <w:rPr>
          <w:sz w:val="21"/>
        </w:rPr>
        <w:t>The proposed model must handle every reward type without special-casing, and stay loosely coupled — adding a new reward type in the future should mean adding a registry entry and a validator, not a migration and a set of new required columns.</w:t>
      </w:r>
    </w:p>
    <w:p/>
    <w:p>
      <w:pPr>
        <w:pStyle w:val="Heading1"/>
      </w:pPr>
      <w:r>
        <w:t>2. Current state (as-built)</w:t>
      </w:r>
    </w:p>
    <w:p>
      <w:pPr>
        <w:pStyle w:val="Heading2"/>
      </w:pPr>
      <w:r>
        <w:t>2.1  RewardDefinition entity</w:t>
      </w:r>
    </w:p>
    <w:p>
      <w:pPr>
        <w:spacing w:after="160"/>
      </w:pPr>
      <w:r>
        <w:rPr>
          <w:b w:val="0"/>
          <w:i w:val="0"/>
          <w:sz w:val="22"/>
        </w:rPr>
        <w:t>src/dEngage.Loyalty.Schema/Entities/RewardDefinition.cs, table reward_definitions. Scoped to a Program via a required FK (cascade delete); Program has no back-collection — rewards are queried directly by ProgramId.</w:t>
      </w:r>
    </w:p>
    <w:tbl>
      <w:tblPr>
        <w:tblStyle w:val="LightGrid-Accent1"/>
        <w:tblW w:type="auto" w:w="0"/>
        <w:jc w:val="left"/>
        <w:tblLook w:firstColumn="1" w:firstRow="1" w:lastColumn="0" w:lastRow="0" w:noHBand="0" w:noVBand="1" w:val="04A0"/>
      </w:tblPr>
      <w:tblGrid>
        <w:gridCol w:w="3249"/>
        <w:gridCol w:w="3249"/>
        <w:gridCol w:w="3249"/>
      </w:tblGrid>
      <w:tr>
        <w:tc>
          <w:tcPr>
            <w:tcW w:type="dxa" w:w="2880"/>
            <w:shd w:val="clear" w:color="auto" w:fill="2B4C6F"/>
          </w:tcPr>
          <w:p>
            <w:r/>
            <w:r>
              <w:rPr>
                <w:b/>
                <w:color w:val="FFFFFF"/>
                <w:sz w:val="20"/>
              </w:rPr>
              <w:t>Field</w:t>
            </w:r>
          </w:p>
        </w:tc>
        <w:tc>
          <w:tcPr>
            <w:tcW w:type="dxa" w:w="2016"/>
            <w:shd w:val="clear" w:color="auto" w:fill="2B4C6F"/>
          </w:tcPr>
          <w:p>
            <w:r/>
            <w:r>
              <w:rPr>
                <w:b/>
                <w:color w:val="FFFFFF"/>
                <w:sz w:val="20"/>
              </w:rPr>
              <w:t>Type</w:t>
            </w:r>
          </w:p>
        </w:tc>
        <w:tc>
          <w:tcPr>
            <w:tcW w:type="dxa" w:w="4464"/>
            <w:shd w:val="clear" w:color="auto" w:fill="2B4C6F"/>
          </w:tcPr>
          <w:p>
            <w:r/>
            <w:r>
              <w:rPr>
                <w:b/>
                <w:color w:val="FFFFFF"/>
                <w:sz w:val="20"/>
              </w:rPr>
              <w:t>Notes</w:t>
            </w:r>
          </w:p>
        </w:tc>
      </w:tr>
      <w:tr>
        <w:tc>
          <w:tcPr>
            <w:tcW w:type="dxa" w:w="2880"/>
          </w:tcPr>
          <w:p>
            <w:r/>
            <w:r>
              <w:rPr>
                <w:rFonts w:ascii="Consolas" w:hAnsi="Consolas"/>
                <w:b w:val="0"/>
                <w:sz w:val="20"/>
              </w:rPr>
              <w:t>Name, DisplayName</w:t>
            </w:r>
          </w:p>
        </w:tc>
        <w:tc>
          <w:tcPr>
            <w:tcW w:type="dxa" w:w="2016"/>
          </w:tcPr>
          <w:p>
            <w:r/>
            <w:r>
              <w:rPr>
                <w:rFonts w:ascii="Consolas" w:hAnsi="Consolas"/>
                <w:b w:val="0"/>
                <w:sz w:val="20"/>
              </w:rPr>
              <w:t>string</w:t>
            </w:r>
          </w:p>
        </w:tc>
        <w:tc>
          <w:tcPr>
            <w:tcW w:type="dxa" w:w="4464"/>
          </w:tcPr>
          <w:p>
            <w:r/>
            <w:r>
              <w:rPr>
                <w:b w:val="0"/>
                <w:sz w:val="20"/>
              </w:rPr>
              <w:t>required</w:t>
            </w:r>
          </w:p>
        </w:tc>
      </w:tr>
      <w:tr>
        <w:tc>
          <w:tcPr>
            <w:tcW w:type="dxa" w:w="2880"/>
          </w:tcPr>
          <w:p>
            <w:r/>
            <w:r>
              <w:rPr>
                <w:rFonts w:ascii="Consolas" w:hAnsi="Consolas"/>
                <w:b w:val="0"/>
                <w:sz w:val="20"/>
              </w:rPr>
              <w:t>Acquisition</w:t>
            </w:r>
          </w:p>
        </w:tc>
        <w:tc>
          <w:tcPr>
            <w:tcW w:type="dxa" w:w="2016"/>
          </w:tcPr>
          <w:p>
            <w:r/>
            <w:r>
              <w:rPr>
                <w:rFonts w:ascii="Consolas" w:hAnsi="Consolas"/>
                <w:b w:val="0"/>
                <w:sz w:val="20"/>
              </w:rPr>
              <w:t>string</w:t>
            </w:r>
          </w:p>
        </w:tc>
        <w:tc>
          <w:tcPr>
            <w:tcW w:type="dxa" w:w="4464"/>
          </w:tcPr>
          <w:p>
            <w:r/>
            <w:r>
              <w:rPr>
                <w:b w:val="0"/>
                <w:sz w:val="20"/>
              </w:rPr>
              <w:t>one of 3 constants — see §2.2</w:t>
            </w:r>
          </w:p>
        </w:tc>
      </w:tr>
      <w:tr>
        <w:tc>
          <w:tcPr>
            <w:tcW w:type="dxa" w:w="2880"/>
          </w:tcPr>
          <w:p>
            <w:r/>
            <w:r>
              <w:rPr>
                <w:rFonts w:ascii="Consolas" w:hAnsi="Consolas"/>
                <w:b w:val="0"/>
                <w:sz w:val="20"/>
              </w:rPr>
              <w:t>StampAccountTypeId</w:t>
            </w:r>
          </w:p>
        </w:tc>
        <w:tc>
          <w:tcPr>
            <w:tcW w:type="dxa" w:w="2016"/>
          </w:tcPr>
          <w:p>
            <w:r/>
            <w:r>
              <w:rPr>
                <w:rFonts w:ascii="Consolas" w:hAnsi="Consolas"/>
                <w:b w:val="0"/>
                <w:sz w:val="20"/>
              </w:rPr>
              <w:t>Guid?</w:t>
            </w:r>
          </w:p>
        </w:tc>
        <w:tc>
          <w:tcPr>
            <w:tcW w:type="dxa" w:w="4464"/>
          </w:tcPr>
          <w:p>
            <w:r/>
            <w:r>
              <w:rPr>
                <w:b w:val="0"/>
                <w:sz w:val="20"/>
              </w:rPr>
              <w:t>required only when Acquisition = stamp_completion</w:t>
            </w:r>
          </w:p>
        </w:tc>
      </w:tr>
      <w:tr>
        <w:tc>
          <w:tcPr>
            <w:tcW w:type="dxa" w:w="2880"/>
          </w:tcPr>
          <w:p>
            <w:r/>
            <w:r>
              <w:rPr>
                <w:rFonts w:ascii="Consolas" w:hAnsi="Consolas"/>
                <w:b w:val="0"/>
                <w:sz w:val="20"/>
              </w:rPr>
              <w:t>PointsPrice, PointsAccountTypeId</w:t>
            </w:r>
          </w:p>
        </w:tc>
        <w:tc>
          <w:tcPr>
            <w:tcW w:type="dxa" w:w="2016"/>
          </w:tcPr>
          <w:p>
            <w:r/>
            <w:r>
              <w:rPr>
                <w:rFonts w:ascii="Consolas" w:hAnsi="Consolas"/>
                <w:b w:val="0"/>
                <w:sz w:val="20"/>
              </w:rPr>
              <w:t>decimal? / Guid?</w:t>
            </w:r>
          </w:p>
        </w:tc>
        <w:tc>
          <w:tcPr>
            <w:tcW w:type="dxa" w:w="4464"/>
          </w:tcPr>
          <w:p>
            <w:r/>
            <w:r>
              <w:rPr>
                <w:b w:val="0"/>
                <w:sz w:val="20"/>
              </w:rPr>
              <w:t>required only when Acquisition = points_purchase</w:t>
            </w:r>
          </w:p>
        </w:tc>
      </w:tr>
      <w:tr>
        <w:tc>
          <w:tcPr>
            <w:tcW w:type="dxa" w:w="2880"/>
          </w:tcPr>
          <w:p>
            <w:r/>
            <w:r>
              <w:rPr>
                <w:rFonts w:ascii="Consolas" w:hAnsi="Consolas"/>
                <w:b w:val="0"/>
                <w:sz w:val="20"/>
              </w:rPr>
              <w:t>ExternalCouponType</w:t>
            </w:r>
          </w:p>
        </w:tc>
        <w:tc>
          <w:tcPr>
            <w:tcW w:type="dxa" w:w="2016"/>
          </w:tcPr>
          <w:p>
            <w:r/>
            <w:r>
              <w:rPr>
                <w:rFonts w:ascii="Consolas" w:hAnsi="Consolas"/>
                <w:b w:val="0"/>
                <w:sz w:val="20"/>
              </w:rPr>
              <w:t>string, ≤255</w:t>
            </w:r>
          </w:p>
        </w:tc>
        <w:tc>
          <w:tcPr>
            <w:tcW w:type="dxa" w:w="4464"/>
          </w:tcPr>
          <w:p>
            <w:r/>
            <w:r>
              <w:rPr>
                <w:b w:val="0"/>
                <w:sz w:val="20"/>
              </w:rPr>
              <w:t>always required, free text, no whitelist</w:t>
            </w:r>
          </w:p>
        </w:tc>
      </w:tr>
      <w:tr>
        <w:tc>
          <w:tcPr>
            <w:tcW w:type="dxa" w:w="2880"/>
          </w:tcPr>
          <w:p>
            <w:r/>
            <w:r>
              <w:rPr>
                <w:rFonts w:ascii="Consolas" w:hAnsi="Consolas"/>
                <w:b w:val="0"/>
                <w:sz w:val="20"/>
              </w:rPr>
              <w:t>IsActive</w:t>
            </w:r>
          </w:p>
        </w:tc>
        <w:tc>
          <w:tcPr>
            <w:tcW w:type="dxa" w:w="2016"/>
          </w:tcPr>
          <w:p>
            <w:r/>
            <w:r>
              <w:rPr>
                <w:rFonts w:ascii="Consolas" w:hAnsi="Consolas"/>
                <w:b w:val="0"/>
                <w:sz w:val="20"/>
              </w:rPr>
              <w:t>bool</w:t>
            </w:r>
          </w:p>
        </w:tc>
        <w:tc>
          <w:tcPr>
            <w:tcW w:type="dxa" w:w="4464"/>
          </w:tcPr>
          <w:p>
            <w:r/>
            <w:r>
              <w:rPr>
                <w:b w:val="0"/>
                <w:sz w:val="20"/>
              </w:rPr>
            </w:r>
          </w:p>
        </w:tc>
      </w:tr>
    </w:tbl>
    <w:p/>
    <w:p>
      <w:pPr>
        <w:pStyle w:val="Heading2"/>
      </w:pPr>
      <w:r>
        <w:t>2.2  Acquisition</w:t>
      </w:r>
    </w:p>
    <w:p>
      <w:pPr>
        <w:spacing w:after="160"/>
      </w:pPr>
      <w:r>
        <w:rPr>
          <w:b w:val="0"/>
          <w:i w:val="0"/>
          <w:sz w:val="22"/>
        </w:rPr>
        <w:t>Backed by string constants, not a real enum: src/dEngage.Loyalty.Shared/Constants/RewardAcquisition.cs — stamp_completion, points_purchase, streak_completion. Whitelisted on create only; immutable after creation. Conditional required-field rules exist for stamp_completion and points_purchase; streak_completion has none.</w:t>
      </w:r>
    </w:p>
    <w:p>
      <w:pPr>
        <w:pStyle w:val="Heading2"/>
      </w:pPr>
      <w:r>
        <w:t>2.3  "Coupon type" is not a reward type</w:t>
      </w:r>
    </w:p>
    <w:p>
      <w:pPr>
        <w:spacing w:after="160"/>
      </w:pPr>
      <w:r>
        <w:rPr>
          <w:b w:val="0"/>
          <w:i w:val="0"/>
          <w:sz w:val="22"/>
        </w:rPr>
        <w:t>There is no RewardType concept anywhere in the code today. ExternalCouponType is an opaque pass-through string, forwarded as coupon_type in the outbound loyalty.reward.earned / loyalty.reward.purchased events, presumably for an external/downstream coupon system to interpret. docs/SOW.md §2.2 documents this verbatim: rewards are "mapped to an external coupon-system type code."</w:t>
      </w:r>
    </w:p>
    <w:p>
      <w:pPr>
        <w:pStyle w:val="Heading2"/>
      </w:pPr>
      <w:r>
        <w:t>2.4  Reward ↔ Streak Campaign</w:t>
      </w:r>
    </w:p>
    <w:p>
      <w:pPr>
        <w:spacing w:after="160"/>
      </w:pPr>
      <w:r>
        <w:rPr>
          <w:b w:val="0"/>
          <w:i w:val="0"/>
          <w:sz w:val="22"/>
        </w:rPr>
        <w:t>Soft and unenforced. StreakCampaign.Config (jsonb) may embed reward.reward_definition_id, validated only at the application layer and resolved by a runtime lookup on completion. There is no foreign key and no EF navigation property. If the referenced reward is missing or inactive, the streak still completes and the failure is only a logged warning — no reward is granted, silently. docs/SOW.md §2.2 documents the feature-level relationship: Streak Campaigns pay "a fixed bonus or linked reward on completion."</w:t>
      </w:r>
    </w:p>
    <w:p>
      <w:pPr>
        <w:pStyle w:val="Heading2"/>
      </w:pPr>
      <w:r>
        <w:t>2.5  Reward ↔ Card Bucket</w:t>
      </w:r>
    </w:p>
    <w:p>
      <w:pPr>
        <w:spacing w:after="160"/>
      </w:pPr>
      <w:r>
        <w:rPr>
          <w:b w:val="0"/>
          <w:i w:val="0"/>
          <w:sz w:val="22"/>
        </w:rPr>
        <w:t>No relationship exists, in either direction, and this document proposes none. A Card Bucket is implemented as a Rule row tagged Template = "card_bucket" that pays a fixed points bonus directly — it never references RewardDefinition in any form. This document simply makes the absence of a relationship explicit so it is not mistaken for a gap.</w:t>
      </w:r>
    </w:p>
    <w:p>
      <w:pPr>
        <w:pStyle w:val="Heading2"/>
      </w:pPr>
      <w:r>
        <w:t>2.6  RewardLog — a naming collision to flag early</w:t>
      </w:r>
    </w:p>
    <w:p>
      <w:pPr>
        <w:spacing w:after="160"/>
      </w:pPr>
      <w:r>
        <w:rPr>
          <w:b w:val="0"/>
          <w:i w:val="0"/>
          <w:sz w:val="22"/>
        </w:rPr>
        <w:t>The only DB-enforced FK to RewardDefinition in the schema. Also carries a free-text RewardType field — but today this actually stores the reward’s name, not a category. This existing field name collides with the taxonomy proposed below and needs a deliberate resolution during implementation (see §5).</w:t>
      </w:r>
    </w:p>
    <w:p>
      <w:pPr>
        <w:pStyle w:val="Heading1"/>
      </w:pPr>
      <w:r>
        <w:t>3. Proposed direction</w:t>
      </w:r>
    </w:p>
    <w:p>
      <w:pPr>
        <w:pStyle w:val="Heading2"/>
      </w:pPr>
      <w:r>
        <w:t>3.1  Remove ExternalCouponType</w:t>
      </w:r>
    </w:p>
    <w:p>
      <w:pPr>
        <w:spacing w:after="160"/>
      </w:pPr>
      <w:r>
        <w:rPr>
          <w:b w:val="0"/>
          <w:i w:val="0"/>
          <w:sz w:val="22"/>
        </w:rPr>
        <w:t>Drop it from RewardDefinition, its API DTOs/validators, and the coupon_type field in the outbound RewardEarned/RewardPurchased event payloads. This is a genuine scope reduction against the current SOW wording, not a refactor — it requires explicit Product Owner confirmation, not just an engineering judgment call (see §6).</w:t>
      </w:r>
    </w:p>
    <w:p>
      <w:pPr>
        <w:pStyle w:val="Heading2"/>
      </w:pPr>
      <w:r>
        <w:t>3.2  Introduce a first-class RewardType, orthogonal to Acquisition</w:t>
      </w:r>
    </w:p>
    <w:p>
      <w:pPr>
        <w:pStyle w:val="ListBullet"/>
        <w:spacing w:after="120"/>
      </w:pPr>
      <w:r>
        <w:t>RewardType = what the reward is. Acquisition = how it is earned. These are independent axes and both are needed for an enterprise-grade catalog (e.g. a Discount reward could be earned via points_purchase or streak_completion).</w:t>
      </w:r>
    </w:p>
    <w:p>
      <w:pPr>
        <w:pStyle w:val="ListBullet"/>
        <w:spacing w:after="120"/>
      </w:pPr>
      <w:r>
        <w:t>To satisfy "handle all types of rewards" without hard-coding a closed list, RewardType is proposed as a string code validated against a registry, not a database-level C# enum — the same pattern this codebase already uses for Rule.Template. Adding a new reward type becomes: register a type code + a validator for its TypeConfig shape. No migration, no new required columns.</w:t>
      </w:r>
    </w:p>
    <w:p>
      <w:pPr>
        <w:pStyle w:val="ListBullet"/>
        <w:spacing w:after="120"/>
      </w:pPr>
      <w:r>
        <w:t>Candidate initial set (for PO/Architect discussion — not final): PointsBonus, Discount, Cashback, FreeProduct, GiftCard, TierUpgrade. The registry is designed so this list can grow later (e.g. Voucher, ExperienceReward) without another schema change.</w:t>
      </w:r>
    </w:p>
    <w:p>
      <w:pPr>
        <w:pStyle w:val="ListBullet"/>
        <w:spacing w:after="120"/>
      </w:pPr>
      <w:r>
        <w:t>Each type’s own fields live in a TypeConfig jsonb payload (§3.4), validated by whichever validator is registered for that type code. Core Reward code — the entity, EF configuration, and the generic CRUD in RewardsAppService — stays type-agnostic and never branches on a hardcoded list of types.</w:t>
      </w:r>
    </w:p>
    <w:p>
      <w:r>
        <w:rPr>
          <w:i/>
          <w:color w:val="4A5A68"/>
          <w:sz w:val="18"/>
        </w:rPr>
        <w:t>Candidate initial set — for PO/Architect discussion, not final</w:t>
      </w:r>
    </w:p>
    <w:tbl>
      <w:tblPr>
        <w:tblStyle w:val="LightGrid-Accent1"/>
        <w:tblW w:type="auto" w:w="0"/>
        <w:jc w:val="left"/>
        <w:tblLook w:firstColumn="1" w:firstRow="1" w:lastColumn="0" w:lastRow="0" w:noHBand="0" w:noVBand="1" w:val="04A0"/>
      </w:tblPr>
      <w:tblGrid>
        <w:gridCol w:w="4873"/>
        <w:gridCol w:w="4873"/>
      </w:tblGrid>
      <w:tr>
        <w:tc>
          <w:tcPr>
            <w:tcW w:type="dxa" w:w="2304"/>
            <w:shd w:val="clear" w:color="auto" w:fill="2B4C6F"/>
          </w:tcPr>
          <w:p>
            <w:r/>
            <w:r>
              <w:rPr>
                <w:b/>
                <w:color w:val="FFFFFF"/>
                <w:sz w:val="20"/>
              </w:rPr>
              <w:t>RewardType</w:t>
            </w:r>
          </w:p>
        </w:tc>
        <w:tc>
          <w:tcPr>
            <w:tcW w:type="dxa" w:w="7056"/>
            <w:shd w:val="clear" w:color="auto" w:fill="2B4C6F"/>
          </w:tcPr>
          <w:p>
            <w:r/>
            <w:r>
              <w:rPr>
                <w:b/>
                <w:color w:val="FFFFFF"/>
                <w:sz w:val="20"/>
              </w:rPr>
              <w:t>Illustrative TypeConfig fields</w:t>
            </w:r>
          </w:p>
        </w:tc>
      </w:tr>
      <w:tr>
        <w:tc>
          <w:tcPr>
            <w:tcW w:type="dxa" w:w="2304"/>
          </w:tcPr>
          <w:p>
            <w:r/>
            <w:r>
              <w:rPr>
                <w:rFonts w:ascii="Consolas" w:hAnsi="Consolas"/>
                <w:b w:val="0"/>
                <w:sz w:val="20"/>
              </w:rPr>
              <w:t>PointsBonus</w:t>
            </w:r>
          </w:p>
        </w:tc>
        <w:tc>
          <w:tcPr>
            <w:tcW w:type="dxa" w:w="7056"/>
          </w:tcPr>
          <w:p>
            <w:r/>
            <w:r>
              <w:rPr>
                <w:b w:val="0"/>
                <w:sz w:val="20"/>
              </w:rPr>
              <w:t>amount, accountTypeId</w:t>
            </w:r>
          </w:p>
        </w:tc>
      </w:tr>
      <w:tr>
        <w:tc>
          <w:tcPr>
            <w:tcW w:type="dxa" w:w="2304"/>
          </w:tcPr>
          <w:p>
            <w:r/>
            <w:r>
              <w:rPr>
                <w:rFonts w:ascii="Consolas" w:hAnsi="Consolas"/>
                <w:b w:val="0"/>
                <w:sz w:val="20"/>
              </w:rPr>
              <w:t>Discount</w:t>
            </w:r>
          </w:p>
        </w:tc>
        <w:tc>
          <w:tcPr>
            <w:tcW w:type="dxa" w:w="7056"/>
          </w:tcPr>
          <w:p>
            <w:r/>
            <w:r>
              <w:rPr>
                <w:b w:val="0"/>
                <w:sz w:val="20"/>
              </w:rPr>
              <w:t>discountKind, value, minPurchaseAmount?, maxDiscountAmount?</w:t>
            </w:r>
          </w:p>
        </w:tc>
      </w:tr>
      <w:tr>
        <w:tc>
          <w:tcPr>
            <w:tcW w:type="dxa" w:w="2304"/>
          </w:tcPr>
          <w:p>
            <w:r/>
            <w:r>
              <w:rPr>
                <w:rFonts w:ascii="Consolas" w:hAnsi="Consolas"/>
                <w:b w:val="0"/>
                <w:sz w:val="20"/>
              </w:rPr>
              <w:t>Cashback</w:t>
            </w:r>
          </w:p>
        </w:tc>
        <w:tc>
          <w:tcPr>
            <w:tcW w:type="dxa" w:w="7056"/>
          </w:tcPr>
          <w:p>
            <w:r/>
            <w:r>
              <w:rPr>
                <w:b w:val="0"/>
                <w:sz w:val="20"/>
              </w:rPr>
              <w:t>amount, currency</w:t>
            </w:r>
          </w:p>
        </w:tc>
      </w:tr>
      <w:tr>
        <w:tc>
          <w:tcPr>
            <w:tcW w:type="dxa" w:w="2304"/>
          </w:tcPr>
          <w:p>
            <w:r/>
            <w:r>
              <w:rPr>
                <w:rFonts w:ascii="Consolas" w:hAnsi="Consolas"/>
                <w:b w:val="0"/>
                <w:sz w:val="20"/>
              </w:rPr>
              <w:t>FreeProduct</w:t>
            </w:r>
          </w:p>
        </w:tc>
        <w:tc>
          <w:tcPr>
            <w:tcW w:type="dxa" w:w="7056"/>
          </w:tcPr>
          <w:p>
            <w:r/>
            <w:r>
              <w:rPr>
                <w:b w:val="0"/>
                <w:sz w:val="20"/>
              </w:rPr>
              <w:t>productSku, quantity</w:t>
            </w:r>
          </w:p>
        </w:tc>
      </w:tr>
      <w:tr>
        <w:tc>
          <w:tcPr>
            <w:tcW w:type="dxa" w:w="2304"/>
          </w:tcPr>
          <w:p>
            <w:r/>
            <w:r>
              <w:rPr>
                <w:rFonts w:ascii="Consolas" w:hAnsi="Consolas"/>
                <w:b w:val="0"/>
                <w:sz w:val="20"/>
              </w:rPr>
              <w:t>GiftCard</w:t>
            </w:r>
          </w:p>
        </w:tc>
        <w:tc>
          <w:tcPr>
            <w:tcW w:type="dxa" w:w="7056"/>
          </w:tcPr>
          <w:p>
            <w:r/>
            <w:r>
              <w:rPr>
                <w:b w:val="0"/>
                <w:sz w:val="20"/>
              </w:rPr>
              <w:t>value, currency</w:t>
            </w:r>
          </w:p>
        </w:tc>
      </w:tr>
      <w:tr>
        <w:tc>
          <w:tcPr>
            <w:tcW w:type="dxa" w:w="2304"/>
          </w:tcPr>
          <w:p>
            <w:r/>
            <w:r>
              <w:rPr>
                <w:rFonts w:ascii="Consolas" w:hAnsi="Consolas"/>
                <w:b w:val="0"/>
                <w:sz w:val="20"/>
              </w:rPr>
              <w:t>TierUpgrade</w:t>
            </w:r>
          </w:p>
        </w:tc>
        <w:tc>
          <w:tcPr>
            <w:tcW w:type="dxa" w:w="7056"/>
          </w:tcPr>
          <w:p>
            <w:r/>
            <w:r>
              <w:rPr>
                <w:b w:val="0"/>
                <w:sz w:val="20"/>
              </w:rPr>
              <w:t>targetTierId, durationDays?</w:t>
            </w:r>
          </w:p>
        </w:tc>
      </w:tr>
    </w:tbl>
    <w:p/>
    <w:p>
      <w:pPr>
        <w:pStyle w:val="Heading2"/>
      </w:pPr>
      <w:r>
        <w:t>3.3  Formalize Acquisition</w:t>
      </w:r>
    </w:p>
    <w:p>
      <w:pPr>
        <w:spacing w:after="160"/>
      </w:pPr>
      <w:r>
        <w:rPr>
          <w:b w:val="0"/>
          <w:i w:val="0"/>
          <w:sz w:val="22"/>
        </w:rPr>
        <w:t>Unlike RewardType, Acquisition describes a small, stable set of engine-level triggers (points purchase / stamp completion / streak completion) — this can be a proper closed C# enum with an EF value conversion. Add the currently-missing conditional validation for streak_completion (today: no required fields at all).</w:t>
      </w:r>
    </w:p>
    <w:p>
      <w:pPr>
        <w:pStyle w:val="Heading2"/>
      </w:pPr>
      <w:r>
        <w:t>3.4  Schema approach for type-specific fields</w:t>
      </w:r>
    </w:p>
    <w:p>
      <w:pPr>
        <w:spacing w:after="160"/>
      </w:pPr>
      <w:r>
        <w:rPr>
          <w:b w:val="0"/>
          <w:i w:val="0"/>
          <w:sz w:val="22"/>
        </w:rPr>
        <w:t>A single TypeConfig jsonb column on RewardDefinition, mirroring the existing StreakCampaign.Config pattern already proven in this codebase — not a wide table of nullable columns, and not EF TPH inheritance. Both alternatives require a migration per new reward type, which directly conflicts with the loose-coupling goal.</w:t>
      </w:r>
    </w:p>
    <w:p>
      <w:pPr>
        <w:spacing w:before="80" w:after="80"/>
        <w:ind w:left="216"/>
        <w:pBdr>
          <w:left w:val="single" w:sz="18" w:space="8" w:color="2B4C6F"/>
        </w:pBdr>
      </w:pPr>
      <w:r>
        <w:rPr>
          <w:b/>
          <w:color w:val="2B4C6F"/>
          <w:sz w:val="18"/>
        </w:rPr>
        <w:t>LOOSE-COUPLING BOUNDARY</w:t>
        <w:br/>
      </w:r>
      <w:r>
        <w:rPr>
          <w:sz w:val="21"/>
        </w:rPr>
        <w:t>Consumers that need to act on a reward (grant it, display it, hand it to a downstream system) should depend only on RewardType (string) + TypeConfig (opaque jsonb) — never a switch statement enumerating every known type spread across modules. A single type-registry/strategy seam per bounded context (API-layer validation; and, if/when consumers need to act on type-specific payloads, RuleEngine/Consumer) keeps new types from rippling through StampCompletionHandler, RewardPurchaseHandler, and StreakCampaignModule individually. This has a real limit: a type whose fulfillment needs synchronous engine logic (e.g. FreeProduct needing an inventory check, GiftCard needing a call to an issuing provider) cannot be fully generic — the registry isolates validation and shape per type, but fulfillment logic still needs a handler per type wherever it actually executes. "Loosely coupled" means adding a type is additive, not that every type requires zero new code anywhere.</w:t>
      </w:r>
    </w:p>
    <w:p/>
    <w:p>
      <w:pPr>
        <w:pStyle w:val="Heading2"/>
      </w:pPr>
      <w:r>
        <w:t>3.5  Streak Campaign linkage — open decision, not committed</w:t>
      </w:r>
    </w:p>
    <w:p>
      <w:pPr>
        <w:spacing w:after="160"/>
      </w:pPr>
      <w:r>
        <w:rPr>
          <w:b w:val="0"/>
          <w:i w:val="0"/>
          <w:sz w:val="22"/>
        </w:rPr>
        <w:t>Flagging for the Architect: today a missing/deactivated RewardDefinition referenced by a Streak Campaign fails silently. Hardening StreakCampaign.Config.reward.reward_definition_id into a real FK would make this a loud, enforced failure instead. Not proposed as committed work — surfaced because "fields should reflect respective details" naturally extends to this existing gap.</w:t>
      </w:r>
    </w:p>
    <w:p>
      <w:pPr>
        <w:pStyle w:val="Heading2"/>
      </w:pPr>
      <w:r>
        <w:t>3.6  Card Buckets — no change</w:t>
      </w:r>
    </w:p>
    <w:p>
      <w:pPr>
        <w:spacing w:after="160"/>
      </w:pPr>
      <w:r>
        <w:rPr>
          <w:b w:val="0"/>
          <w:i w:val="0"/>
          <w:sz w:val="22"/>
        </w:rPr>
        <w:t>Confirmed as documentation-only: Card Buckets and Rewards are, and remain, unrelated. No code or schema change proposed here.</w:t>
      </w:r>
    </w:p>
    <w:p>
      <w:pPr>
        <w:pStyle w:val="Heading1"/>
      </w:pPr>
      <w:r>
        <w:t>4. Blast radius</w:t>
      </w:r>
    </w:p>
    <w:tbl>
      <w:tblPr>
        <w:tblStyle w:val="LightGrid-Accent1"/>
        <w:tblW w:type="auto" w:w="0"/>
        <w:jc w:val="left"/>
        <w:tblLook w:firstColumn="1" w:firstRow="1" w:lastColumn="0" w:lastRow="0" w:noHBand="0" w:noVBand="1" w:val="04A0"/>
      </w:tblPr>
      <w:tblGrid>
        <w:gridCol w:w="4873"/>
        <w:gridCol w:w="4873"/>
      </w:tblGrid>
      <w:tr>
        <w:tc>
          <w:tcPr>
            <w:tcW w:type="dxa" w:w="2592"/>
            <w:shd w:val="clear" w:color="auto" w:fill="2B4C6F"/>
          </w:tcPr>
          <w:p>
            <w:r/>
            <w:r>
              <w:rPr>
                <w:b/>
                <w:color w:val="FFFFFF"/>
                <w:sz w:val="20"/>
              </w:rPr>
              <w:t>Area</w:t>
            </w:r>
          </w:p>
        </w:tc>
        <w:tc>
          <w:tcPr>
            <w:tcW w:type="dxa" w:w="6768"/>
            <w:shd w:val="clear" w:color="auto" w:fill="2B4C6F"/>
          </w:tcPr>
          <w:p>
            <w:r/>
            <w:r>
              <w:rPr>
                <w:b/>
                <w:color w:val="FFFFFF"/>
                <w:sz w:val="20"/>
              </w:rPr>
              <w:t>Impact</w:t>
            </w:r>
          </w:p>
        </w:tc>
      </w:tr>
      <w:tr>
        <w:tc>
          <w:tcPr>
            <w:tcW w:type="dxa" w:w="2592"/>
          </w:tcPr>
          <w:p>
            <w:r/>
            <w:r>
              <w:rPr>
                <w:b w:val="0"/>
                <w:sz w:val="20"/>
              </w:rPr>
              <w:t>Schema</w:t>
            </w:r>
          </w:p>
        </w:tc>
        <w:tc>
          <w:tcPr>
            <w:tcW w:type="dxa" w:w="6768"/>
          </w:tcPr>
          <w:p>
            <w:r/>
            <w:r>
              <w:rPr>
                <w:b w:val="0"/>
                <w:sz w:val="20"/>
              </w:rPr>
              <w:t>RewardDefinition entity + configuration + new migration: drop external_coupon_type, add reward_type + type_config (jsonb). Existing rows need a backfill plan.</w:t>
            </w:r>
          </w:p>
        </w:tc>
      </w:tr>
      <w:tr>
        <w:tc>
          <w:tcPr>
            <w:tcW w:type="dxa" w:w="2592"/>
          </w:tcPr>
          <w:p>
            <w:r/>
            <w:r>
              <w:rPr>
                <w:b w:val="0"/>
                <w:sz w:val="20"/>
              </w:rPr>
              <w:t>API</w:t>
            </w:r>
          </w:p>
        </w:tc>
        <w:tc>
          <w:tcPr>
            <w:tcW w:type="dxa" w:w="6768"/>
          </w:tcPr>
          <w:p>
            <w:r/>
            <w:r>
              <w:rPr>
                <w:b w:val="0"/>
                <w:sz w:val="20"/>
              </w:rPr>
              <w:t>src/dEngage.Loyalty.Api/Rewards/*: remove ExternalCouponType, add RewardType + TypeConfig, add per-type and per-acquisition validation.</w:t>
            </w:r>
          </w:p>
        </w:tc>
      </w:tr>
      <w:tr>
        <w:tc>
          <w:tcPr>
            <w:tcW w:type="dxa" w:w="2592"/>
          </w:tcPr>
          <w:p>
            <w:r/>
            <w:r>
              <w:rPr>
                <w:b w:val="0"/>
                <w:sz w:val="20"/>
              </w:rPr>
              <w:t>Event contract (breaking)</w:t>
            </w:r>
          </w:p>
        </w:tc>
        <w:tc>
          <w:tcPr>
            <w:tcW w:type="dxa" w:w="6768"/>
          </w:tcPr>
          <w:p>
            <w:r/>
            <w:r>
              <w:rPr>
                <w:b w:val="0"/>
                <w:sz w:val="20"/>
              </w:rPr>
              <w:t>StampCompletionHandler, RewardPurchaseHandler, StreakCampaignModule emit coupon_type today. Removing it is a breaking event-contract change for any external consumer.</w:t>
            </w:r>
          </w:p>
        </w:tc>
      </w:tr>
      <w:tr>
        <w:tc>
          <w:tcPr>
            <w:tcW w:type="dxa" w:w="2592"/>
          </w:tcPr>
          <w:p>
            <w:r/>
            <w:r>
              <w:rPr>
                <w:b w:val="0"/>
                <w:sz w:val="20"/>
              </w:rPr>
              <w:t>RewardAcquisition → enum</w:t>
            </w:r>
          </w:p>
        </w:tc>
        <w:tc>
          <w:tcPr>
            <w:tcW w:type="dxa" w:w="6768"/>
          </w:tcPr>
          <w:p>
            <w:r/>
            <w:r>
              <w:rPr>
                <w:b w:val="0"/>
                <w:sz w:val="20"/>
              </w:rPr>
              <w:t>Touches every consumer: both handlers, StreakCampaignModule, RewardsValidators, the EF configuration’s raw SQL filter, and TestCli seed data.</w:t>
            </w:r>
          </w:p>
        </w:tc>
      </w:tr>
      <w:tr>
        <w:tc>
          <w:tcPr>
            <w:tcW w:type="dxa" w:w="2592"/>
          </w:tcPr>
          <w:p>
            <w:r/>
            <w:r>
              <w:rPr>
                <w:b w:val="0"/>
                <w:sz w:val="20"/>
              </w:rPr>
              <w:t>Naming collision</w:t>
            </w:r>
          </w:p>
        </w:tc>
        <w:tc>
          <w:tcPr>
            <w:tcW w:type="dxa" w:w="6768"/>
          </w:tcPr>
          <w:p>
            <w:r/>
            <w:r>
              <w:rPr>
                <w:b w:val="0"/>
                <w:sz w:val="20"/>
              </w:rPr>
              <w:t>RewardLog.RewardType already exists and stores a reward’s name — needs a deliberate rename/repurpose decision.</w:t>
            </w:r>
          </w:p>
        </w:tc>
      </w:tr>
      <w:tr>
        <w:tc>
          <w:tcPr>
            <w:tcW w:type="dxa" w:w="2592"/>
          </w:tcPr>
          <w:p>
            <w:r/>
            <w:r>
              <w:rPr>
                <w:b w:val="0"/>
                <w:sz w:val="20"/>
              </w:rPr>
              <w:t>Frontend</w:t>
            </w:r>
          </w:p>
        </w:tc>
        <w:tc>
          <w:tcPr>
            <w:tcW w:type="dxa" w:w="6768"/>
          </w:tcPr>
          <w:p>
            <w:r/>
            <w:r>
              <w:rPr>
                <w:b w:val="0"/>
                <w:sz w:val="20"/>
              </w:rPr>
              <w:t>web/ reward list/form (programs/rewards) needs corresponding UI changes — out of scope here, flagged as follow-on work.</w:t>
            </w:r>
          </w:p>
        </w:tc>
      </w:tr>
      <w:tr>
        <w:tc>
          <w:tcPr>
            <w:tcW w:type="dxa" w:w="2592"/>
          </w:tcPr>
          <w:p>
            <w:r/>
            <w:r>
              <w:rPr>
                <w:b w:val="0"/>
                <w:sz w:val="20"/>
              </w:rPr>
              <w:t>Docs</w:t>
            </w:r>
          </w:p>
        </w:tc>
        <w:tc>
          <w:tcPr>
            <w:tcW w:type="dxa" w:w="6768"/>
          </w:tcPr>
          <w:p>
            <w:r/>
            <w:r>
              <w:rPr>
                <w:b w:val="0"/>
                <w:sz w:val="20"/>
              </w:rPr>
              <w:t>docs/SCOPE_BASELINE.md, docs/SOW.md §2.2, and scripts/loyalty_schema_reference.md must be updated in the same change once implemented, per CLAUDE.md.</w:t>
            </w:r>
          </w:p>
        </w:tc>
      </w:tr>
    </w:tbl>
    <w:p/>
    <w:p>
      <w:pPr>
        <w:pStyle w:val="Heading1"/>
      </w:pPr>
      <w:r>
        <w:t>5. Open decisions requiring explicit PO/Architect sign-off</w:t>
      </w:r>
    </w:p>
    <w:p>
      <w:pPr>
        <w:pStyle w:val="ListNumber"/>
        <w:spacing w:after="120"/>
      </w:pPr>
      <w:r>
        <w:t>Final RewardType value list (§3.2 candidates are a starting point, not a spec).</w:t>
      </w:r>
    </w:p>
    <w:p>
      <w:pPr>
        <w:pStyle w:val="ListNumber"/>
        <w:spacing w:after="120"/>
      </w:pPr>
      <w:r>
        <w:t>Confirmation that no live tenant integration depends on coupon_type in reward events before it is removed.</w:t>
      </w:r>
    </w:p>
    <w:p>
      <w:pPr>
        <w:pStyle w:val="ListNumber"/>
        <w:spacing w:after="120"/>
      </w:pPr>
      <w:r>
        <w:t>Whether to harden the Streak Campaign → Reward link into a real foreign key (§3.5).</w:t>
      </w:r>
    </w:p>
    <w:p>
      <w:pPr>
        <w:pStyle w:val="ListNumber"/>
        <w:spacing w:after="120"/>
      </w:pPr>
      <w:r>
        <w:t>How to resolve the RewardLog.RewardType naming collision (§4).</w:t>
      </w:r>
    </w:p>
    <w:p>
      <w:pPr>
        <w:pStyle w:val="Heading1"/>
      </w:pPr>
      <w:r>
        <w:t>6. Risks</w:t>
      </w:r>
    </w:p>
    <w:p>
      <w:pPr>
        <w:pStyle w:val="ListBullet"/>
        <w:spacing w:after="120"/>
      </w:pPr>
      <w:r>
        <w:t>Removing ExternalCouponType may break a live downstream coupon-system integration for some tenant — this is a business risk, not just a technical one.</w:t>
      </w:r>
    </w:p>
    <w:p>
      <w:pPr>
        <w:pStyle w:val="ListBullet"/>
        <w:spacing w:after="120"/>
      </w:pPr>
      <w:r>
        <w:t>The RewardType taxonomy is proposed, not confirmed.</w:t>
      </w:r>
    </w:p>
    <w:p>
      <w:pPr>
        <w:pStyle w:val="ListBullet"/>
        <w:spacing w:after="120"/>
      </w:pPr>
      <w:r>
        <w:t>Hardening streak_completion validation could reject data patterns silently tolerated today — recommend auditing existing reward_definitions rows with acquisition = ‘streak_completion’ before enforcing new rules.</w:t>
      </w:r>
    </w:p>
    <w:p>
      <w:pPr>
        <w:pStyle w:val="ListBullet"/>
        <w:spacing w:after="120"/>
      </w:pPr>
      <w:r>
        <w:t>Pre-existing, unrelated to this change but worth flagging alongside it: the unique index ux_reward_definitions_active_stamp is keyed on (tenant_id, stamp_account_type_id), not program_id — two programs sharing a stamp AccountType could collide.</w:t>
      </w:r>
    </w:p>
    <w:p>
      <w:pPr>
        <w:pStyle w:val="Heading1"/>
      </w:pPr>
      <w:r>
        <w:t>7. Next step</w:t>
      </w:r>
    </w:p>
    <w:p>
      <w:pPr>
        <w:spacing w:before="80" w:after="80"/>
        <w:ind w:left="216"/>
        <w:pBdr>
          <w:left w:val="single" w:sz="18" w:space="8" w:color="276148"/>
        </w:pBdr>
      </w:pPr>
      <w:r>
        <w:rPr>
          <w:b/>
          <w:color w:val="276148"/>
          <w:sz w:val="18"/>
        </w:rPr>
        <w:t>APPROVAL GATE</w:t>
        <w:br/>
      </w:r>
      <w:r>
        <w:rPr>
          <w:sz w:val="21"/>
        </w:rPr>
        <w:t>Per CLAUDE.md: raise a Jira Scope Change Request referencing this document. Implementation does not begin until Product Owner + Architect jointly approve the direction in §3 and resolve the open decisions in §5.</w:t>
      </w:r>
    </w:p>
    <w:p/>
    <w:tbl>
      <w:tblPr>
        <w:tblStyle w:val="TableGrid"/>
        <w:tblW w:type="auto" w:w="0"/>
        <w:tblLook w:firstColumn="1" w:firstRow="1" w:lastColumn="0" w:lastRow="0" w:noHBand="0" w:noVBand="1" w:val="04A0"/>
      </w:tblPr>
      <w:tblGrid>
        <w:gridCol w:w="4873"/>
        <w:gridCol w:w="4873"/>
      </w:tblGrid>
      <w:tr>
        <w:tc>
          <w:tcPr>
            <w:tcW w:type="dxa" w:w="3168"/>
          </w:tcPr>
          <w:p>
            <w:r/>
            <w:r>
              <w:rPr>
                <w:b/>
                <w:sz w:val="20"/>
              </w:rPr>
              <w:t>Role</w:t>
            </w:r>
          </w:p>
        </w:tc>
        <w:tc>
          <w:tcPr>
            <w:tcW w:type="dxa" w:w="6192"/>
          </w:tcPr>
          <w:p>
            <w:r/>
            <w:r>
              <w:rPr>
                <w:b/>
                <w:sz w:val="20"/>
              </w:rPr>
              <w:t>Signature / date</w:t>
            </w:r>
          </w:p>
        </w:tc>
      </w:tr>
      <w:tr>
        <w:tc>
          <w:tcPr>
            <w:tcW w:type="dxa" w:w="3168"/>
          </w:tcPr>
          <w:p>
            <w:r/>
            <w:r>
              <w:rPr>
                <w:b w:val="0"/>
                <w:sz w:val="20"/>
              </w:rPr>
              <w:t>Product Owner</w:t>
            </w:r>
          </w:p>
        </w:tc>
        <w:tc>
          <w:tcPr>
            <w:tcW w:type="dxa" w:w="6192"/>
          </w:tcPr>
          <w:p>
            <w:r/>
            <w:r>
              <w:rPr>
                <w:b w:val="0"/>
                <w:sz w:val="20"/>
              </w:rPr>
            </w:r>
            <w:r>
              <w:br/>
              <w:br/>
            </w:r>
          </w:p>
        </w:tc>
      </w:tr>
      <w:tr>
        <w:tc>
          <w:tcPr>
            <w:tcW w:type="dxa" w:w="3168"/>
          </w:tcPr>
          <w:p>
            <w:r/>
            <w:r>
              <w:rPr>
                <w:b w:val="0"/>
                <w:sz w:val="20"/>
              </w:rPr>
              <w:t>Architect</w:t>
            </w:r>
          </w:p>
        </w:tc>
        <w:tc>
          <w:tcPr>
            <w:tcW w:type="dxa" w:w="6192"/>
          </w:tcPr>
          <w:p>
            <w:r/>
            <w:r>
              <w:rPr>
                <w:b w:val="0"/>
                <w:sz w:val="20"/>
              </w:rPr>
            </w:r>
            <w:r>
              <w:br/>
              <w:br/>
            </w:r>
          </w:p>
        </w:tc>
      </w:tr>
    </w:tbl>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color w:val="1420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2B4C6F"/>
      <w:sz w:val="36"/>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4202B"/>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420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