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HR Employee Attrition Analysis</w:t>
      </w:r>
    </w:p>
    <w:p>
      <w:pPr>
        <w:spacing w:after="60"/>
      </w:pPr>
      <w:r>
        <w:rPr>
          <w:i/>
          <w:iCs/>
          <w:color w:val="555555"/>
          <w:sz w:val="26"/>
          <w:szCs w:val="26"/>
        </w:rPr>
        <w:t xml:space="preserve">Findings &amp; Recommendations Report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Prepared by Danish Muhammed  |  Dataset: IBM HR Analytics Employee Attrition &amp; Performance (Kaggle)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50"/>
      </w:pPr>
      <w:r>
        <w:t xml:space="preserve">This report analyzes employee attrition across a 1,470-employee organization to identify which roles, conditions, and factors are most associated with employees leaving the company, and to recommend targeted retention actions. The dataset is a fictional dataset published by IBM data scientists and made publicly available on Kaggle.</w:t>
      </w:r>
    </w:p>
    <w:p>
      <w:pPr>
        <w:spacing w:after="150"/>
      </w:pPr>
      <w:r>
        <w:rPr>
          <w:b/>
          <w:bCs/>
        </w:rPr>
        <w:t xml:space="preserve">Overall attrition rate: 16.1% of employees left the company.</w:t>
      </w:r>
    </w:p>
    <w:p>
      <w:pPr>
        <w:pStyle w:val="Heading1"/>
        <w:spacing w:after="150" w:before="300"/>
      </w:pPr>
      <w:r>
        <w:t xml:space="preserve">2. Key Findings</w:t>
      </w:r>
    </w:p>
    <w:p>
      <w:pPr>
        <w:pStyle w:val="Heading2"/>
        <w:spacing w:after="120" w:before="250"/>
      </w:pPr>
      <w:r>
        <w:t xml:space="preserve">2.1 Attrition is concentrated in specific roles</w:t>
      </w:r>
    </w:p>
    <w:p>
      <w:pPr>
        <w:spacing w:after="150"/>
      </w:pPr>
      <w:r>
        <w:t xml:space="preserve">Sales Representatives show by far the highest attrition rate of any role in the company, at 39.8% — more than double the company-wide average. Sales Executives, by contrast, sit much closer to the norm at 17.5%, indicating the retention problem is specific to the entry-level sales role rather than the sales function broadly.</w:t>
      </w:r>
    </w:p>
    <w:p>
      <w:pPr>
        <w:spacing w:after="20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2.2 Overtime is the strongest single driver</w:t>
      </w:r>
    </w:p>
    <w:p>
      <w:pPr>
        <w:spacing w:after="150"/>
      </w:pPr>
      <w:r>
        <w:t xml:space="preserve">Employees who work overtime leave at nearly three times the rate of those who don't — 30.5% versus 10.4%. This was also confirmed as the strongest predictive factor in the statistical model built for this analysis (see Section 4).</w:t>
      </w:r>
    </w:p>
    <w:p>
      <w:pPr>
        <w:spacing w:after="20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2.3 Compensation gap between stayers and leavers</w:t>
      </w:r>
    </w:p>
    <w:p>
      <w:pPr>
        <w:spacing w:after="150"/>
      </w:pPr>
      <w:r>
        <w:t xml:space="preserve">Employees who left earned an average of $4,787/month, compared to $6,833/month for those who stayed — a gap of roughly 30%. This holds even before controlling for role or seniority, suggesting pay may be a meaningful factor in the decision to leave.</w:t>
      </w:r>
    </w:p>
    <w:p>
      <w:pPr>
        <w:spacing w:after="200"/>
        <w:jc w:val="center"/>
      </w:pPr>
      <w:r>
        <w:drawing>
          <wp:inline distT="0" distB="0" distL="0" distR="0">
            <wp:extent cx="4000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2.4 Attrition risk is highest early in tenure</w:t>
      </w:r>
    </w:p>
    <w:p>
      <w:pPr>
        <w:spacing w:after="150"/>
      </w:pPr>
      <w:r>
        <w:t xml:space="preserve">Employees who left were on average younger (33.6 vs. 37.6 years) and had spent less time at the company (5.1 vs. 7.4 years) than those who stayed. This points to a retention risk window concentrated in the first few years of employment.</w:t>
      </w:r>
    </w:p>
    <w:p>
      <w:pPr>
        <w:pStyle w:val="Heading2"/>
        <w:spacing w:after="120" w:before="250"/>
      </w:pPr>
      <w:r>
        <w:t xml:space="preserve">2.5 Frequent travel roughly triples attrition risk</w:t>
      </w:r>
    </w:p>
    <w:p>
      <w:pPr>
        <w:spacing w:after="150"/>
      </w:pPr>
      <w:r>
        <w:t xml:space="preserve">Employees who travel frequently for work leave at 24.9%, compared to just 8.0% for employees who don't travel at all — a clear and substantial gap.</w:t>
      </w:r>
    </w:p>
    <w:p>
      <w:pPr>
        <w:spacing w:after="200"/>
        <w:jc w:val="center"/>
      </w:pPr>
      <w:r>
        <w:drawing>
          <wp:inline distT="0" distB="0" distL="0" distR="0">
            <wp:extent cx="3429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50"/>
      </w:pPr>
      <w:r>
        <w:t xml:space="preserve">2.6 Department-level view</w:t>
      </w:r>
    </w:p>
    <w:p>
      <w:pPr>
        <w:spacing w:after="150"/>
      </w:pPr>
      <w:r>
        <w:t xml:space="preserve">Sales (20.6%) and Human Resources (19.0%) show higher attrition than Research &amp; Development (13.8%), consistent with the role-level findings above.</w:t>
      </w:r>
    </w:p>
    <w:p>
      <w:pPr>
        <w:spacing w:after="200"/>
        <w:jc w:val="center"/>
      </w:pPr>
      <w:r>
        <w:drawing>
          <wp:inline distT="0" distB="0" distL="0" distR="0">
            <wp:extent cx="4000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3. Summary Table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500"/>
      </w:tblGrid>
      <w:tr>
        <w:tc>
          <w:tcPr>
            <w:tcW w:type="dxa" w:w="4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Stayed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Left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Monthly Income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$6,833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$4,787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Age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37.6 yrs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33.6 yrs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Years at Company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7.4 yrs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5.1 yrs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</w:rPr>
              <w:t xml:space="preserve">Average Job Satisfaction (1-4)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2.78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2.47</w:t>
            </w:r>
          </w:p>
        </w:tc>
      </w:tr>
    </w:tbl>
    <w:p>
      <w:pPr>
        <w:pStyle w:val="Heading1"/>
        <w:spacing w:after="150" w:before="300"/>
      </w:pPr>
      <w:r>
        <w:t xml:space="preserve">4. Predictive Model</w:t>
      </w:r>
    </w:p>
    <w:p>
      <w:pPr>
        <w:spacing w:after="150"/>
      </w:pPr>
      <w:r>
        <w:t xml:space="preserve">A logistic regression model was trained to predict attrition using all available employee attributes. The model reached 87.4% overall accuracy on held-out test data.</w:t>
      </w:r>
    </w:p>
    <w:p>
      <w:pPr>
        <w:spacing w:after="150"/>
      </w:pPr>
      <w:r>
        <w:t xml:space="preserve">A limitation worth noting honestly: because only ~16% of employees in the dataset actually left, the model is better at correctly identifying employees who stay than at catching every employee who will leave (28% recall on departing employees). This is a common and expected limitation with imbalanced datasets like this one, not a flaw unique to this analysis.</w:t>
      </w:r>
    </w:p>
    <w:p>
      <w:pPr>
        <w:spacing w:after="150"/>
      </w:pPr>
      <w:r>
        <w:t xml:space="preserve">Factors that most increased predicted attrition risk: working overtime, marital status, and department.</w:t>
      </w:r>
    </w:p>
    <w:p>
      <w:pPr>
        <w:spacing w:after="150"/>
      </w:pPr>
      <w:r>
        <w:t xml:space="preserve">Factors that most reduced predicted attrition risk: stock option level, environment satisfaction, and job involvement.</w:t>
      </w:r>
    </w:p>
    <w:p>
      <w:pPr>
        <w:pStyle w:val="Heading1"/>
        <w:spacing w:after="150" w:before="300"/>
      </w:pPr>
      <w:r>
        <w:t xml:space="preserve">5.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Prioritize retention efforts specifically on the Sales Representative role — review workload, overtime exposure, and compensation benchmarking, since this role's attrition rate is a clear outlier.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overtime policy and workload distribution — overtime is the single strongest attrition driver identified, and may point to burnout or inadequate staffing levels.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 early-tenure engagement and onboarding support, since attrition risk is concentrated in employees' first few years.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compensation bands where a meaningful pay gap exists between employees who stay and those who leave in comparable roles.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Re-examine travel expectations for frequently-traveling roles, given the sharp rise in attrition risk associated with frequent travel.</w:t>
      </w:r>
    </w:p>
    <w:p>
      <w:pPr>
        <w:pStyle w:val="Heading1"/>
        <w:spacing w:after="150" w:before="300"/>
      </w:pPr>
      <w:r>
        <w:t xml:space="preserve">6. Methodology Note</w:t>
      </w:r>
    </w:p>
    <w:p>
      <w:pPr>
        <w:spacing w:after="150"/>
      </w:pPr>
      <w:r>
        <w:t xml:space="preserve">Analysis was performed in Python using pandas for data cleaning and aggregation, matplotlib/seaborn for visualization, and scikit-learn for the predictive model. Full code and outputs are available in the accompanying Jupyter notebook (hr_attrition_analysis.ipynb) and published to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c0d79f29e6f635836e94e74a5a68d5426d3504.png"/><Relationship Id="rId8" Type="http://schemas.openxmlformats.org/officeDocument/2006/relationships/image" Target="media/53007ee6e37356f8846a17c3e8ffb99b4a49195e.png"/><Relationship Id="rId9" Type="http://schemas.openxmlformats.org/officeDocument/2006/relationships/image" Target="media/10845f21aa5fd981be40230f4f6dec8c7e0a034f.png"/><Relationship Id="rId10" Type="http://schemas.openxmlformats.org/officeDocument/2006/relationships/image" Target="media/aff4d7a4e5cdde43474952f13fd7a68c9df400a3.png"/><Relationship Id="rId11" Type="http://schemas.openxmlformats.org/officeDocument/2006/relationships/image" Target="media/2691e32f0c209e09f5264568472d81b45db3298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2026-09-05T09:45:54.621Z</dcterms:created>
  <dcterms:modified xsi:type="dcterms:W3CDTF">2026-09-05T09:45:54.622Z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