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6304F" w:sz="12" w:space="6"/>
        </w:pBdr>
        <w:spacing w:after="20"/>
      </w:pPr>
      <w:r>
        <w:rPr>
          <w:b/>
          <w:bCs/>
          <w:color w:val="16304F"/>
          <w:sz w:val="30"/>
          <w:szCs w:val="30"/>
        </w:rPr>
        <w:t xml:space="preserve">ESPECIFICACIÓN TÉCNICA DE REPARACIÓN</w:t>
      </w:r>
    </w:p>
    <w:p>
      <w:pPr>
        <w:spacing w:after="60"/>
      </w:pPr>
      <w:r>
        <w:rPr>
          <w:b/>
          <w:bCs/>
          <w:color w:val="0D7C7C"/>
          <w:sz w:val="22"/>
          <w:szCs w:val="22"/>
        </w:rPr>
        <w:t xml:space="preserve">Parche soldado — collar de refuerzo 360° en cuello de brida (WN 12", Clase 150)</w:t>
      </w:r>
    </w:p>
    <w:p>
      <w:pPr>
        <w:spacing w:after="160"/>
      </w:pPr>
      <w:r>
        <w:rPr>
          <w:i/>
          <w:iCs/>
          <w:color w:val="33475B"/>
          <w:sz w:val="18"/>
          <w:szCs w:val="18"/>
        </w:rPr>
        <w:t xml:space="preserve">Fundamento técnico: ASME PCC-2-2015 «Repair of Pressure Equipment and Piping», Artículos 2.12 y 2.7 (parche soldado de filete con soldaduras de tapón), complementado con Art. 2.10 (soldadura en servicio) y Art. 5.1 (pruebas). Código de construcción de referencia: ASME B31.3.</w:t>
      </w:r>
    </w:p>
    <w:tbl>
      <w:tblPr>
        <w:tblW w:type="dxa" w:w="9360"/>
        <w:tblBorders>
          <w:top w:val="single" w:color="BFC9D4" w:sz="2"/>
          <w:left w:val="single" w:color="BFC9D4" w:sz="2"/>
          <w:bottom w:val="single" w:color="BFC9D4" w:sz="2"/>
          <w:right w:val="single" w:color="BFC9D4" w:sz="2"/>
          <w:insideH w:val="single" w:color="BFC9D4" w:sz="2"/>
          <w:insideV w:val="single" w:color="BFC9D4" w:sz="2"/>
        </w:tblBorders>
      </w:tblPr>
      <w:tblGrid>
        <w:gridCol w:w="2500"/>
        <w:gridCol w:w="6860"/>
      </w:tblGrid>
      <w:tr>
        <w:tc>
          <w:tcPr>
            <w:tcW w:type="dxa" w:w="2500"/>
            <w:shd w:fill="E9EEF3"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Documento N°</w:t>
            </w:r>
          </w:p>
        </w:tc>
        <w:tc>
          <w:tcPr>
            <w:tcW w:type="dxa" w:w="686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ET-REP-U46-CWS-032 · Rev. 0 (borrador para revisión)</w:t>
            </w:r>
          </w:p>
        </w:tc>
      </w:tr>
      <w:tr>
        <w:tc>
          <w:tcPr>
            <w:tcW w:type="dxa" w:w="2500"/>
            <w:shd w:fill="E9EEF3"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Línea / servicio</w:t>
            </w:r>
          </w:p>
        </w:tc>
        <w:tc>
          <w:tcPr>
            <w:tcW w:type="dxa" w:w="686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12"-CWS-46-032-B1 · Agua de enfriamiento (Unidad U46) · Línea de spillback de bombas 46P31A/B/C, aguas arriba de válvula tipo mariposa</w:t>
            </w:r>
          </w:p>
        </w:tc>
      </w:tr>
      <w:tr>
        <w:tc>
          <w:tcPr>
            <w:tcW w:type="dxa" w:w="2500"/>
            <w:shd w:fill="E9EEF3"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Orden / SDT</w:t>
            </w:r>
          </w:p>
        </w:tc>
        <w:tc>
          <w:tcPr>
            <w:tcW w:type="dxa" w:w="686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SDT 10721256 · MT-PO2-2026/U46/949 (RT correctiva)</w:t>
            </w:r>
          </w:p>
        </w:tc>
      </w:tr>
      <w:tr>
        <w:tc>
          <w:tcPr>
            <w:tcW w:type="dxa" w:w="2500"/>
            <w:shd w:fill="E9EEF3"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Componente afectado</w:t>
            </w:r>
          </w:p>
        </w:tc>
        <w:tc>
          <w:tcPr>
            <w:tcW w:type="dxa" w:w="686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Brida cuello soldable (Welding Neck) 12", Clase 150, cara resaltada 1/16", ASME B16.5, material ASTM A-105</w:t>
            </w:r>
          </w:p>
        </w:tc>
      </w:tr>
      <w:tr>
        <w:tc>
          <w:tcPr>
            <w:tcW w:type="dxa" w:w="2500"/>
            <w:shd w:fill="E9EEF3"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Defecto</w:t>
            </w:r>
          </w:p>
        </w:tc>
        <w:tc>
          <w:tcPr>
            <w:tcW w:type="dxa" w:w="686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Fuga por agujero pasante Ø ≈ 3 mm en el cuello (hub) de la brida</w:t>
            </w:r>
          </w:p>
        </w:tc>
      </w:tr>
      <w:tr>
        <w:tc>
          <w:tcPr>
            <w:tcW w:type="dxa" w:w="2500"/>
            <w:shd w:fill="E9EEF3"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Condiciones de operación</w:t>
            </w:r>
          </w:p>
        </w:tc>
        <w:tc>
          <w:tcPr>
            <w:tcW w:type="dxa" w:w="686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Presión: 5,0 kg/cm²g (≈ 0,49 MPa / 71 psi) · Temperatura: 25 °C · Fluido: agua de enfriamiento (no inflamable, no tóxica)</w:t>
            </w:r>
          </w:p>
        </w:tc>
      </w:tr>
      <w:tr>
        <w:tc>
          <w:tcPr>
            <w:tcW w:type="dxa" w:w="2500"/>
            <w:shd w:fill="E9EEF3"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Fecha</w:t>
            </w:r>
          </w:p>
        </w:tc>
        <w:tc>
          <w:tcPr>
            <w:tcW w:type="dxa" w:w="686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Septiembre 2026</w:t>
            </w:r>
          </w:p>
        </w:tc>
      </w:tr>
    </w:tbl>
    <w:p>
      <w:pPr>
        <w:pStyle w:val="Heading1"/>
        <w:spacing w:after="120" w:before="260"/>
      </w:pPr>
      <w:r>
        <w:rPr>
          <w:b/>
          <w:bCs/>
          <w:color w:val="16304F"/>
          <w:sz w:val="26"/>
          <w:szCs w:val="26"/>
        </w:rPr>
        <w:t xml:space="preserve">1.  Objeto y resumen</w:t>
      </w:r>
    </w:p>
    <w:p>
      <w:pPr>
        <w:spacing w:after="120" w:line="264"/>
        <w:jc w:val="both"/>
      </w:pPr>
      <w:r>
        <w:rPr>
          <w:color w:val="1A1A1A"/>
          <w:sz w:val="20"/>
          <w:szCs w:val="20"/>
        </w:rPr>
        <w:t xml:space="preserve">Este documento establece las especificaciones técnicas para la reparación por soldadura de un agujero pasante (fuga, Ø ≈ 3 mm) localizado en el cuello de una brida de cuello soldable de 12", Clase 150, en la línea de agua de enfriamiento 12"-CWS-46-032-B1. La reparación se ejecuta mediante un parche soldado configurado como collar de refuerzo de 360° (dos medias carcasas contorneadas), diseñado conforme a los Artículos 2.12 y 2.7 de ASME PCC-2-2015, con las provisiones de soldadura en servicio del Art. 2.10 dado que el equipo no se libera para reparación definitiva.</w:t>
      </w:r>
    </w:p>
    <w:p>
      <w:pPr>
        <w:spacing w:after="120" w:line="264"/>
        <w:jc w:val="both"/>
      </w:pPr>
      <w:r>
        <w:rPr>
          <w:b w:val="false"/>
          <w:bCs w:val="false"/>
          <w:i w:val="false"/>
          <w:iCs w:val="false"/>
          <w:color w:val="1A1A1A"/>
          <w:sz w:val="20"/>
          <w:szCs w:val="20"/>
        </w:rPr>
        <w:t xml:space="preserve">Alcance: </w:t>
      </w:r>
      <w:r>
        <w:rPr>
          <w:b w:val="false"/>
          <w:bCs w:val="false"/>
          <w:i w:val="false"/>
          <w:iCs w:val="false"/>
          <w:color w:val="1A1A1A"/>
          <w:sz w:val="20"/>
          <w:szCs w:val="20"/>
        </w:rPr>
        <w:t xml:space="preserve">cubre la caracterización del defecto, la selección justificada del método, la memoria de cálculo, los materiales, la preparación e instalación, la especificación de soldadura, los ensayos no destructivos (END), la prueba de hermeticidad, el recubrimiento, la seguridad y los registros. No cubre el diseño de la reparación definitiva (reemplazo de la brida/carrete), que se recomienda programar en la próxima oportunidad.</w:t>
      </w:r>
    </w:p>
    <w:tbl>
      <w:tblPr>
        <w:tblW w:type="dxa" w:w="9360"/>
        <w:tblBorders>
          <w:top w:val="single" w:color="D9B44A" w:sz="6"/>
          <w:left w:val="single" w:color="D9B44A" w:sz="18"/>
          <w:bottom w:val="single" w:color="D9B44A" w:sz="6"/>
          <w:right w:val="single" w:color="D9B44A" w:sz="6"/>
          <w:insideH w:val="none"/>
          <w:insideV w:val="none"/>
        </w:tblBorders>
      </w:tblPr>
      <w:tblGrid>
        <w:gridCol w:w="9360"/>
      </w:tblGrid>
      <w:tr>
        <w:tc>
          <w:tcPr>
            <w:tcW w:type="dxa" w:w="9360"/>
            <w:shd w:fill="FBF4DD" w:color="auto" w:val="clear"/>
            <w:tcMar>
              <w:top w:type="dxa" w:w="100"/>
              <w:left w:type="dxa" w:w="160"/>
              <w:bottom w:type="dxa" w:w="100"/>
              <w:right w:type="dxa" w:w="140"/>
            </w:tcMar>
          </w:tcPr>
          <w:p>
            <w:pPr>
              <w:spacing w:after="40"/>
            </w:pPr>
            <w:r>
              <w:rPr>
                <w:b/>
                <w:bCs/>
                <w:color w:val="7A5C00"/>
                <w:sz w:val="19"/>
                <w:szCs w:val="19"/>
              </w:rPr>
              <w:t xml:space="preserve">Criterio de ingeniería (takeaway)</w:t>
            </w:r>
          </w:p>
          <w:p>
            <w:pPr>
              <w:spacing w:after="30" w:line="250"/>
              <w:jc w:val="both"/>
            </w:pPr>
            <w:r>
              <w:rPr>
                <w:color w:val="5A4600"/>
                <w:sz w:val="19"/>
                <w:szCs w:val="19"/>
              </w:rPr>
              <w:t xml:space="preserve">Un parche soldado de filete transfiere la carga por cortante en el filete perimetral, pero introduce una excentricidad de la trayectoria de carga que genera flexión local en la soldadura (ecuación 5 del Art. 2.12). Por eso el parche de solape es idóneo para presiones bajas/moderadas —como los 5 kg/cm² de esta línea— pero NO sustituye el rating pleno de una brida 150#: la verificación muestra que el collar de 8 mm es apto hasta ≈ 16,7 kg/cm² de presión de diseño; por encima de ese valor se requiere un collar Tipo B con soldaduras circunferenciales de penetración completa (Art. 2.6).</w:t>
            </w:r>
          </w:p>
        </w:tc>
      </w:tr>
    </w:tbl>
    <w:p>
      <w:pPr>
        <w:pStyle w:val="Heading1"/>
        <w:spacing w:after="120" w:before="260"/>
      </w:pPr>
      <w:r>
        <w:rPr>
          <w:b/>
          <w:bCs/>
          <w:color w:val="16304F"/>
          <w:sz w:val="26"/>
          <w:szCs w:val="26"/>
        </w:rPr>
        <w:t xml:space="preserve">2.  Normas y documentos de referencia</w:t>
      </w:r>
    </w:p>
    <w:tbl>
      <w:tblPr>
        <w:tblW w:type="dxa" w:w="9360"/>
        <w:tblBorders>
          <w:top w:val="single" w:color="BFC9D4" w:sz="2"/>
          <w:left w:val="single" w:color="BFC9D4" w:sz="2"/>
          <w:bottom w:val="single" w:color="BFC9D4" w:sz="2"/>
          <w:right w:val="single" w:color="BFC9D4" w:sz="2"/>
          <w:insideH w:val="single" w:color="BFC9D4" w:sz="2"/>
          <w:insideV w:val="single" w:color="BFC9D4" w:sz="2"/>
        </w:tblBorders>
      </w:tblPr>
      <w:tblGrid>
        <w:gridCol w:w="2400"/>
        <w:gridCol w:w="6960"/>
      </w:tblGrid>
      <w:tr>
        <w:trPr>
          <w:tblHeader/>
        </w:trPr>
        <w:tc>
          <w:tcPr>
            <w:tcW w:type="dxa" w:w="2400"/>
            <w:shd w:fill="16304F" w:color="auto" w:val="clear"/>
            <w:tcMar>
              <w:top w:type="dxa" w:w="40"/>
              <w:left w:type="dxa" w:w="90"/>
              <w:bottom w:type="dxa" w:w="40"/>
              <w:right w:type="dxa" w:w="90"/>
            </w:tcMar>
          </w:tcPr>
          <w:p>
            <w:pPr>
              <w:spacing w:after="20" w:before="20" w:line="240"/>
              <w:jc w:val="left"/>
            </w:pPr>
            <w:r>
              <w:rPr>
                <w:b/>
                <w:bCs/>
                <w:color w:val="FFFFFF"/>
                <w:sz w:val="18"/>
                <w:szCs w:val="18"/>
              </w:rPr>
              <w:t xml:space="preserve">Documento</w:t>
            </w:r>
          </w:p>
        </w:tc>
        <w:tc>
          <w:tcPr>
            <w:tcW w:type="dxa" w:w="6960"/>
            <w:shd w:fill="16304F" w:color="auto" w:val="clear"/>
            <w:tcMar>
              <w:top w:type="dxa" w:w="40"/>
              <w:left w:type="dxa" w:w="90"/>
              <w:bottom w:type="dxa" w:w="40"/>
              <w:right w:type="dxa" w:w="90"/>
            </w:tcMar>
          </w:tcPr>
          <w:p>
            <w:pPr>
              <w:spacing w:after="20" w:before="20" w:line="240"/>
              <w:jc w:val="left"/>
            </w:pPr>
            <w:r>
              <w:rPr>
                <w:b/>
                <w:bCs/>
                <w:color w:val="FFFFFF"/>
                <w:sz w:val="18"/>
                <w:szCs w:val="18"/>
              </w:rPr>
              <w:t xml:space="preserve">Título / aplicación en esta reparación</w:t>
            </w:r>
          </w:p>
        </w:tc>
      </w:tr>
      <w:tr>
        <w:trPr>
          <w:tblHeader w:val="false"/>
        </w:trPr>
        <w:tc>
          <w:tcPr>
            <w:tcW w:type="dxa" w:w="24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ASME PCC-2-2015</w:t>
            </w:r>
          </w:p>
        </w:tc>
        <w:tc>
          <w:tcPr>
            <w:tcW w:type="dxa" w:w="696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Repair of Pressure Equipment and Piping. Método base: Art. 2.12 y 2.7 (parche soldado). Complementos: Art. 2.4 (caja de fuga), 2.6 (camisas de encierro total), 2.10 (soldadura en servicio), 5.1 (pruebas).</w:t>
            </w:r>
          </w:p>
        </w:tc>
      </w:tr>
      <w:tr>
        <w:trPr>
          <w:tblHeader w:val="false"/>
        </w:trPr>
        <w:tc>
          <w:tcPr>
            <w:tcW w:type="dxa" w:w="240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ASME B31.3</w:t>
            </w:r>
          </w:p>
        </w:tc>
        <w:tc>
          <w:tcPr>
            <w:tcW w:type="dxa" w:w="696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Process Piping. Código de construcción de referencia: esfuerzos admisibles, precalentamiento (Tabla 330.1.1), criterios de aceptación de END (Tabla 341.3.2) y prueba de hermeticidad.</w:t>
            </w:r>
          </w:p>
        </w:tc>
      </w:tr>
      <w:tr>
        <w:trPr>
          <w:tblHeader w:val="false"/>
        </w:trPr>
        <w:tc>
          <w:tcPr>
            <w:tcW w:type="dxa" w:w="24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ASME B16.5</w:t>
            </w:r>
          </w:p>
        </w:tc>
        <w:tc>
          <w:tcPr>
            <w:tcW w:type="dxa" w:w="696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Pipe Flanges and Flanged Fittings. Geometría y rating de la brida WN 12" Clase 150.</w:t>
            </w:r>
          </w:p>
        </w:tc>
      </w:tr>
      <w:tr>
        <w:trPr>
          <w:tblHeader w:val="false"/>
        </w:trPr>
        <w:tc>
          <w:tcPr>
            <w:tcW w:type="dxa" w:w="240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ASME B36.10M</w:t>
            </w:r>
          </w:p>
        </w:tc>
        <w:tc>
          <w:tcPr>
            <w:tcW w:type="dxa" w:w="696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Welded and Seamless Wrought Steel Pipe. Dimensiones de tubería 12" SCH 20.</w:t>
            </w:r>
          </w:p>
        </w:tc>
      </w:tr>
      <w:tr>
        <w:trPr>
          <w:tblHeader w:val="false"/>
        </w:trPr>
        <w:tc>
          <w:tcPr>
            <w:tcW w:type="dxa" w:w="24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ASME BPVC Secc. IX</w:t>
            </w:r>
          </w:p>
        </w:tc>
        <w:tc>
          <w:tcPr>
            <w:tcW w:type="dxa" w:w="696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Calificación de procedimientos (WPS/PQR) y desempeño de soldadores (WPQ).</w:t>
            </w:r>
          </w:p>
        </w:tc>
      </w:tr>
      <w:tr>
        <w:trPr>
          <w:tblHeader w:val="false"/>
        </w:trPr>
        <w:tc>
          <w:tcPr>
            <w:tcW w:type="dxa" w:w="240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ASME BPVC Secc. V</w:t>
            </w:r>
          </w:p>
        </w:tc>
        <w:tc>
          <w:tcPr>
            <w:tcW w:type="dxa" w:w="696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Métodos de END (VT, PT, MT).</w:t>
            </w:r>
          </w:p>
        </w:tc>
      </w:tr>
      <w:tr>
        <w:trPr>
          <w:tblHeader w:val="false"/>
        </w:trPr>
        <w:tc>
          <w:tcPr>
            <w:tcW w:type="dxa" w:w="24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ASME BPVC Secc. II-C / AWS A5.1</w:t>
            </w:r>
          </w:p>
        </w:tc>
        <w:tc>
          <w:tcPr>
            <w:tcW w:type="dxa" w:w="696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Especificación de electrodos y metales de aporte (E7018).</w:t>
            </w:r>
          </w:p>
        </w:tc>
      </w:tr>
      <w:tr>
        <w:trPr>
          <w:tblHeader w:val="false"/>
        </w:trPr>
        <w:tc>
          <w:tcPr>
            <w:tcW w:type="dxa" w:w="240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API 579-1/ASME FFS-1</w:t>
            </w:r>
          </w:p>
        </w:tc>
        <w:tc>
          <w:tcPr>
            <w:tcW w:type="dxa" w:w="696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Fitness-For-Service — evaluación del alcance del daño y aptitud para el servicio (referido por Art. 2.12).</w:t>
            </w:r>
          </w:p>
        </w:tc>
      </w:tr>
    </w:tbl>
    <w:p>
      <w:pPr>
        <w:pStyle w:val="Heading1"/>
        <w:spacing w:after="120" w:before="260"/>
      </w:pPr>
      <w:r>
        <w:rPr>
          <w:b/>
          <w:bCs/>
          <w:color w:val="16304F"/>
          <w:sz w:val="26"/>
          <w:szCs w:val="26"/>
        </w:rPr>
        <w:t xml:space="preserve">3.  Descripción del componente y condiciones de operación</w:t>
      </w:r>
    </w:p>
    <w:p>
      <w:pPr>
        <w:spacing w:after="120" w:line="264"/>
        <w:jc w:val="both"/>
      </w:pPr>
      <w:r>
        <w:rPr>
          <w:color w:val="1A1A1A"/>
          <w:sz w:val="20"/>
          <w:szCs w:val="20"/>
        </w:rPr>
        <w:t xml:space="preserve">El componente es el conjunto de unión bridada vertical mostrado en el registro fotográfico: brida de cuello soldable de 12" que remata en una unión bridada, con la fuga localizada en el cuello (zona de transición cónica del hub), inmediatamente por debajo del anillo de la brida. Los parámetros geométricos y de servicio son:</w:t>
      </w:r>
    </w:p>
    <w:tbl>
      <w:tblPr>
        <w:tblW w:type="dxa" w:w="9360"/>
        <w:tblBorders>
          <w:top w:val="single" w:color="BFC9D4" w:sz="2"/>
          <w:left w:val="single" w:color="BFC9D4" w:sz="2"/>
          <w:bottom w:val="single" w:color="BFC9D4" w:sz="2"/>
          <w:right w:val="single" w:color="BFC9D4" w:sz="2"/>
          <w:insideH w:val="single" w:color="BFC9D4" w:sz="2"/>
          <w:insideV w:val="single" w:color="BFC9D4" w:sz="2"/>
        </w:tblBorders>
      </w:tblPr>
      <w:tblGrid>
        <w:gridCol w:w="3400"/>
        <w:gridCol w:w="4300"/>
        <w:gridCol w:w="1660"/>
      </w:tblGrid>
      <w:tr>
        <w:trPr>
          <w:tblHeader/>
        </w:trPr>
        <w:tc>
          <w:tcPr>
            <w:tcW w:type="dxa" w:w="3400"/>
            <w:shd w:fill="16304F" w:color="auto" w:val="clear"/>
            <w:tcMar>
              <w:top w:type="dxa" w:w="40"/>
              <w:left w:type="dxa" w:w="90"/>
              <w:bottom w:type="dxa" w:w="40"/>
              <w:right w:type="dxa" w:w="90"/>
            </w:tcMar>
          </w:tcPr>
          <w:p>
            <w:pPr>
              <w:spacing w:after="20" w:before="20" w:line="240"/>
              <w:jc w:val="left"/>
            </w:pPr>
            <w:r>
              <w:rPr>
                <w:b/>
                <w:bCs/>
                <w:color w:val="FFFFFF"/>
                <w:sz w:val="18"/>
                <w:szCs w:val="18"/>
              </w:rPr>
              <w:t xml:space="preserve">Parámetro</w:t>
            </w:r>
          </w:p>
        </w:tc>
        <w:tc>
          <w:tcPr>
            <w:tcW w:type="dxa" w:w="4300"/>
            <w:shd w:fill="16304F" w:color="auto" w:val="clear"/>
            <w:tcMar>
              <w:top w:type="dxa" w:w="40"/>
              <w:left w:type="dxa" w:w="90"/>
              <w:bottom w:type="dxa" w:w="40"/>
              <w:right w:type="dxa" w:w="90"/>
            </w:tcMar>
          </w:tcPr>
          <w:p>
            <w:pPr>
              <w:spacing w:after="20" w:before="20" w:line="240"/>
              <w:jc w:val="center"/>
            </w:pPr>
            <w:r>
              <w:rPr>
                <w:b/>
                <w:bCs/>
                <w:color w:val="FFFFFF"/>
                <w:sz w:val="18"/>
                <w:szCs w:val="18"/>
              </w:rPr>
              <w:t xml:space="preserve">Valor</w:t>
            </w:r>
          </w:p>
        </w:tc>
        <w:tc>
          <w:tcPr>
            <w:tcW w:type="dxa" w:w="1660"/>
            <w:shd w:fill="16304F" w:color="auto" w:val="clear"/>
            <w:tcMar>
              <w:top w:type="dxa" w:w="40"/>
              <w:left w:type="dxa" w:w="90"/>
              <w:bottom w:type="dxa" w:w="40"/>
              <w:right w:type="dxa" w:w="90"/>
            </w:tcMar>
          </w:tcPr>
          <w:p>
            <w:pPr>
              <w:spacing w:after="20" w:before="20" w:line="240"/>
              <w:jc w:val="center"/>
            </w:pPr>
            <w:r>
              <w:rPr>
                <w:b/>
                <w:bCs/>
                <w:color w:val="FFFFFF"/>
                <w:sz w:val="18"/>
                <w:szCs w:val="18"/>
              </w:rPr>
              <w:t xml:space="preserve">Referencia</w:t>
            </w:r>
          </w:p>
        </w:tc>
      </w:tr>
      <w:tr>
        <w:trPr>
          <w:tblHeader w:val="false"/>
        </w:trPr>
        <w:tc>
          <w:tcPr>
            <w:tcW w:type="dxa" w:w="34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Diámetro nominal</w:t>
            </w:r>
          </w:p>
        </w:tc>
        <w:tc>
          <w:tcPr>
            <w:tcW w:type="dxa" w:w="430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NPS 12 (DN 300)</w:t>
            </w:r>
          </w:p>
        </w:tc>
        <w:tc>
          <w:tcPr>
            <w:tcW w:type="dxa" w:w="166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B36.10M</w:t>
            </w:r>
          </w:p>
        </w:tc>
      </w:tr>
      <w:tr>
        <w:trPr>
          <w:tblHeader w:val="false"/>
        </w:trPr>
        <w:tc>
          <w:tcPr>
            <w:tcW w:type="dxa" w:w="340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Diámetro exterior tubería (OD)</w:t>
            </w:r>
          </w:p>
        </w:tc>
        <w:tc>
          <w:tcPr>
            <w:tcW w:type="dxa" w:w="430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323,85 mm (12,75")</w:t>
            </w:r>
          </w:p>
        </w:tc>
        <w:tc>
          <w:tcPr>
            <w:tcW w:type="dxa" w:w="166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B36.10M</w:t>
            </w:r>
          </w:p>
        </w:tc>
      </w:tr>
      <w:tr>
        <w:trPr>
          <w:tblHeader w:val="false"/>
        </w:trPr>
        <w:tc>
          <w:tcPr>
            <w:tcW w:type="dxa" w:w="34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Espesor de pared (SCH 20)</w:t>
            </w:r>
          </w:p>
        </w:tc>
        <w:tc>
          <w:tcPr>
            <w:tcW w:type="dxa" w:w="430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6,35 mm nom. (mín. mill −12,5% ≈ 5,56 mm)</w:t>
            </w:r>
          </w:p>
        </w:tc>
        <w:tc>
          <w:tcPr>
            <w:tcW w:type="dxa" w:w="166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B36.10M</w:t>
            </w:r>
          </w:p>
        </w:tc>
      </w:tr>
      <w:tr>
        <w:trPr>
          <w:tblHeader w:val="false"/>
        </w:trPr>
        <w:tc>
          <w:tcPr>
            <w:tcW w:type="dxa" w:w="340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Brida</w:t>
            </w:r>
          </w:p>
        </w:tc>
        <w:tc>
          <w:tcPr>
            <w:tcW w:type="dxa" w:w="430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WN 12", Clase 150, cara resaltada 1/16", ASTM A-105</w:t>
            </w:r>
          </w:p>
        </w:tc>
        <w:tc>
          <w:tcPr>
            <w:tcW w:type="dxa" w:w="166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B16.5</w:t>
            </w:r>
          </w:p>
        </w:tc>
      </w:tr>
      <w:tr>
        <w:trPr>
          <w:tblHeader w:val="false"/>
        </w:trPr>
        <w:tc>
          <w:tcPr>
            <w:tcW w:type="dxa" w:w="34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Rating brida 150# (A-105, ≤ 38 °C)</w:t>
            </w:r>
          </w:p>
        </w:tc>
        <w:tc>
          <w:tcPr>
            <w:tcW w:type="dxa" w:w="430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 19,6 barg (≈ 20 kg/cm² / 285 psi)</w:t>
            </w:r>
          </w:p>
        </w:tc>
        <w:tc>
          <w:tcPr>
            <w:tcW w:type="dxa" w:w="166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B16.5 Tabla 2-1.1</w:t>
            </w:r>
          </w:p>
        </w:tc>
      </w:tr>
      <w:tr>
        <w:trPr>
          <w:tblHeader w:val="false"/>
        </w:trPr>
        <w:tc>
          <w:tcPr>
            <w:tcW w:type="dxa" w:w="340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Presión de operación</w:t>
            </w:r>
          </w:p>
        </w:tc>
        <w:tc>
          <w:tcPr>
            <w:tcW w:type="dxa" w:w="430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5,0 kg/cm²g (0,49 MPa / 71 psi / 4,9 bar)</w:t>
            </w:r>
          </w:p>
        </w:tc>
        <w:tc>
          <w:tcPr>
            <w:tcW w:type="dxa" w:w="166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Hoja de producción</w:t>
            </w:r>
          </w:p>
        </w:tc>
      </w:tr>
      <w:tr>
        <w:trPr>
          <w:tblHeader w:val="false"/>
        </w:trPr>
        <w:tc>
          <w:tcPr>
            <w:tcW w:type="dxa" w:w="34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Temperatura de operación</w:t>
            </w:r>
          </w:p>
        </w:tc>
        <w:tc>
          <w:tcPr>
            <w:tcW w:type="dxa" w:w="430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25 °C</w:t>
            </w:r>
          </w:p>
        </w:tc>
        <w:tc>
          <w:tcPr>
            <w:tcW w:type="dxa" w:w="166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Hoja de producción</w:t>
            </w:r>
          </w:p>
        </w:tc>
      </w:tr>
      <w:tr>
        <w:trPr>
          <w:tblHeader w:val="false"/>
        </w:trPr>
        <w:tc>
          <w:tcPr>
            <w:tcW w:type="dxa" w:w="340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Fluido</w:t>
            </w:r>
          </w:p>
        </w:tc>
        <w:tc>
          <w:tcPr>
            <w:tcW w:type="dxa" w:w="430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Agua de enfriamiento (no inflamable, no tóxica)</w:t>
            </w:r>
          </w:p>
        </w:tc>
        <w:tc>
          <w:tcPr>
            <w:tcW w:type="dxa" w:w="166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Hoja de producción</w:t>
            </w:r>
          </w:p>
        </w:tc>
      </w:tr>
    </w:tbl>
    <w:p>
      <w:pPr>
        <w:spacing w:after="120" w:line="264"/>
        <w:jc w:val="both"/>
      </w:pPr>
      <w:r>
        <w:rPr>
          <w:b/>
          <w:bCs/>
          <w:i w:val="false"/>
          <w:iCs w:val="false"/>
          <w:color w:val="1A1A1A"/>
          <w:sz w:val="20"/>
          <w:szCs w:val="20"/>
        </w:rPr>
        <w:t xml:space="preserve">Presión de diseño: </w:t>
      </w:r>
      <w:r>
        <w:rPr>
          <w:b w:val="false"/>
          <w:bCs w:val="false"/>
          <w:i w:val="false"/>
          <w:iCs w:val="false"/>
          <w:color w:val="1A1A1A"/>
          <w:sz w:val="20"/>
          <w:szCs w:val="20"/>
        </w:rPr>
        <w:t xml:space="preserve">la hoja de producción reporta únicamente la presión de operación (5 kg/cm²). Antes de emitir la revisión final debe confirmarse la presión de diseño de la línea según la clase de tubería «B1». La memoria de cálculo se desarrolla en forma paramétrica y se evalúa en tres niveles (operación 5 kg/cm², un diseño típico de agua de enfriamiento 10 kg/cm² y el rating pleno de la brida 20 kg/cm² como cota superior envolvente).</w:t>
      </w:r>
    </w:p>
    <w:p>
      <w:pPr>
        <w:pStyle w:val="Heading1"/>
        <w:spacing w:after="120" w:before="260"/>
      </w:pPr>
      <w:r>
        <w:rPr>
          <w:b/>
          <w:bCs/>
          <w:color w:val="16304F"/>
          <w:sz w:val="26"/>
          <w:szCs w:val="26"/>
        </w:rPr>
        <w:t xml:space="preserve">4.  Descripción del defecto y evaluación previa (obligatoria)</w:t>
      </w:r>
    </w:p>
    <w:p>
      <w:pPr>
        <w:spacing w:after="120" w:line="264"/>
        <w:jc w:val="both"/>
      </w:pPr>
      <w:r>
        <w:rPr>
          <w:color w:val="1A1A1A"/>
          <w:sz w:val="20"/>
          <w:szCs w:val="20"/>
        </w:rPr>
        <w:t xml:space="preserve">El defecto es un agujero pasante de aproximadamente 3 mm de diámetro en el cuello de la brida, con fuga activa de agua. El registro fotográfico muestra picaduras y productos de corrosión (manchas de óxido y sales) alrededor de los espárragos y sobre el cuello, compatibles con corrosión localizada (externa por humedad/condensación retenida en la zona de la brida, y/o interna del agua de enfriamiento — picadura o corrosión microbiológica).</w:t>
      </w:r>
    </w:p>
    <w:p>
      <w:pPr>
        <w:spacing w:after="120" w:line="264"/>
        <w:jc w:val="both"/>
      </w:pPr>
      <w:r>
        <w:rPr>
          <w:b/>
          <w:bCs/>
          <w:i w:val="false"/>
          <w:iCs w:val="false"/>
          <w:color w:val="1A1A1A"/>
          <w:sz w:val="20"/>
          <w:szCs w:val="20"/>
        </w:rPr>
        <w:t xml:space="preserve">Requisito de caracterización (PCC-2 Art. 2.12, §2): </w:t>
      </w:r>
      <w:r>
        <w:rPr>
          <w:b w:val="false"/>
          <w:bCs w:val="false"/>
          <w:i w:val="false"/>
          <w:iCs w:val="false"/>
          <w:color w:val="1A1A1A"/>
          <w:sz w:val="20"/>
          <w:szCs w:val="20"/>
        </w:rPr>
        <w:t xml:space="preserve">el método de parche soldado no puede aplicarse si el mecanismo de daño, su extensión o el daño futuro probable no están caracterizados. Por tanto, previo a dimensionar el parche es obligatorio:</w:t>
      </w:r>
    </w:p>
    <w:p>
      <w:pPr>
        <w:pStyle w:val="ListParagraph"/>
        <w:numPr>
          <w:ilvl w:val="0"/>
          <w:numId w:val="2"/>
        </w:numPr>
        <w:spacing w:after="70" w:line="260"/>
        <w:jc w:val="both"/>
      </w:pPr>
      <w:r>
        <w:rPr>
          <w:sz w:val="20"/>
          <w:szCs w:val="20"/>
        </w:rPr>
        <w:t xml:space="preserve">Mapear por ultrasonido (UT) el espesor remanente en el cuello y la tubería adyacente, delimitando la zona adelgazada/corroída (registrar la isolínea de espesor mínimo). El parche debe cubrir toda el área evaluada como no apta más un solape de metal sano ≥ 25 mm en todo el perímetro.</w:t>
      </w:r>
    </w:p>
    <w:p>
      <w:pPr>
        <w:pStyle w:val="ListParagraph"/>
        <w:numPr>
          <w:ilvl w:val="0"/>
          <w:numId w:val="2"/>
        </w:numPr>
        <w:spacing w:after="70" w:line="260"/>
        <w:jc w:val="both"/>
      </w:pPr>
      <w:r>
        <w:rPr>
          <w:sz w:val="20"/>
          <w:szCs w:val="20"/>
        </w:rPr>
        <w:t xml:space="preserve">Confirmar que no existan fisuras (inspección PT/MT de la zona). Si se detectan grietas, aplican las condiciones de Art. 2.12 §2 y una evaluación FFS (API 579).</w:t>
      </w:r>
    </w:p>
    <w:p>
      <w:pPr>
        <w:pStyle w:val="ListParagraph"/>
        <w:numPr>
          <w:ilvl w:val="0"/>
          <w:numId w:val="2"/>
        </w:numPr>
        <w:spacing w:after="70" w:line="260"/>
        <w:jc w:val="both"/>
      </w:pPr>
      <w:r>
        <w:rPr>
          <w:sz w:val="20"/>
          <w:szCs w:val="20"/>
        </w:rPr>
        <w:t xml:space="preserve">Verificar el estado de los espárragos/tuercas de la brida (evidencian corrosión avanzada); su reemplazo debe evaluarse en el mismo intervención.</w:t>
      </w:r>
    </w:p>
    <w:p>
      <w:pPr>
        <w:pStyle w:val="ListParagraph"/>
        <w:numPr>
          <w:ilvl w:val="0"/>
          <w:numId w:val="2"/>
        </w:numPr>
        <w:spacing w:after="70" w:line="260"/>
        <w:jc w:val="both"/>
      </w:pPr>
      <w:r>
        <w:rPr>
          <w:sz w:val="20"/>
          <w:szCs w:val="20"/>
        </w:rPr>
        <w:t xml:space="preserve">Registrar la causa raíz para la reparación definitiva (proteger el cuello contra corrosión externa; evaluar tratamiento/calidad del agua de enfriamiento si la corrosión es interna).</w:t>
      </w:r>
    </w:p>
    <w:p>
      <w:pPr>
        <w:pStyle w:val="Heading1"/>
        <w:spacing w:after="120" w:before="260"/>
      </w:pPr>
      <w:r>
        <w:rPr>
          <w:b/>
          <w:bCs/>
          <w:color w:val="16304F"/>
          <w:sz w:val="26"/>
          <w:szCs w:val="26"/>
        </w:rPr>
        <w:t xml:space="preserve">5.  Selección del método de reparación</w:t>
      </w:r>
    </w:p>
    <w:p>
      <w:pPr>
        <w:spacing w:after="120" w:line="264"/>
        <w:jc w:val="both"/>
      </w:pPr>
      <w:r>
        <w:rPr>
          <w:color w:val="1A1A1A"/>
          <w:sz w:val="20"/>
          <w:szCs w:val="20"/>
        </w:rPr>
        <w:t xml:space="preserve">La Tabla 1 de PCC-2 (guía de selección) señala el parche soldado de filete (Art. 2.12 / 2.7) como técnica aplicable a picadura y adelgazamiento local, incluida perforación pasante. Dado que la fuga se ubica en el cuello, dentro de la distancia de discontinuidad de la brida, y que el equipo no se libera para reparación definitiva, se adopta la siguiente jerarquía:</w:t>
      </w:r>
    </w:p>
    <w:tbl>
      <w:tblPr>
        <w:tblW w:type="dxa" w:w="9360"/>
        <w:tblBorders>
          <w:top w:val="single" w:color="BFC9D4" w:sz="2"/>
          <w:left w:val="single" w:color="BFC9D4" w:sz="2"/>
          <w:bottom w:val="single" w:color="BFC9D4" w:sz="2"/>
          <w:right w:val="single" w:color="BFC9D4" w:sz="2"/>
          <w:insideH w:val="single" w:color="BFC9D4" w:sz="2"/>
          <w:insideV w:val="single" w:color="BFC9D4" w:sz="2"/>
        </w:tblBorders>
      </w:tblPr>
      <w:tblGrid>
        <w:gridCol w:w="1500"/>
        <w:gridCol w:w="2600"/>
        <w:gridCol w:w="5260"/>
      </w:tblGrid>
      <w:tr>
        <w:trPr>
          <w:tblHeader/>
        </w:trPr>
        <w:tc>
          <w:tcPr>
            <w:tcW w:type="dxa" w:w="1500"/>
            <w:shd w:fill="16304F" w:color="auto" w:val="clear"/>
            <w:tcMar>
              <w:top w:type="dxa" w:w="40"/>
              <w:left w:type="dxa" w:w="90"/>
              <w:bottom w:type="dxa" w:w="40"/>
              <w:right w:type="dxa" w:w="90"/>
            </w:tcMar>
          </w:tcPr>
          <w:p>
            <w:pPr>
              <w:spacing w:after="20" w:before="20" w:line="240"/>
              <w:jc w:val="left"/>
            </w:pPr>
            <w:r>
              <w:rPr>
                <w:b/>
                <w:bCs/>
                <w:color w:val="FFFFFF"/>
                <w:sz w:val="18"/>
                <w:szCs w:val="18"/>
              </w:rPr>
              <w:t xml:space="preserve">Opción</w:t>
            </w:r>
          </w:p>
        </w:tc>
        <w:tc>
          <w:tcPr>
            <w:tcW w:type="dxa" w:w="2600"/>
            <w:shd w:fill="16304F" w:color="auto" w:val="clear"/>
            <w:tcMar>
              <w:top w:type="dxa" w:w="40"/>
              <w:left w:type="dxa" w:w="90"/>
              <w:bottom w:type="dxa" w:w="40"/>
              <w:right w:type="dxa" w:w="90"/>
            </w:tcMar>
          </w:tcPr>
          <w:p>
            <w:pPr>
              <w:spacing w:after="20" w:before="20" w:line="240"/>
              <w:jc w:val="center"/>
            </w:pPr>
            <w:r>
              <w:rPr>
                <w:b/>
                <w:bCs/>
                <w:color w:val="FFFFFF"/>
                <w:sz w:val="18"/>
                <w:szCs w:val="18"/>
              </w:rPr>
              <w:t xml:space="preserve">Método PCC-2</w:t>
            </w:r>
          </w:p>
        </w:tc>
        <w:tc>
          <w:tcPr>
            <w:tcW w:type="dxa" w:w="5260"/>
            <w:shd w:fill="16304F" w:color="auto" w:val="clear"/>
            <w:tcMar>
              <w:top w:type="dxa" w:w="40"/>
              <w:left w:type="dxa" w:w="90"/>
              <w:bottom w:type="dxa" w:w="40"/>
              <w:right w:type="dxa" w:w="90"/>
            </w:tcMar>
          </w:tcPr>
          <w:p>
            <w:pPr>
              <w:spacing w:after="20" w:before="20" w:line="240"/>
              <w:jc w:val="center"/>
            </w:pPr>
            <w:r>
              <w:rPr>
                <w:b/>
                <w:bCs/>
                <w:color w:val="FFFFFF"/>
                <w:sz w:val="18"/>
                <w:szCs w:val="18"/>
              </w:rPr>
              <w:t xml:space="preserve">Aplicabilidad a este caso</w:t>
            </w:r>
          </w:p>
        </w:tc>
      </w:tr>
      <w:tr>
        <w:trPr>
          <w:tblHeader w:val="false"/>
        </w:trPr>
        <w:tc>
          <w:tcPr>
            <w:tcW w:type="dxa" w:w="15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RECOMENDADA</w:t>
            </w:r>
          </w:p>
        </w:tc>
        <w:tc>
          <w:tcPr>
            <w:tcW w:type="dxa" w:w="260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Collar de refuerzo 360° (parche de filete Art. 2.12 + tapones Art. 2.7), contorneado al cuello</w:t>
            </w:r>
          </w:p>
        </w:tc>
        <w:tc>
          <w:tcPr>
            <w:tcW w:type="dxa" w:w="526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Cumple el requisito de §3.3(c): al estar el defecto a menos de L_mín de la brida, el parche se diseña como refuerzo que rodea 360° la abertura. Robusto, encierra la fuga y distribuye la carga.</w:t>
            </w:r>
          </w:p>
        </w:tc>
      </w:tr>
      <w:tr>
        <w:trPr>
          <w:tblHeader w:val="false"/>
        </w:trPr>
        <w:tc>
          <w:tcPr>
            <w:tcW w:type="dxa" w:w="150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Alternativa A</w:t>
            </w:r>
          </w:p>
        </w:tc>
        <w:tc>
          <w:tcPr>
            <w:tcW w:type="dxa" w:w="260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Parche local contorneado (Art. 2.12/2.7)</w:t>
            </w:r>
          </w:p>
        </w:tc>
        <w:tc>
          <w:tcPr>
            <w:tcW w:type="dxa" w:w="526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Aceptable SOLO si el UT confirma que la zona corroída queda a ≥ L_mín (63,5 mm) del filete de la brida y sobre superficie conformable. Menor tamaño.</w:t>
            </w:r>
          </w:p>
        </w:tc>
      </w:tr>
      <w:tr>
        <w:trPr>
          <w:tblHeader w:val="false"/>
        </w:trPr>
        <w:tc>
          <w:tcPr>
            <w:tcW w:type="dxa" w:w="15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Alternativa B</w:t>
            </w:r>
          </w:p>
        </w:tc>
        <w:tc>
          <w:tcPr>
            <w:tcW w:type="dxa" w:w="260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Caja de fuga soldada (Art. 2.4) / camisa Tipo B (Art. 2.6)</w:t>
            </w:r>
          </w:p>
        </w:tc>
        <w:tc>
          <w:tcPr>
            <w:tcW w:type="dxa" w:w="526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Recomendada si la geometría del hub o la extensión del daño dificultan el contorneado, o si la presión de diseño supera el límite del parche de solape. La caja encapsula la fuga.</w:t>
            </w:r>
          </w:p>
        </w:tc>
      </w:tr>
    </w:tbl>
    <w:p>
      <w:pPr>
        <w:spacing w:after="120" w:line="264"/>
        <w:jc w:val="both"/>
      </w:pPr>
      <w:r>
        <w:rPr>
          <w:b/>
          <w:bCs/>
          <w:i w:val="false"/>
          <w:iCs w:val="false"/>
          <w:color w:val="1A1A1A"/>
          <w:sz w:val="20"/>
          <w:szCs w:val="20"/>
        </w:rPr>
        <w:t xml:space="preserve">Decisión sobre soldadura en servicio: </w:t>
      </w:r>
      <w:r>
        <w:rPr>
          <w:b w:val="false"/>
          <w:bCs w:val="false"/>
          <w:i w:val="false"/>
          <w:iCs w:val="false"/>
          <w:color w:val="1A1A1A"/>
          <w:sz w:val="20"/>
          <w:szCs w:val="20"/>
        </w:rPr>
        <w:t xml:space="preserve">por tratarse de agua de enfriamiento (no inflamable) a baja presión y temperatura ambiente, la reparación es técnicamente ejecutable en servicio. No obstante, se recomienda —cuando sea posible— aislar y drenar el tramo de spillback (cerrando la válvula mariposa aguas abajo y el aislamiento correspondiente) para soldar en seco: mejora la calidad, elimina el riesgo de vapor y facilita el END. Si no es posible drenar, la reparación se ejecuta en servicio bajo las provisiones del Art. 2.10 (control de perforación por fusión «burn-through» e fisuración por hidrógeno), gestionando la fuga con el agujero de venteo/testigo del collar.</w:t>
      </w:r>
    </w:p>
    <w:p>
      <w:pPr>
        <w:pStyle w:val="Heading1"/>
        <w:spacing w:after="120" w:before="260"/>
      </w:pPr>
      <w:r>
        <w:rPr>
          <w:b/>
          <w:bCs/>
          <w:color w:val="16304F"/>
          <w:sz w:val="26"/>
          <w:szCs w:val="26"/>
        </w:rPr>
        <w:t xml:space="preserve">6.  Memoria de cálculo (diseño)</w:t>
      </w:r>
    </w:p>
    <w:p>
      <w:pPr>
        <w:spacing w:after="120" w:line="264"/>
        <w:jc w:val="both"/>
      </w:pPr>
      <w:r>
        <w:rPr>
          <w:color w:val="1A1A1A"/>
          <w:sz w:val="20"/>
          <w:szCs w:val="20"/>
        </w:rPr>
        <w:t xml:space="preserve">Cargas por presión interna sobre el parche (PCC-2 Art. 2.12, §3.2). Diámetro a media pared D_m = OD − t = 323,85 − 6,35 = 317,5 mm; radio medio R_m = 158,8 mm. Esfuerzo admisible del material base y del parche S_a = 137,9 MPa (20 ksi) para A-105 / A106-B / A516-70 a ≤ 40 °C.</w:t>
      </w:r>
    </w:p>
    <w:p>
      <w:pPr>
        <w:pStyle w:val="Heading2"/>
        <w:spacing w:after="80" w:before="180"/>
      </w:pPr>
      <w:r>
        <w:rPr>
          <w:b/>
          <w:bCs/>
          <w:color w:val="0D7C7C"/>
          <w:sz w:val="22"/>
          <w:szCs w:val="22"/>
        </w:rPr>
        <w:t xml:space="preserve">6.1  Fuerzas de membrana y filete perimetral requerido</w:t>
      </w:r>
    </w:p>
    <w:p>
      <w:pPr>
        <w:spacing w:after="120" w:line="264"/>
        <w:jc w:val="both"/>
      </w:pPr>
      <w:r>
        <w:rPr>
          <w:b w:val="false"/>
          <w:bCs w:val="false"/>
          <w:i w:val="false"/>
          <w:iCs w:val="false"/>
          <w:color w:val="1A1A1A"/>
          <w:sz w:val="20"/>
          <w:szCs w:val="20"/>
        </w:rPr>
        <w:t xml:space="preserve">Fuerza circunferencial (gobernante): </w:t>
      </w:r>
      <w:r>
        <w:rPr>
          <w:b w:val="false"/>
          <w:bCs w:val="false"/>
          <w:i/>
          <w:iCs/>
          <w:color w:val="1A1A1A"/>
          <w:sz w:val="20"/>
          <w:szCs w:val="20"/>
        </w:rPr>
        <w:t xml:space="preserve">F_CP = P·D_m / 2</w:t>
      </w:r>
      <w:r>
        <w:rPr>
          <w:b w:val="false"/>
          <w:bCs w:val="false"/>
          <w:i w:val="false"/>
          <w:iCs w:val="false"/>
          <w:color w:val="1A1A1A"/>
          <w:sz w:val="20"/>
          <w:szCs w:val="20"/>
        </w:rPr>
        <w:t xml:space="preserve">   ·   Fuerza longitudinal: </w:t>
      </w:r>
      <w:r>
        <w:rPr>
          <w:b w:val="false"/>
          <w:bCs w:val="false"/>
          <w:i/>
          <w:iCs/>
          <w:color w:val="1A1A1A"/>
          <w:sz w:val="20"/>
          <w:szCs w:val="20"/>
        </w:rPr>
        <w:t xml:space="preserve">F_LP = P·D_m / 4</w:t>
      </w:r>
      <w:r>
        <w:rPr>
          <w:b w:val="false"/>
          <w:bCs w:val="false"/>
          <w:i w:val="false"/>
          <w:iCs w:val="false"/>
          <w:color w:val="1A1A1A"/>
          <w:sz w:val="20"/>
          <w:szCs w:val="20"/>
        </w:rPr>
        <w:t xml:space="preserve">.   Filete requerido (ec. 4): </w:t>
      </w:r>
      <w:r>
        <w:rPr>
          <w:b w:val="false"/>
          <w:bCs w:val="false"/>
          <w:i/>
          <w:iCs/>
          <w:color w:val="1A1A1A"/>
          <w:sz w:val="20"/>
          <w:szCs w:val="20"/>
        </w:rPr>
        <w:t xml:space="preserve">F_A = w·E·S_a ≥ F_C</w:t>
      </w:r>
      <w:r>
        <w:rPr>
          <w:b w:val="false"/>
          <w:bCs w:val="false"/>
          <w:i w:val="false"/>
          <w:iCs w:val="false"/>
          <w:color w:val="1A1A1A"/>
          <w:sz w:val="20"/>
          <w:szCs w:val="20"/>
        </w:rPr>
        <w:t xml:space="preserve">  con E = 0,55 (eficiencia de junta de filete), de donde </w:t>
      </w:r>
      <w:r>
        <w:rPr>
          <w:b w:val="false"/>
          <w:bCs w:val="false"/>
          <w:i/>
          <w:iCs/>
          <w:color w:val="1A1A1A"/>
          <w:sz w:val="20"/>
          <w:szCs w:val="20"/>
        </w:rPr>
        <w:t xml:space="preserve">w_mín ≥ F_C / (E·S_a)</w:t>
      </w:r>
      <w:r>
        <w:rPr>
          <w:b w:val="false"/>
          <w:bCs w:val="false"/>
          <w:i w:val="false"/>
          <w:iCs w:val="false"/>
          <w:color w:val="1A1A1A"/>
          <w:sz w:val="20"/>
          <w:szCs w:val="20"/>
        </w:rPr>
        <w:t xml:space="preserve">.</w:t>
      </w:r>
    </w:p>
    <w:tbl>
      <w:tblPr>
        <w:tblW w:type="dxa" w:w="9360"/>
        <w:tblBorders>
          <w:top w:val="single" w:color="BFC9D4" w:sz="2"/>
          <w:left w:val="single" w:color="BFC9D4" w:sz="2"/>
          <w:bottom w:val="single" w:color="BFC9D4" w:sz="2"/>
          <w:right w:val="single" w:color="BFC9D4" w:sz="2"/>
          <w:insideH w:val="single" w:color="BFC9D4" w:sz="2"/>
          <w:insideV w:val="single" w:color="BFC9D4" w:sz="2"/>
        </w:tblBorders>
      </w:tblPr>
      <w:tblGrid>
        <w:gridCol w:w="3600"/>
        <w:gridCol w:w="1600"/>
        <w:gridCol w:w="2000"/>
        <w:gridCol w:w="2160"/>
      </w:tblGrid>
      <w:tr>
        <w:trPr>
          <w:tblHeader/>
        </w:trPr>
        <w:tc>
          <w:tcPr>
            <w:tcW w:type="dxa" w:w="3600"/>
            <w:shd w:fill="16304F" w:color="auto" w:val="clear"/>
            <w:tcMar>
              <w:top w:type="dxa" w:w="40"/>
              <w:left w:type="dxa" w:w="90"/>
              <w:bottom w:type="dxa" w:w="40"/>
              <w:right w:type="dxa" w:w="90"/>
            </w:tcMar>
          </w:tcPr>
          <w:p>
            <w:pPr>
              <w:spacing w:after="20" w:before="20" w:line="240"/>
              <w:jc w:val="left"/>
            </w:pPr>
            <w:r>
              <w:rPr>
                <w:b/>
                <w:bCs/>
                <w:color w:val="FFFFFF"/>
                <w:sz w:val="18"/>
                <w:szCs w:val="18"/>
              </w:rPr>
              <w:t xml:space="preserve">Presión evaluada</w:t>
            </w:r>
          </w:p>
        </w:tc>
        <w:tc>
          <w:tcPr>
            <w:tcW w:type="dxa" w:w="1600"/>
            <w:shd w:fill="16304F" w:color="auto" w:val="clear"/>
            <w:tcMar>
              <w:top w:type="dxa" w:w="40"/>
              <w:left w:type="dxa" w:w="90"/>
              <w:bottom w:type="dxa" w:w="40"/>
              <w:right w:type="dxa" w:w="90"/>
            </w:tcMar>
          </w:tcPr>
          <w:p>
            <w:pPr>
              <w:spacing w:after="20" w:before="20" w:line="240"/>
              <w:jc w:val="center"/>
            </w:pPr>
            <w:r>
              <w:rPr>
                <w:b/>
                <w:bCs/>
                <w:color w:val="FFFFFF"/>
                <w:sz w:val="18"/>
                <w:szCs w:val="18"/>
              </w:rPr>
              <w:t xml:space="preserve">P (MPa)</w:t>
            </w:r>
          </w:p>
        </w:tc>
        <w:tc>
          <w:tcPr>
            <w:tcW w:type="dxa" w:w="2000"/>
            <w:shd w:fill="16304F" w:color="auto" w:val="clear"/>
            <w:tcMar>
              <w:top w:type="dxa" w:w="40"/>
              <w:left w:type="dxa" w:w="90"/>
              <w:bottom w:type="dxa" w:w="40"/>
              <w:right w:type="dxa" w:w="90"/>
            </w:tcMar>
          </w:tcPr>
          <w:p>
            <w:pPr>
              <w:spacing w:after="20" w:before="20" w:line="240"/>
              <w:jc w:val="center"/>
            </w:pPr>
            <w:r>
              <w:rPr>
                <w:b/>
                <w:bCs/>
                <w:color w:val="FFFFFF"/>
                <w:sz w:val="18"/>
                <w:szCs w:val="18"/>
              </w:rPr>
              <w:t xml:space="preserve">F_CP (N/mm)</w:t>
            </w:r>
          </w:p>
        </w:tc>
        <w:tc>
          <w:tcPr>
            <w:tcW w:type="dxa" w:w="2160"/>
            <w:shd w:fill="16304F" w:color="auto" w:val="clear"/>
            <w:tcMar>
              <w:top w:type="dxa" w:w="40"/>
              <w:left w:type="dxa" w:w="90"/>
              <w:bottom w:type="dxa" w:w="40"/>
              <w:right w:type="dxa" w:w="90"/>
            </w:tcMar>
          </w:tcPr>
          <w:p>
            <w:pPr>
              <w:spacing w:after="20" w:before="20" w:line="240"/>
              <w:jc w:val="center"/>
            </w:pPr>
            <w:r>
              <w:rPr>
                <w:b/>
                <w:bCs/>
                <w:color w:val="FFFFFF"/>
                <w:sz w:val="18"/>
                <w:szCs w:val="18"/>
              </w:rPr>
              <w:t xml:space="preserve">Filete w_mín (mm)</w:t>
            </w:r>
          </w:p>
        </w:tc>
      </w:tr>
      <w:tr>
        <w:trPr>
          <w:tblHeader w:val="false"/>
        </w:trPr>
        <w:tc>
          <w:tcPr>
            <w:tcW w:type="dxa" w:w="36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Operación (5 kg/cm²)</w:t>
            </w:r>
          </w:p>
        </w:tc>
        <w:tc>
          <w:tcPr>
            <w:tcW w:type="dxa" w:w="160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0,49</w:t>
            </w:r>
          </w:p>
        </w:tc>
        <w:tc>
          <w:tcPr>
            <w:tcW w:type="dxa" w:w="200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77,8</w:t>
            </w:r>
          </w:p>
        </w:tc>
        <w:tc>
          <w:tcPr>
            <w:tcW w:type="dxa" w:w="216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1,03</w:t>
            </w:r>
          </w:p>
        </w:tc>
      </w:tr>
      <w:tr>
        <w:trPr>
          <w:tblHeader w:val="false"/>
        </w:trPr>
        <w:tc>
          <w:tcPr>
            <w:tcW w:type="dxa" w:w="360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Diseño típico (10 kg/cm²)</w:t>
            </w:r>
          </w:p>
        </w:tc>
        <w:tc>
          <w:tcPr>
            <w:tcW w:type="dxa" w:w="160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0,98</w:t>
            </w:r>
          </w:p>
        </w:tc>
        <w:tc>
          <w:tcPr>
            <w:tcW w:type="dxa" w:w="200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155,7</w:t>
            </w:r>
          </w:p>
        </w:tc>
        <w:tc>
          <w:tcPr>
            <w:tcW w:type="dxa" w:w="216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2,05</w:t>
            </w:r>
          </w:p>
        </w:tc>
      </w:tr>
      <w:tr>
        <w:trPr>
          <w:tblHeader w:val="false"/>
        </w:trPr>
        <w:tc>
          <w:tcPr>
            <w:tcW w:type="dxa" w:w="36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Rating 150# — cota superior (20 kg/cm²)</w:t>
            </w:r>
          </w:p>
        </w:tc>
        <w:tc>
          <w:tcPr>
            <w:tcW w:type="dxa" w:w="160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1,96</w:t>
            </w:r>
          </w:p>
        </w:tc>
        <w:tc>
          <w:tcPr>
            <w:tcW w:type="dxa" w:w="200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311,1</w:t>
            </w:r>
          </w:p>
        </w:tc>
        <w:tc>
          <w:tcPr>
            <w:tcW w:type="dxa" w:w="216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4,10</w:t>
            </w:r>
          </w:p>
        </w:tc>
      </w:tr>
    </w:tbl>
    <w:p>
      <w:pPr>
        <w:spacing w:after="120" w:line="264"/>
        <w:jc w:val="both"/>
      </w:pPr>
      <w:r>
        <w:rPr>
          <w:b w:val="false"/>
          <w:bCs w:val="false"/>
          <w:i w:val="false"/>
          <w:iCs w:val="false"/>
          <w:color w:val="1A1A1A"/>
          <w:sz w:val="20"/>
          <w:szCs w:val="20"/>
        </w:rPr>
        <w:t xml:space="preserve">Filete perimetral adoptado: cateto </w:t>
      </w:r>
      <w:r>
        <w:rPr>
          <w:b/>
          <w:bCs/>
          <w:i w:val="false"/>
          <w:iCs w:val="false"/>
          <w:color w:val="1A1A1A"/>
          <w:sz w:val="20"/>
          <w:szCs w:val="20"/>
        </w:rPr>
        <w:t xml:space="preserve">w = 6 mm</w:t>
      </w:r>
      <w:r>
        <w:rPr>
          <w:b w:val="false"/>
          <w:bCs w:val="false"/>
          <w:i w:val="false"/>
          <w:iCs w:val="false"/>
          <w:color w:val="1A1A1A"/>
          <w:sz w:val="20"/>
          <w:szCs w:val="20"/>
        </w:rPr>
        <w:t xml:space="preserve"> (≥ 4,10 mm exigido aun en la cota superior; limitado por el espesor del elemento más delgado, la pared de 6,35 mm, según la Nota de §3.4).</w:t>
      </w:r>
    </w:p>
    <w:p>
      <w:pPr>
        <w:pStyle w:val="Heading2"/>
        <w:spacing w:after="80" w:before="180"/>
      </w:pPr>
      <w:r>
        <w:rPr>
          <w:b/>
          <w:bCs/>
          <w:color w:val="0D7C7C"/>
          <w:sz w:val="22"/>
          <w:szCs w:val="22"/>
        </w:rPr>
        <w:t xml:space="preserve">6.2  Distancia a la discontinuidad (setback) L_mín</w:t>
      </w:r>
    </w:p>
    <w:p>
      <w:pPr>
        <w:spacing w:after="120" w:line="264"/>
        <w:jc w:val="both"/>
      </w:pPr>
      <w:r>
        <w:rPr>
          <w:b w:val="false"/>
          <w:bCs w:val="false"/>
          <w:i w:val="false"/>
          <w:iCs w:val="false"/>
          <w:color w:val="1A1A1A"/>
          <w:sz w:val="20"/>
          <w:szCs w:val="20"/>
        </w:rPr>
        <w:t xml:space="preserve">PCC-2 Art. 2.12 §3.3(a), ec. 3: </w:t>
      </w:r>
      <w:r>
        <w:rPr>
          <w:b w:val="false"/>
          <w:bCs w:val="false"/>
          <w:i/>
          <w:iCs/>
          <w:color w:val="1A1A1A"/>
          <w:sz w:val="20"/>
          <w:szCs w:val="20"/>
        </w:rPr>
        <w:t xml:space="preserve">L_mín = 2·√(R_m·t) = 2·√(158,8 × 6,35) = 63,5 mm</w:t>
      </w:r>
      <w:r>
        <w:rPr>
          <w:b w:val="false"/>
          <w:bCs w:val="false"/>
          <w:i w:val="false"/>
          <w:iCs w:val="false"/>
          <w:color w:val="1A1A1A"/>
          <w:sz w:val="20"/>
          <w:szCs w:val="20"/>
        </w:rPr>
        <w:t xml:space="preserve">.  Como la fuga se encuentra a menos de 63,5 mm del filete de la brida (una discontinuidad estructural mayor), el parche se diseña como refuerzo que rodea 360° la abertura —el collar— conforme a §3.3(c).</w:t>
      </w:r>
    </w:p>
    <w:p>
      <w:pPr>
        <w:pStyle w:val="Heading2"/>
        <w:spacing w:after="80" w:before="180"/>
      </w:pPr>
      <w:r>
        <w:rPr>
          <w:b/>
          <w:bCs/>
          <w:color w:val="0D7C7C"/>
          <w:sz w:val="22"/>
          <w:szCs w:val="22"/>
        </w:rPr>
        <w:t xml:space="preserve">6.3  Verificación de la excentricidad de la soldadura (ec. 5)</w:t>
      </w:r>
    </w:p>
    <w:p>
      <w:pPr>
        <w:spacing w:after="120" w:line="264"/>
        <w:jc w:val="both"/>
      </w:pPr>
      <w:r>
        <w:rPr>
          <w:b w:val="false"/>
          <w:bCs w:val="false"/>
          <w:i w:val="false"/>
          <w:iCs w:val="false"/>
          <w:color w:val="1A1A1A"/>
          <w:sz w:val="20"/>
          <w:szCs w:val="20"/>
        </w:rPr>
        <w:t xml:space="preserve">PCC-2 Art. 2.12 §3.4(c): </w:t>
      </w:r>
      <w:r>
        <w:rPr>
          <w:b w:val="false"/>
          <w:bCs w:val="false"/>
          <w:i/>
          <w:iCs/>
          <w:color w:val="1A1A1A"/>
          <w:sz w:val="20"/>
          <w:szCs w:val="20"/>
        </w:rPr>
        <w:t xml:space="preserve">S_w = (P·D_m / 2T) + (3·P·D_m·e / T²) ≤ 1,5·S_a</w:t>
      </w:r>
      <w:r>
        <w:rPr>
          <w:b w:val="false"/>
          <w:bCs w:val="false"/>
          <w:i w:val="false"/>
          <w:iCs w:val="false"/>
          <w:color w:val="1A1A1A"/>
          <w:sz w:val="20"/>
          <w:szCs w:val="20"/>
        </w:rPr>
        <w:t xml:space="preserve">  con e = (T + t)/2 y límite 1,5·S_a = 206,9 MPa. Para el espesor de collar adoptado T = 8 mm (e = 7,17 mm):</w:t>
      </w:r>
    </w:p>
    <w:tbl>
      <w:tblPr>
        <w:tblW w:type="dxa" w:w="9360"/>
        <w:tblBorders>
          <w:top w:val="single" w:color="BFC9D4" w:sz="2"/>
          <w:left w:val="single" w:color="BFC9D4" w:sz="2"/>
          <w:bottom w:val="single" w:color="BFC9D4" w:sz="2"/>
          <w:right w:val="single" w:color="BFC9D4" w:sz="2"/>
          <w:insideH w:val="single" w:color="BFC9D4" w:sz="2"/>
          <w:insideV w:val="single" w:color="BFC9D4" w:sz="2"/>
        </w:tblBorders>
      </w:tblPr>
      <w:tblGrid>
        <w:gridCol w:w="2500"/>
        <w:gridCol w:w="1750"/>
        <w:gridCol w:w="1650"/>
        <w:gridCol w:w="1650"/>
        <w:gridCol w:w="1810"/>
      </w:tblGrid>
      <w:tr>
        <w:trPr>
          <w:tblHeader/>
        </w:trPr>
        <w:tc>
          <w:tcPr>
            <w:tcW w:type="dxa" w:w="2500"/>
            <w:shd w:fill="16304F" w:color="auto" w:val="clear"/>
            <w:tcMar>
              <w:top w:type="dxa" w:w="40"/>
              <w:left w:type="dxa" w:w="90"/>
              <w:bottom w:type="dxa" w:w="40"/>
              <w:right w:type="dxa" w:w="90"/>
            </w:tcMar>
          </w:tcPr>
          <w:p>
            <w:pPr>
              <w:spacing w:after="20" w:before="20" w:line="240"/>
              <w:jc w:val="left"/>
            </w:pPr>
            <w:r>
              <w:rPr>
                <w:b/>
                <w:bCs/>
                <w:color w:val="FFFFFF"/>
                <w:sz w:val="18"/>
                <w:szCs w:val="18"/>
              </w:rPr>
              <w:t xml:space="preserve">Presión</w:t>
            </w:r>
          </w:p>
        </w:tc>
        <w:tc>
          <w:tcPr>
            <w:tcW w:type="dxa" w:w="1750"/>
            <w:shd w:fill="16304F" w:color="auto" w:val="clear"/>
            <w:tcMar>
              <w:top w:type="dxa" w:w="40"/>
              <w:left w:type="dxa" w:w="90"/>
              <w:bottom w:type="dxa" w:w="40"/>
              <w:right w:type="dxa" w:w="90"/>
            </w:tcMar>
          </w:tcPr>
          <w:p>
            <w:pPr>
              <w:spacing w:after="20" w:before="20" w:line="240"/>
              <w:jc w:val="center"/>
            </w:pPr>
            <w:r>
              <w:rPr>
                <w:b/>
                <w:bCs/>
                <w:color w:val="FFFFFF"/>
                <w:sz w:val="18"/>
                <w:szCs w:val="18"/>
              </w:rPr>
              <w:t xml:space="preserve">S_w membrana (MPa)</w:t>
            </w:r>
          </w:p>
        </w:tc>
        <w:tc>
          <w:tcPr>
            <w:tcW w:type="dxa" w:w="1650"/>
            <w:shd w:fill="16304F" w:color="auto" w:val="clear"/>
            <w:tcMar>
              <w:top w:type="dxa" w:w="40"/>
              <w:left w:type="dxa" w:w="90"/>
              <w:bottom w:type="dxa" w:w="40"/>
              <w:right w:type="dxa" w:w="90"/>
            </w:tcMar>
          </w:tcPr>
          <w:p>
            <w:pPr>
              <w:spacing w:after="20" w:before="20" w:line="240"/>
              <w:jc w:val="center"/>
            </w:pPr>
            <w:r>
              <w:rPr>
                <w:b/>
                <w:bCs/>
                <w:color w:val="FFFFFF"/>
                <w:sz w:val="18"/>
                <w:szCs w:val="18"/>
              </w:rPr>
              <w:t xml:space="preserve">S_w flexión (MPa)</w:t>
            </w:r>
          </w:p>
        </w:tc>
        <w:tc>
          <w:tcPr>
            <w:tcW w:type="dxa" w:w="1650"/>
            <w:shd w:fill="16304F" w:color="auto" w:val="clear"/>
            <w:tcMar>
              <w:top w:type="dxa" w:w="40"/>
              <w:left w:type="dxa" w:w="90"/>
              <w:bottom w:type="dxa" w:w="40"/>
              <w:right w:type="dxa" w:w="90"/>
            </w:tcMar>
          </w:tcPr>
          <w:p>
            <w:pPr>
              <w:spacing w:after="20" w:before="20" w:line="240"/>
              <w:jc w:val="center"/>
            </w:pPr>
            <w:r>
              <w:rPr>
                <w:b/>
                <w:bCs/>
                <w:color w:val="FFFFFF"/>
                <w:sz w:val="18"/>
                <w:szCs w:val="18"/>
              </w:rPr>
              <w:t xml:space="preserve">S_w total (MPa)</w:t>
            </w:r>
          </w:p>
        </w:tc>
        <w:tc>
          <w:tcPr>
            <w:tcW w:type="dxa" w:w="1810"/>
            <w:shd w:fill="16304F" w:color="auto" w:val="clear"/>
            <w:tcMar>
              <w:top w:type="dxa" w:w="40"/>
              <w:left w:type="dxa" w:w="90"/>
              <w:bottom w:type="dxa" w:w="40"/>
              <w:right w:type="dxa" w:w="90"/>
            </w:tcMar>
          </w:tcPr>
          <w:p>
            <w:pPr>
              <w:spacing w:after="20" w:before="20" w:line="240"/>
              <w:jc w:val="center"/>
            </w:pPr>
            <w:r>
              <w:rPr>
                <w:b/>
                <w:bCs/>
                <w:color w:val="FFFFFF"/>
                <w:sz w:val="18"/>
                <w:szCs w:val="18"/>
              </w:rPr>
              <w:t xml:space="preserve">≤ 206,9?</w:t>
            </w:r>
          </w:p>
        </w:tc>
      </w:tr>
      <w:tr>
        <w:trPr>
          <w:tblHeader w:val="false"/>
        </w:trPr>
        <w:tc>
          <w:tcPr>
            <w:tcW w:type="dxa" w:w="25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Operación 5 kg/cm²</w:t>
            </w:r>
          </w:p>
        </w:tc>
        <w:tc>
          <w:tcPr>
            <w:tcW w:type="dxa" w:w="175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9,7</w:t>
            </w:r>
          </w:p>
        </w:tc>
        <w:tc>
          <w:tcPr>
            <w:tcW w:type="dxa" w:w="165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52,4</w:t>
            </w:r>
          </w:p>
        </w:tc>
        <w:tc>
          <w:tcPr>
            <w:tcW w:type="dxa" w:w="165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62,1</w:t>
            </w:r>
          </w:p>
        </w:tc>
        <w:tc>
          <w:tcPr>
            <w:tcW w:type="dxa" w:w="181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SÍ ✔</w:t>
            </w:r>
          </w:p>
        </w:tc>
      </w:tr>
      <w:tr>
        <w:trPr>
          <w:tblHeader w:val="false"/>
        </w:trPr>
        <w:tc>
          <w:tcPr>
            <w:tcW w:type="dxa" w:w="250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Diseño 10 kg/cm²</w:t>
            </w:r>
          </w:p>
        </w:tc>
        <w:tc>
          <w:tcPr>
            <w:tcW w:type="dxa" w:w="175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19,5</w:t>
            </w:r>
          </w:p>
        </w:tc>
        <w:tc>
          <w:tcPr>
            <w:tcW w:type="dxa" w:w="165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104,7</w:t>
            </w:r>
          </w:p>
        </w:tc>
        <w:tc>
          <w:tcPr>
            <w:tcW w:type="dxa" w:w="165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124,2</w:t>
            </w:r>
          </w:p>
        </w:tc>
        <w:tc>
          <w:tcPr>
            <w:tcW w:type="dxa" w:w="181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SÍ ✔</w:t>
            </w:r>
          </w:p>
        </w:tc>
      </w:tr>
      <w:tr>
        <w:trPr>
          <w:tblHeader w:val="false"/>
        </w:trPr>
        <w:tc>
          <w:tcPr>
            <w:tcW w:type="dxa" w:w="25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Rating 150# (20 kg/cm²)</w:t>
            </w:r>
          </w:p>
        </w:tc>
        <w:tc>
          <w:tcPr>
            <w:tcW w:type="dxa" w:w="175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38,9</w:t>
            </w:r>
          </w:p>
        </w:tc>
        <w:tc>
          <w:tcPr>
            <w:tcW w:type="dxa" w:w="165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209,3</w:t>
            </w:r>
          </w:p>
        </w:tc>
        <w:tc>
          <w:tcPr>
            <w:tcW w:type="dxa" w:w="165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248,2</w:t>
            </w:r>
          </w:p>
        </w:tc>
        <w:tc>
          <w:tcPr>
            <w:tcW w:type="dxa" w:w="181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NO — usar Tipo B</w:t>
            </w:r>
          </w:p>
        </w:tc>
      </w:tr>
    </w:tbl>
    <w:p>
      <w:pPr>
        <w:spacing w:after="120" w:line="264"/>
        <w:jc w:val="both"/>
      </w:pPr>
      <w:r>
        <w:rPr>
          <w:b w:val="false"/>
          <w:bCs w:val="false"/>
          <w:i w:val="false"/>
          <w:iCs w:val="false"/>
          <w:color w:val="1A1A1A"/>
          <w:sz w:val="20"/>
          <w:szCs w:val="20"/>
        </w:rPr>
        <w:t xml:space="preserve">Presión de diseño máxima admisible para el parche de solape (T = 8 mm, criterio ec. 5): </w:t>
      </w:r>
      <w:r>
        <w:rPr>
          <w:b/>
          <w:bCs/>
          <w:i w:val="false"/>
          <w:iCs w:val="false"/>
          <w:color w:val="1A1A1A"/>
          <w:sz w:val="20"/>
          <w:szCs w:val="20"/>
        </w:rPr>
        <w:t xml:space="preserve">≈ 1,63 MPa ≈ 16,7 kg/cm² (237 psi)</w:t>
      </w:r>
      <w:r>
        <w:rPr>
          <w:b w:val="false"/>
          <w:bCs w:val="false"/>
          <w:i w:val="false"/>
          <w:iCs w:val="false"/>
          <w:color w:val="1A1A1A"/>
          <w:sz w:val="20"/>
          <w:szCs w:val="20"/>
        </w:rPr>
        <w:t xml:space="preserve">. Con la presión de operación de 5 kg/cm² el margen es ≈ 3,3×; con un diseño de 10 kg/cm² el margen sigue siendo adecuado. Solo si la presión de diseño confirmada supera ≈ 16 kg/cm² debe migrarse a un collar Tipo B con soldaduras circunferenciales de penetración completa (Art. 2.6).</w:t>
      </w:r>
    </w:p>
    <w:p>
      <w:pPr>
        <w:pStyle w:val="Heading2"/>
        <w:spacing w:after="80" w:before="180"/>
      </w:pPr>
      <w:r>
        <w:rPr>
          <w:b/>
          <w:bCs/>
          <w:color w:val="0D7C7C"/>
          <w:sz w:val="22"/>
          <w:szCs w:val="22"/>
        </w:rPr>
        <w:t xml:space="preserve">6.4  Espesor requerido de pared y espesor del parche</w:t>
      </w:r>
    </w:p>
    <w:p>
      <w:pPr>
        <w:spacing w:after="120" w:line="264"/>
        <w:jc w:val="both"/>
      </w:pPr>
      <w:r>
        <w:rPr>
          <w:color w:val="1A1A1A"/>
          <w:sz w:val="20"/>
          <w:szCs w:val="20"/>
        </w:rPr>
        <w:t xml:space="preserve">Espesor requerido de la pared por presión (B31.3, sin corrosión adicional): 0,57 mm a operación, 1,15 mm a 10 kg/cm² y 2,29 mm en la cota de 20 kg/cm² — muy por debajo del nominal (6,35 mm). En consecuencia, el espesor del collar se gobierna por robustez, soldabilidad y las soldaduras de tapón, no por la membrana. Espesor adoptado: T = 8 mm (≥ pared nominal). Sin crédito por sobreespesor futuro de corrosión (§3.1).</w:t>
      </w:r>
    </w:p>
    <w:p>
      <w:pPr>
        <w:pStyle w:val="Heading2"/>
        <w:spacing w:after="80" w:before="180"/>
      </w:pPr>
      <w:r>
        <w:rPr>
          <w:b/>
          <w:bCs/>
          <w:color w:val="0D7C7C"/>
          <w:sz w:val="22"/>
          <w:szCs w:val="22"/>
        </w:rPr>
        <w:t xml:space="preserve">6.5  Soldaduras de tapón (Art. 2.7) y conformado en frío</w:t>
      </w:r>
    </w:p>
    <w:p>
      <w:pPr>
        <w:spacing w:after="120" w:line="264"/>
        <w:jc w:val="both"/>
      </w:pPr>
      <w:r>
        <w:rPr>
          <w:b w:val="false"/>
          <w:bCs w:val="false"/>
          <w:i w:val="false"/>
          <w:iCs w:val="false"/>
          <w:color w:val="1A1A1A"/>
          <w:sz w:val="20"/>
          <w:szCs w:val="20"/>
        </w:rPr>
        <w:t xml:space="preserve">Las soldaduras de tapón se requieren en todos los casos para minimizar el esfuerzo en la raíz del filete perimetral y atender la excentricidad (Art. 2.7 §3.5). Diámetro de agujero d entre T+6 y 2T+6 mm (14–22 mm) → se adopta </w:t>
      </w:r>
      <w:r>
        <w:rPr>
          <w:b/>
          <w:bCs/>
          <w:i w:val="false"/>
          <w:iCs w:val="false"/>
          <w:color w:val="1A1A1A"/>
          <w:sz w:val="20"/>
          <w:szCs w:val="20"/>
        </w:rPr>
        <w:t xml:space="preserve">d = 16 mm</w:t>
      </w:r>
      <w:r>
        <w:rPr>
          <w:b w:val="false"/>
          <w:bCs w:val="false"/>
          <w:i w:val="false"/>
          <w:iCs w:val="false"/>
          <w:color w:val="1A1A1A"/>
          <w:sz w:val="20"/>
          <w:szCs w:val="20"/>
        </w:rPr>
        <w:t xml:space="preserve">. Carga admisible por tapón (ec. SI): </w:t>
      </w:r>
      <w:r>
        <w:rPr>
          <w:b w:val="false"/>
          <w:bCs w:val="false"/>
          <w:i/>
          <w:iCs/>
          <w:color w:val="1A1A1A"/>
          <w:sz w:val="20"/>
          <w:szCs w:val="20"/>
        </w:rPr>
        <w:t xml:space="preserve">F_p = 0,63·S_a·(d−6)² = 8,69 kN</w:t>
      </w:r>
      <w:r>
        <w:rPr>
          <w:b w:val="false"/>
          <w:bCs w:val="false"/>
          <w:i w:val="false"/>
          <w:iCs w:val="false"/>
          <w:color w:val="1A1A1A"/>
          <w:sz w:val="20"/>
          <w:szCs w:val="20"/>
        </w:rPr>
        <w:t xml:space="preserve">. Setback del borde 2T–4T (16–32 mm); paso ≥ 3d (48 mm); relleno total (T ≤ 8 mm).</w:t>
      </w:r>
    </w:p>
    <w:p>
      <w:pPr>
        <w:spacing w:after="120" w:line="264"/>
        <w:jc w:val="both"/>
      </w:pPr>
      <w:r>
        <w:rPr>
          <w:b w:val="false"/>
          <w:bCs w:val="false"/>
          <w:i w:val="false"/>
          <w:iCs w:val="false"/>
          <w:color w:val="1A1A1A"/>
          <w:sz w:val="20"/>
          <w:szCs w:val="20"/>
        </w:rPr>
        <w:t xml:space="preserve">Conformado en frío del collar (curvatura simple, ec. 7): </w:t>
      </w:r>
      <w:r>
        <w:rPr>
          <w:b w:val="false"/>
          <w:bCs w:val="false"/>
          <w:i/>
          <w:iCs/>
          <w:color w:val="1A1A1A"/>
          <w:sz w:val="20"/>
          <w:szCs w:val="20"/>
        </w:rPr>
        <w:t xml:space="preserve">(50T/R_f)(1 − R_f/R_o) = 2,52 % ≤ 5 %</w:t>
      </w:r>
      <w:r>
        <w:rPr>
          <w:b w:val="false"/>
          <w:bCs w:val="false"/>
          <w:i w:val="false"/>
          <w:iCs w:val="false"/>
          <w:color w:val="1A1A1A"/>
          <w:sz w:val="20"/>
          <w:szCs w:val="20"/>
        </w:rPr>
        <w:t xml:space="preserve"> → aceptable sin relevado de esfuerzos por conformado.</w:t>
      </w:r>
    </w:p>
    <w:tbl>
      <w:tblPr>
        <w:tblW w:type="dxa" w:w="9360"/>
        <w:tblBorders>
          <w:top w:val="single" w:color="D9B44A" w:sz="6"/>
          <w:left w:val="single" w:color="D9B44A" w:sz="18"/>
          <w:bottom w:val="single" w:color="D9B44A" w:sz="6"/>
          <w:right w:val="single" w:color="D9B44A" w:sz="6"/>
          <w:insideH w:val="none"/>
          <w:insideV w:val="none"/>
        </w:tblBorders>
      </w:tblPr>
      <w:tblGrid>
        <w:gridCol w:w="9360"/>
      </w:tblGrid>
      <w:tr>
        <w:tc>
          <w:tcPr>
            <w:tcW w:type="dxa" w:w="9360"/>
            <w:shd w:fill="FBF4DD" w:color="auto" w:val="clear"/>
            <w:tcMar>
              <w:top w:type="dxa" w:w="100"/>
              <w:left w:type="dxa" w:w="160"/>
              <w:bottom w:type="dxa" w:w="100"/>
              <w:right w:type="dxa" w:w="140"/>
            </w:tcMar>
          </w:tcPr>
          <w:p>
            <w:pPr>
              <w:spacing w:after="40"/>
            </w:pPr>
            <w:r>
              <w:rPr>
                <w:b/>
                <w:bCs/>
                <w:color w:val="7A5C00"/>
                <w:sz w:val="19"/>
                <w:szCs w:val="19"/>
              </w:rPr>
              <w:t xml:space="preserve">Resumen de diseño</w:t>
            </w:r>
          </w:p>
          <w:p>
            <w:pPr>
              <w:spacing w:after="30" w:line="250"/>
              <w:jc w:val="both"/>
            </w:pPr>
            <w:r>
              <w:rPr>
                <w:b/>
                <w:bCs/>
                <w:i w:val="false"/>
                <w:iCs w:val="false"/>
                <w:color w:val="1A1A1A"/>
                <w:sz w:val="20"/>
                <w:szCs w:val="20"/>
              </w:rPr>
              <w:t xml:space="preserve">Collar A516 Gr.70, e = 8 mm · filete perimetral cateto 6 mm · tapones Ø16 mm (relleno total, paso ≥ 48 mm) · solape ≥ 25 mm · apto para presión de diseño ≤ ~16,7 kg/cm² (margen ≥ 3× sobre la operación de 5 kg/cm²).</w:t>
            </w:r>
          </w:p>
        </w:tc>
      </w:tr>
    </w:tbl>
    <w:p>
      <w:pPr>
        <w:pStyle w:val="Heading1"/>
        <w:spacing w:after="120" w:before="260"/>
      </w:pPr>
      <w:r>
        <w:rPr>
          <w:b/>
          <w:bCs/>
          <w:color w:val="16304F"/>
          <w:sz w:val="26"/>
          <w:szCs w:val="26"/>
        </w:rPr>
        <w:t xml:space="preserve">7.  Especificación de materiales</w:t>
      </w:r>
    </w:p>
    <w:tbl>
      <w:tblPr>
        <w:tblW w:type="dxa" w:w="9360"/>
        <w:tblBorders>
          <w:top w:val="single" w:color="BFC9D4" w:sz="2"/>
          <w:left w:val="single" w:color="BFC9D4" w:sz="2"/>
          <w:bottom w:val="single" w:color="BFC9D4" w:sz="2"/>
          <w:right w:val="single" w:color="BFC9D4" w:sz="2"/>
          <w:insideH w:val="single" w:color="BFC9D4" w:sz="2"/>
          <w:insideV w:val="single" w:color="BFC9D4" w:sz="2"/>
        </w:tblBorders>
      </w:tblPr>
      <w:tblGrid>
        <w:gridCol w:w="2600"/>
        <w:gridCol w:w="3200"/>
        <w:gridCol w:w="3560"/>
      </w:tblGrid>
      <w:tr>
        <w:trPr>
          <w:tblHeader/>
        </w:trPr>
        <w:tc>
          <w:tcPr>
            <w:tcW w:type="dxa" w:w="2600"/>
            <w:shd w:fill="16304F" w:color="auto" w:val="clear"/>
            <w:tcMar>
              <w:top w:type="dxa" w:w="40"/>
              <w:left w:type="dxa" w:w="90"/>
              <w:bottom w:type="dxa" w:w="40"/>
              <w:right w:type="dxa" w:w="90"/>
            </w:tcMar>
          </w:tcPr>
          <w:p>
            <w:pPr>
              <w:spacing w:after="20" w:before="20" w:line="240"/>
              <w:jc w:val="left"/>
            </w:pPr>
            <w:r>
              <w:rPr>
                <w:b/>
                <w:bCs/>
                <w:color w:val="FFFFFF"/>
                <w:sz w:val="18"/>
                <w:szCs w:val="18"/>
              </w:rPr>
              <w:t xml:space="preserve">Elemento</w:t>
            </w:r>
          </w:p>
        </w:tc>
        <w:tc>
          <w:tcPr>
            <w:tcW w:type="dxa" w:w="3200"/>
            <w:shd w:fill="16304F" w:color="auto" w:val="clear"/>
            <w:tcMar>
              <w:top w:type="dxa" w:w="40"/>
              <w:left w:type="dxa" w:w="90"/>
              <w:bottom w:type="dxa" w:w="40"/>
              <w:right w:type="dxa" w:w="90"/>
            </w:tcMar>
          </w:tcPr>
          <w:p>
            <w:pPr>
              <w:spacing w:after="20" w:before="20" w:line="240"/>
              <w:jc w:val="center"/>
            </w:pPr>
            <w:r>
              <w:rPr>
                <w:b/>
                <w:bCs/>
                <w:color w:val="FFFFFF"/>
                <w:sz w:val="18"/>
                <w:szCs w:val="18"/>
              </w:rPr>
              <w:t xml:space="preserve">Especificación</w:t>
            </w:r>
          </w:p>
        </w:tc>
        <w:tc>
          <w:tcPr>
            <w:tcW w:type="dxa" w:w="3560"/>
            <w:shd w:fill="16304F" w:color="auto" w:val="clear"/>
            <w:tcMar>
              <w:top w:type="dxa" w:w="40"/>
              <w:left w:type="dxa" w:w="90"/>
              <w:bottom w:type="dxa" w:w="40"/>
              <w:right w:type="dxa" w:w="90"/>
            </w:tcMar>
          </w:tcPr>
          <w:p>
            <w:pPr>
              <w:spacing w:after="20" w:before="20" w:line="240"/>
              <w:jc w:val="center"/>
            </w:pPr>
            <w:r>
              <w:rPr>
                <w:b/>
                <w:bCs/>
                <w:color w:val="FFFFFF"/>
                <w:sz w:val="18"/>
                <w:szCs w:val="18"/>
              </w:rPr>
              <w:t xml:space="preserve">Notas</w:t>
            </w:r>
          </w:p>
        </w:tc>
      </w:tr>
      <w:tr>
        <w:trPr>
          <w:tblHeader w:val="false"/>
        </w:trPr>
        <w:tc>
          <w:tcPr>
            <w:tcW w:type="dxa" w:w="26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Collar / parche</w:t>
            </w:r>
          </w:p>
        </w:tc>
        <w:tc>
          <w:tcPr>
            <w:tcW w:type="dxa" w:w="320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ASTM A516 Gr.70 (P-No.1, Gr.1), e = 8 mm</w:t>
            </w:r>
          </w:p>
        </w:tc>
        <w:tc>
          <w:tcPr>
            <w:tcW w:type="dxa" w:w="356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Buena soldabilidad y tenacidad. Alternativas equivalentes: A285 Gr.C, o sección de tubo A106-B de OD compatible contorneada. Mismo P-Number que A-105.</w:t>
            </w:r>
          </w:p>
        </w:tc>
      </w:tr>
      <w:tr>
        <w:trPr>
          <w:tblHeader w:val="false"/>
        </w:trPr>
        <w:tc>
          <w:tcPr>
            <w:tcW w:type="dxa" w:w="260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Metal de aporte</w:t>
            </w:r>
          </w:p>
        </w:tc>
        <w:tc>
          <w:tcPr>
            <w:tcW w:type="dxa" w:w="320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AWS A5.1 E7018 (SMAW, bajo hidrógeno)</w:t>
            </w:r>
          </w:p>
        </w:tc>
        <w:tc>
          <w:tcPr>
            <w:tcW w:type="dxa" w:w="356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F-No.4 / A-No.1. Raíz opcional GTAW ER70S-6 (AWS A5.18). Resistencia igual o mayor a la del material base.</w:t>
            </w:r>
          </w:p>
        </w:tc>
      </w:tr>
      <w:tr>
        <w:trPr>
          <w:tblHeader w:val="false"/>
        </w:trPr>
        <w:tc>
          <w:tcPr>
            <w:tcW w:type="dxa" w:w="26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Fleje de respaldo (junta long. penetración completa)</w:t>
            </w:r>
          </w:p>
        </w:tc>
        <w:tc>
          <w:tcPr>
            <w:tcW w:type="dxa" w:w="320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Mismo material del collar (A516 Gr.70)</w:t>
            </w:r>
          </w:p>
        </w:tc>
        <w:tc>
          <w:tcPr>
            <w:tcW w:type="dxa" w:w="356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Solo si las juntas longitudinales se ejecutan con penetración completa con respaldo.</w:t>
            </w:r>
          </w:p>
        </w:tc>
      </w:tr>
      <w:tr>
        <w:trPr>
          <w:tblHeader w:val="false"/>
        </w:trPr>
        <w:tc>
          <w:tcPr>
            <w:tcW w:type="dxa" w:w="260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Tapón de venteo/testigo</w:t>
            </w:r>
          </w:p>
        </w:tc>
        <w:tc>
          <w:tcPr>
            <w:tcW w:type="dxa" w:w="320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Niple/tapón NPT ½" o válvula, acero al carbono</w:t>
            </w:r>
          </w:p>
        </w:tc>
        <w:tc>
          <w:tcPr>
            <w:tcW w:type="dxa" w:w="356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Para gestionar la fuga durante la soldadura; se sella tras probar.</w:t>
            </w:r>
          </w:p>
        </w:tc>
      </w:tr>
      <w:tr>
        <w:trPr>
          <w:tblHeader w:val="false"/>
        </w:trPr>
        <w:tc>
          <w:tcPr>
            <w:tcW w:type="dxa" w:w="26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Consumibles auxiliares</w:t>
            </w:r>
          </w:p>
        </w:tc>
        <w:tc>
          <w:tcPr>
            <w:tcW w:type="dxa" w:w="320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Discos de esmerilado, gas de protección (si GTAW), etc.</w:t>
            </w:r>
          </w:p>
        </w:tc>
        <w:tc>
          <w:tcPr>
            <w:tcW w:type="dxa" w:w="356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Electrodos almacenados y horneados según fabricante (control de hidrógeno difusible).</w:t>
            </w:r>
          </w:p>
        </w:tc>
      </w:tr>
    </w:tbl>
    <w:p>
      <w:pPr>
        <w:spacing w:after="120" w:line="264"/>
        <w:jc w:val="both"/>
      </w:pPr>
      <w:r>
        <w:rPr>
          <w:b/>
          <w:bCs/>
          <w:i w:val="false"/>
          <w:iCs w:val="false"/>
          <w:color w:val="1A1A1A"/>
          <w:sz w:val="20"/>
          <w:szCs w:val="20"/>
        </w:rPr>
        <w:t xml:space="preserve">Compatibilidad: </w:t>
      </w:r>
      <w:r>
        <w:rPr>
          <w:b w:val="false"/>
          <w:bCs w:val="false"/>
          <w:i w:val="false"/>
          <w:iCs w:val="false"/>
          <w:color w:val="1A1A1A"/>
          <w:sz w:val="20"/>
          <w:szCs w:val="20"/>
        </w:rPr>
        <w:t xml:space="preserve">brida A-105, tubería (A106-B/A53-B) y parche A516-70 son todos aceros al carbono P-No.1, plenamente compatibles y soldables con E7018. Verificar el carbono equivalente de los certificados (MTR): </w:t>
      </w:r>
      <w:r>
        <w:rPr>
          <w:b w:val="false"/>
          <w:bCs w:val="false"/>
          <w:i/>
          <w:iCs/>
          <w:color w:val="1A1A1A"/>
          <w:sz w:val="20"/>
          <w:szCs w:val="20"/>
        </w:rPr>
        <w:t xml:space="preserve">CE = C + Mn/6 + (Cr+Mo+V)/5 + (Ni+Cu)/15</w:t>
      </w:r>
      <w:r>
        <w:rPr>
          <w:b w:val="false"/>
          <w:bCs w:val="false"/>
          <w:i w:val="false"/>
          <w:iCs w:val="false"/>
          <w:color w:val="1A1A1A"/>
          <w:sz w:val="20"/>
          <w:szCs w:val="20"/>
        </w:rPr>
        <w:t xml:space="preserve">. Si CE &gt; 0,45, aplicar precalentamiento ≥ 150 °C y/o secuencia temper bead (Art. 2.10).</w:t>
      </w:r>
    </w:p>
    <w:p>
      <w:pPr>
        <w:pStyle w:val="Heading1"/>
        <w:spacing w:after="120" w:before="260"/>
      </w:pPr>
      <w:r>
        <w:rPr>
          <w:b/>
          <w:bCs/>
          <w:color w:val="16304F"/>
          <w:sz w:val="26"/>
          <w:szCs w:val="26"/>
        </w:rPr>
        <w:t xml:space="preserve">8.  Preparación, ajuste e instalación</w:t>
      </w:r>
    </w:p>
    <w:p>
      <w:pPr>
        <w:pStyle w:val="ListParagraph"/>
        <w:numPr>
          <w:ilvl w:val="0"/>
          <w:numId w:val="3"/>
        </w:numPr>
        <w:spacing w:after="70" w:line="260"/>
        <w:jc w:val="both"/>
      </w:pPr>
      <w:r>
        <w:rPr>
          <w:sz w:val="20"/>
          <w:szCs w:val="20"/>
        </w:rPr>
        <w:t xml:space="preserve">Aislar/despresurizar y, de ser posible, drenar el tramo. Emitir permiso de trabajo en caliente y realizar monitoreo de gases del área antes y durante el trabajo.</w:t>
      </w:r>
    </w:p>
    <w:p>
      <w:pPr>
        <w:pStyle w:val="ListParagraph"/>
        <w:numPr>
          <w:ilvl w:val="0"/>
          <w:numId w:val="3"/>
        </w:numPr>
        <w:spacing w:after="70" w:line="260"/>
        <w:jc w:val="both"/>
      </w:pPr>
      <w:r>
        <w:rPr>
          <w:sz w:val="20"/>
          <w:szCs w:val="20"/>
        </w:rPr>
        <w:t xml:space="preserve">Retirar pintura, óxido, sales, grasa y todo material extraño de la zona de soldadura y de una franja ≥ 40 mm a cada lado de cada cordón, hasta metal blanco (SSPC-SP 3/SP 11 local).</w:t>
      </w:r>
    </w:p>
    <w:p>
      <w:pPr>
        <w:pStyle w:val="ListParagraph"/>
        <w:numPr>
          <w:ilvl w:val="0"/>
          <w:numId w:val="3"/>
        </w:numPr>
        <w:spacing w:after="70" w:line="260"/>
        <w:jc w:val="both"/>
      </w:pPr>
      <w:r>
        <w:rPr>
          <w:sz w:val="20"/>
          <w:szCs w:val="20"/>
        </w:rPr>
        <w:t xml:space="preserve">Mapear espesores por UT y marcar el contorno de la zona no apta; definir el tamaño final del collar cubriéndola con solape de metal sano ≥ 25 mm en todo el perímetro.</w:t>
      </w:r>
    </w:p>
    <w:p>
      <w:pPr>
        <w:pStyle w:val="ListParagraph"/>
        <w:numPr>
          <w:ilvl w:val="0"/>
          <w:numId w:val="3"/>
        </w:numPr>
        <w:spacing w:after="70" w:line="260"/>
        <w:jc w:val="both"/>
      </w:pPr>
      <w:r>
        <w:rPr>
          <w:b/>
          <w:bCs/>
          <w:i w:val="false"/>
          <w:iCs w:val="false"/>
          <w:color w:val="1A1A1A"/>
          <w:sz w:val="20"/>
          <w:szCs w:val="20"/>
        </w:rPr>
        <w:t xml:space="preserve">Tratar el cordón de soldadura existente brida–codo que queda dentro de la huella del collar: </w:t>
      </w:r>
      <w:r>
        <w:rPr>
          <w:b w:val="false"/>
          <w:bCs w:val="false"/>
          <w:i w:val="false"/>
          <w:iCs w:val="false"/>
          <w:color w:val="1A1A1A"/>
          <w:sz w:val="20"/>
          <w:szCs w:val="20"/>
        </w:rPr>
        <w:t xml:space="preserve">amolarlo a ras del diámetro exterior (sin rebajar por debajo del OD/espesor requerido) y examinarlo por MT/PT antes de montar el collar (Art. 2.12 §4). Verificar el espesor remanente por UT tras el amolado. Esto permite que el collar asiente con luz ≤ 2 mm y que sus dos filetes circunferenciales caigan sobre metal sano a cada lado del cordón —el superior sobre el cubo (por encima de la fuga) y el inferior sobre el codo (por debajo del cordón)—, separados del pie del cordón. Alternativa, si no se debe amolar: mecanizar un canal de alivio en la cara interior del collar sobre el cordón, dejando que el collar puentee el cordón y los filetes asienten en metal sano a cada lado.</w:t>
      </w:r>
    </w:p>
    <w:p>
      <w:pPr>
        <w:pStyle w:val="ListParagraph"/>
        <w:numPr>
          <w:ilvl w:val="0"/>
          <w:numId w:val="3"/>
        </w:numPr>
        <w:spacing w:after="70" w:line="260"/>
        <w:jc w:val="both"/>
      </w:pPr>
      <w:r>
        <w:rPr>
          <w:sz w:val="20"/>
          <w:szCs w:val="20"/>
        </w:rPr>
        <w:t xml:space="preserve">Fabricar las dos medias carcasas contorneadas al perfil del cuello (tubería recta + cono del hub). Bordes por medios mecánicos; si se cortan por medios térmicos, remover ≥ 1,5 mm adicionales por esmerilado. Redondear esquinas/transiciones con r ≥ 75 mm.</w:t>
      </w:r>
    </w:p>
    <w:p>
      <w:pPr>
        <w:pStyle w:val="ListParagraph"/>
        <w:numPr>
          <w:ilvl w:val="0"/>
          <w:numId w:val="3"/>
        </w:numPr>
        <w:spacing w:after="70" w:line="260"/>
        <w:jc w:val="both"/>
      </w:pPr>
      <w:r>
        <w:rPr>
          <w:sz w:val="20"/>
          <w:szCs w:val="20"/>
        </w:rPr>
        <w:t xml:space="preserve">Presentar y ajustar las medias carcasas lo más ceñidas posible: separación (luz) ≤ 5 mm; si la luz en el borde del faying es ≥ 1,5 mm, recalcular el filete perimetral sumando la separación a la excentricidad (Art. 2.12 §4). Usar grapas/cuñas para el ajuste.</w:t>
      </w:r>
    </w:p>
    <w:p>
      <w:pPr>
        <w:pStyle w:val="ListParagraph"/>
        <w:numPr>
          <w:ilvl w:val="0"/>
          <w:numId w:val="3"/>
        </w:numPr>
        <w:spacing w:after="70" w:line="260"/>
        <w:jc w:val="both"/>
      </w:pPr>
      <w:r>
        <w:rPr>
          <w:sz w:val="20"/>
          <w:szCs w:val="20"/>
        </w:rPr>
        <w:t xml:space="preserve">Perforar y montar el agujero de venteo/testigo (Ø ≈ 6 mm con tapón NPT o válvula) en el punto alto del collar para aliviar presión/gas durante el cierre y gestionar la fuga.</w:t>
      </w:r>
    </w:p>
    <w:tbl>
      <w:tblPr>
        <w:tblW w:type="dxa" w:w="9360"/>
        <w:tblBorders>
          <w:top w:val="single" w:color="D9B44A" w:sz="6"/>
          <w:left w:val="single" w:color="D9B44A" w:sz="18"/>
          <w:bottom w:val="single" w:color="D9B44A" w:sz="6"/>
          <w:right w:val="single" w:color="D9B44A" w:sz="6"/>
          <w:insideH w:val="none"/>
          <w:insideV w:val="none"/>
        </w:tblBorders>
      </w:tblPr>
      <w:tblGrid>
        <w:gridCol w:w="9360"/>
      </w:tblGrid>
      <w:tr>
        <w:tc>
          <w:tcPr>
            <w:tcW w:type="dxa" w:w="9360"/>
            <w:shd w:fill="FBF4DD" w:color="auto" w:val="clear"/>
            <w:tcMar>
              <w:top w:type="dxa" w:w="100"/>
              <w:left w:type="dxa" w:w="160"/>
              <w:bottom w:type="dxa" w:w="100"/>
              <w:right w:type="dxa" w:w="140"/>
            </w:tcMar>
          </w:tcPr>
          <w:p>
            <w:pPr>
              <w:spacing w:after="40"/>
            </w:pPr>
            <w:r>
              <w:rPr>
                <w:b/>
                <w:bCs/>
                <w:color w:val="7A5C00"/>
                <w:sz w:val="19"/>
                <w:szCs w:val="19"/>
              </w:rPr>
              <w:t xml:space="preserve">Acople sobre el cordón existente brida–codo</w:t>
            </w:r>
          </w:p>
          <w:p>
            <w:pPr>
              <w:spacing w:after="30" w:line="250"/>
              <w:jc w:val="both"/>
            </w:pPr>
            <w:r>
              <w:rPr>
                <w:color w:val="5A4600"/>
                <w:sz w:val="19"/>
                <w:szCs w:val="19"/>
              </w:rPr>
              <w:t xml:space="preserve">El collar debe salvar el cordón circunferencial existente entre la brida y el codo. Regla: amolar ese cordón a ras del OD en la huella del collar y examinarlo por PT/MT (nunca rebajar por debajo del espesor requerido — verificar por UT). Los dos filetes del collar se sitúan sobre metal sano a cada lado del cordón, no sobre el cordón ni su ZAC. El detalle gráfico está en el plano de fabricación PL-REP-U46-CWS-032 (vista 2).</w:t>
            </w:r>
          </w:p>
        </w:tc>
      </w:tr>
    </w:tbl>
    <w:p>
      <w:pPr>
        <w:pStyle w:val="Heading1"/>
        <w:spacing w:after="120" w:before="260"/>
      </w:pPr>
      <w:r>
        <w:rPr>
          <w:b/>
          <w:bCs/>
          <w:color w:val="16304F"/>
          <w:sz w:val="26"/>
          <w:szCs w:val="26"/>
        </w:rPr>
        <w:t xml:space="preserve">9.  Especificación de soldadura</w:t>
      </w:r>
    </w:p>
    <w:p>
      <w:pPr>
        <w:pStyle w:val="Heading2"/>
        <w:spacing w:after="80" w:before="180"/>
      </w:pPr>
      <w:r>
        <w:rPr>
          <w:b/>
          <w:bCs/>
          <w:color w:val="0D7C7C"/>
          <w:sz w:val="22"/>
          <w:szCs w:val="22"/>
        </w:rPr>
        <w:t xml:space="preserve">9.1  Calificación</w:t>
      </w:r>
    </w:p>
    <w:p>
      <w:pPr>
        <w:spacing w:after="120" w:line="264"/>
        <w:jc w:val="both"/>
      </w:pPr>
      <w:r>
        <w:rPr>
          <w:color w:val="1A1A1A"/>
          <w:sz w:val="20"/>
          <w:szCs w:val="20"/>
        </w:rPr>
        <w:t xml:space="preserve">Procedimientos (WPS) soportados por PQR, y soldadores (WPQ) calificados según ASME BPVC Secc. IX y B31.3. Para ejecución en servicio, el WPS debe además incorporar las variables esenciales de soldadura en servicio del Art. 2.10 §4.1.1 y calificarse con el montaje del Apéndice Obligatorio I (cupón con respaldo de agua circulando), evaluando perforación por fusión y fisuración por hidrógeno.</w:t>
      </w:r>
    </w:p>
    <w:p>
      <w:pPr>
        <w:pStyle w:val="Heading2"/>
        <w:spacing w:after="80" w:before="180"/>
      </w:pPr>
      <w:r>
        <w:rPr>
          <w:b/>
          <w:bCs/>
          <w:color w:val="0D7C7C"/>
          <w:sz w:val="22"/>
          <w:szCs w:val="22"/>
        </w:rPr>
        <w:t xml:space="preserve">9.2  Proceso, consumibles y aporte térmico</w:t>
      </w:r>
    </w:p>
    <w:p>
      <w:pPr>
        <w:pStyle w:val="ListParagraph"/>
        <w:numPr>
          <w:ilvl w:val="0"/>
          <w:numId w:val="2"/>
        </w:numPr>
        <w:spacing w:after="70" w:line="260"/>
        <w:jc w:val="both"/>
      </w:pPr>
      <w:r>
        <w:rPr>
          <w:sz w:val="20"/>
          <w:szCs w:val="20"/>
        </w:rPr>
        <w:t xml:space="preserve">Proceso: SMAW con electrodo bajo hidrógeno E7018 (opción de raíz GTAW ER70S-6). Electrodos horneados y mantenidos en termo.</w:t>
      </w:r>
    </w:p>
    <w:p>
      <w:pPr>
        <w:pStyle w:val="ListParagraph"/>
        <w:numPr>
          <w:ilvl w:val="0"/>
          <w:numId w:val="2"/>
        </w:numPr>
        <w:spacing w:after="70" w:line="260"/>
        <w:jc w:val="both"/>
      </w:pPr>
      <w:r>
        <w:rPr>
          <w:b w:val="false"/>
          <w:bCs w:val="false"/>
          <w:i w:val="false"/>
          <w:iCs w:val="false"/>
          <w:color w:val="1A1A1A"/>
          <w:sz w:val="20"/>
          <w:szCs w:val="20"/>
        </w:rPr>
        <w:t xml:space="preserve">Diámetro de electrodo 2,4–3,2 mm para controlar la perforación por fusión: la pared SCH 20 (6,35 mm) se sitúa en el umbral de 6,4 mm que el Art. 2.10 asocia a riesgo de </w:t>
      </w:r>
      <w:r>
        <w:rPr>
          <w:b w:val="false"/>
          <w:bCs w:val="false"/>
          <w:i/>
          <w:iCs/>
          <w:color w:val="1A1A1A"/>
          <w:sz w:val="20"/>
          <w:szCs w:val="20"/>
        </w:rPr>
        <w:t xml:space="preserve">burn-through</w:t>
      </w:r>
      <w:r>
        <w:rPr>
          <w:b w:val="false"/>
          <w:bCs w:val="false"/>
          <w:i w:val="false"/>
          <w:iCs w:val="false"/>
          <w:color w:val="1A1A1A"/>
          <w:sz w:val="20"/>
          <w:szCs w:val="20"/>
        </w:rPr>
        <w:t xml:space="preserve">. Los filetes que apoyen sobre el hub (más grueso) tienen menor riesgo.</w:t>
      </w:r>
    </w:p>
    <w:p>
      <w:pPr>
        <w:pStyle w:val="ListParagraph"/>
        <w:numPr>
          <w:ilvl w:val="0"/>
          <w:numId w:val="2"/>
        </w:numPr>
        <w:spacing w:after="70" w:line="260"/>
        <w:jc w:val="both"/>
      </w:pPr>
      <w:r>
        <w:rPr>
          <w:sz w:val="20"/>
          <w:szCs w:val="20"/>
        </w:rPr>
        <w:t xml:space="preserve">Control del aporte térmico buscando el equilibrio entre perforación por fusión (favorecida por aporte alto) y fisuración por hidrógeno (favorecida por enfriamiento rápido, agravado por el efecto sumidero del agua).</w:t>
      </w:r>
    </w:p>
    <w:p>
      <w:pPr>
        <w:pStyle w:val="Heading2"/>
        <w:spacing w:after="80" w:before="180"/>
      </w:pPr>
      <w:r>
        <w:rPr>
          <w:b/>
          <w:bCs/>
          <w:color w:val="0D7C7C"/>
          <w:sz w:val="22"/>
          <w:szCs w:val="22"/>
        </w:rPr>
        <w:t xml:space="preserve">9.3  Precalentamiento y PWHT</w:t>
      </w:r>
    </w:p>
    <w:p>
      <w:pPr>
        <w:spacing w:after="120" w:line="264"/>
        <w:jc w:val="both"/>
      </w:pPr>
      <w:r>
        <w:rPr>
          <w:color w:val="1A1A1A"/>
          <w:sz w:val="20"/>
          <w:szCs w:val="20"/>
        </w:rPr>
        <w:t xml:space="preserve">Precalentamiento mínimo 10 °C para P-No.1 (B31.3 Tabla 330.1.1); se recomienda 100 °C para contrarrestar el enfriamiento acelerado por el agua y reducir el riesgo de hidrógeno (ajustar según el WPS calificado y el CE real). Tratamiento térmico post-soldadura (PWHT) no requerido para P-No.1 en estos espesores; confirmar contra el código de construcción.</w:t>
      </w:r>
    </w:p>
    <w:p>
      <w:pPr>
        <w:pStyle w:val="Heading2"/>
        <w:spacing w:after="80" w:before="180"/>
      </w:pPr>
      <w:r>
        <w:rPr>
          <w:b/>
          <w:bCs/>
          <w:color w:val="0D7C7C"/>
          <w:sz w:val="22"/>
          <w:szCs w:val="22"/>
        </w:rPr>
        <w:t xml:space="preserve">9.4  Secuencia de soldadura</w:t>
      </w:r>
    </w:p>
    <w:p>
      <w:pPr>
        <w:pStyle w:val="ListParagraph"/>
        <w:numPr>
          <w:ilvl w:val="0"/>
          <w:numId w:val="3"/>
        </w:numPr>
        <w:spacing w:after="70" w:line="260"/>
        <w:jc w:val="both"/>
      </w:pPr>
      <w:r>
        <w:rPr>
          <w:sz w:val="20"/>
          <w:szCs w:val="20"/>
        </w:rPr>
        <w:t xml:space="preserve">Ejecutar primero las juntas longitudinales de las medias carcasas (penetración completa con respaldo, o junta de solape a filete según diseño).</w:t>
      </w:r>
    </w:p>
    <w:p>
      <w:pPr>
        <w:pStyle w:val="ListParagraph"/>
        <w:numPr>
          <w:ilvl w:val="0"/>
          <w:numId w:val="3"/>
        </w:numPr>
        <w:spacing w:after="70" w:line="260"/>
        <w:jc w:val="both"/>
      </w:pPr>
      <w:r>
        <w:rPr>
          <w:sz w:val="20"/>
          <w:szCs w:val="20"/>
        </w:rPr>
        <w:t xml:space="preserve">Ejecutar las soldaduras de tapón Ø16 mm (relleno total), respetando setback 16–32 mm y paso ≥ 48 mm.</w:t>
      </w:r>
    </w:p>
    <w:p>
      <w:pPr>
        <w:pStyle w:val="ListParagraph"/>
        <w:numPr>
          <w:ilvl w:val="0"/>
          <w:numId w:val="3"/>
        </w:numPr>
        <w:spacing w:after="70" w:line="260"/>
        <w:jc w:val="both"/>
      </w:pPr>
      <w:r>
        <w:rPr>
          <w:sz w:val="20"/>
          <w:szCs w:val="20"/>
        </w:rPr>
        <w:t xml:space="preserve">Ejecutar los filetes perimetrales (superior sobre el cubo sano; inferior sobre la tubería sana), cateto 6 mm, como cordones de cierre — en último lugar.</w:t>
      </w:r>
    </w:p>
    <w:p>
      <w:pPr>
        <w:pStyle w:val="ListParagraph"/>
        <w:numPr>
          <w:ilvl w:val="0"/>
          <w:numId w:val="3"/>
        </w:numPr>
        <w:spacing w:after="70" w:line="260"/>
        <w:jc w:val="both"/>
      </w:pPr>
      <w:r>
        <w:rPr>
          <w:sz w:val="20"/>
          <w:szCs w:val="20"/>
        </w:rPr>
        <w:t xml:space="preserve">Mantener el agujero de venteo abierto durante el cordón de cierre para evitar acumulación de presión/gas; sellarlo tras el END y la prueba.</w:t>
      </w:r>
    </w:p>
    <w:p>
      <w:pPr>
        <w:pStyle w:val="Heading1"/>
        <w:spacing w:after="120" w:before="260"/>
      </w:pPr>
      <w:r>
        <w:rPr>
          <w:b/>
          <w:bCs/>
          <w:color w:val="16304F"/>
          <w:sz w:val="26"/>
          <w:szCs w:val="26"/>
        </w:rPr>
        <w:t xml:space="preserve">10.  Ensayos no destructivos (END)</w:t>
      </w:r>
    </w:p>
    <w:tbl>
      <w:tblPr>
        <w:tblW w:type="dxa" w:w="9360"/>
        <w:tblBorders>
          <w:top w:val="single" w:color="BFC9D4" w:sz="2"/>
          <w:left w:val="single" w:color="BFC9D4" w:sz="2"/>
          <w:bottom w:val="single" w:color="BFC9D4" w:sz="2"/>
          <w:right w:val="single" w:color="BFC9D4" w:sz="2"/>
          <w:insideH w:val="single" w:color="BFC9D4" w:sz="2"/>
          <w:insideV w:val="single" w:color="BFC9D4" w:sz="2"/>
        </w:tblBorders>
      </w:tblPr>
      <w:tblGrid>
        <w:gridCol w:w="2600"/>
        <w:gridCol w:w="4100"/>
        <w:gridCol w:w="2660"/>
      </w:tblGrid>
      <w:tr>
        <w:trPr>
          <w:tblHeader/>
        </w:trPr>
        <w:tc>
          <w:tcPr>
            <w:tcW w:type="dxa" w:w="2600"/>
            <w:shd w:fill="16304F" w:color="auto" w:val="clear"/>
            <w:tcMar>
              <w:top w:type="dxa" w:w="40"/>
              <w:left w:type="dxa" w:w="90"/>
              <w:bottom w:type="dxa" w:w="40"/>
              <w:right w:type="dxa" w:w="90"/>
            </w:tcMar>
          </w:tcPr>
          <w:p>
            <w:pPr>
              <w:spacing w:after="20" w:before="20" w:line="240"/>
              <w:jc w:val="left"/>
            </w:pPr>
            <w:r>
              <w:rPr>
                <w:b/>
                <w:bCs/>
                <w:color w:val="FFFFFF"/>
                <w:sz w:val="18"/>
                <w:szCs w:val="18"/>
              </w:rPr>
              <w:t xml:space="preserve">Ensayo</w:t>
            </w:r>
          </w:p>
        </w:tc>
        <w:tc>
          <w:tcPr>
            <w:tcW w:type="dxa" w:w="4100"/>
            <w:shd w:fill="16304F" w:color="auto" w:val="clear"/>
            <w:tcMar>
              <w:top w:type="dxa" w:w="40"/>
              <w:left w:type="dxa" w:w="90"/>
              <w:bottom w:type="dxa" w:w="40"/>
              <w:right w:type="dxa" w:w="90"/>
            </w:tcMar>
          </w:tcPr>
          <w:p>
            <w:pPr>
              <w:spacing w:after="20" w:before="20" w:line="240"/>
              <w:jc w:val="center"/>
            </w:pPr>
            <w:r>
              <w:rPr>
                <w:b/>
                <w:bCs/>
                <w:color w:val="FFFFFF"/>
                <w:sz w:val="18"/>
                <w:szCs w:val="18"/>
              </w:rPr>
              <w:t xml:space="preserve">Alcance</w:t>
            </w:r>
          </w:p>
        </w:tc>
        <w:tc>
          <w:tcPr>
            <w:tcW w:type="dxa" w:w="2660"/>
            <w:shd w:fill="16304F" w:color="auto" w:val="clear"/>
            <w:tcMar>
              <w:top w:type="dxa" w:w="40"/>
              <w:left w:type="dxa" w:w="90"/>
              <w:bottom w:type="dxa" w:w="40"/>
              <w:right w:type="dxa" w:w="90"/>
            </w:tcMar>
          </w:tcPr>
          <w:p>
            <w:pPr>
              <w:spacing w:after="20" w:before="20" w:line="240"/>
              <w:jc w:val="center"/>
            </w:pPr>
            <w:r>
              <w:rPr>
                <w:b/>
                <w:bCs/>
                <w:color w:val="FFFFFF"/>
                <w:sz w:val="18"/>
                <w:szCs w:val="18"/>
              </w:rPr>
              <w:t xml:space="preserve">Criterio de aceptación</w:t>
            </w:r>
          </w:p>
        </w:tc>
      </w:tr>
      <w:tr>
        <w:trPr>
          <w:tblHeader w:val="false"/>
        </w:trPr>
        <w:tc>
          <w:tcPr>
            <w:tcW w:type="dxa" w:w="26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Visual (VT)</w:t>
            </w:r>
          </w:p>
        </w:tc>
        <w:tc>
          <w:tcPr>
            <w:tcW w:type="dxa" w:w="410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100 % del ajuste (antes) y de todas las soldaduras terminadas</w:t>
            </w:r>
          </w:p>
        </w:tc>
        <w:tc>
          <w:tcPr>
            <w:tcW w:type="dxa" w:w="266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ASME B31.3 Tabla 341.3.2</w:t>
            </w:r>
          </w:p>
        </w:tc>
      </w:tr>
      <w:tr>
        <w:trPr>
          <w:tblHeader w:val="false"/>
        </w:trPr>
        <w:tc>
          <w:tcPr>
            <w:tcW w:type="dxa" w:w="260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Partículas magnéticas (MT) o Líquidos penetrantes (PT)</w:t>
            </w:r>
          </w:p>
        </w:tc>
        <w:tc>
          <w:tcPr>
            <w:tcW w:type="dxa" w:w="410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100 % de filetes perimetrales, soldaduras de tapón y juntas longitudinales; y áreas de remoción de grapas/cuñas</w:t>
            </w:r>
          </w:p>
        </w:tc>
        <w:tc>
          <w:tcPr>
            <w:tcW w:type="dxa" w:w="266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ASME B31.3 Tabla 341.3.2 / BPVC Secc. V</w:t>
            </w:r>
          </w:p>
        </w:tc>
      </w:tr>
      <w:tr>
        <w:trPr>
          <w:tblHeader w:val="false"/>
        </w:trPr>
        <w:tc>
          <w:tcPr>
            <w:tcW w:type="dxa" w:w="26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END diferido (solo soldadura en servicio)</w:t>
            </w:r>
          </w:p>
        </w:tc>
        <w:tc>
          <w:tcPr>
            <w:tcW w:type="dxa" w:w="410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Repetir MT/PT 24–72 h después de soldar (fisuración por hidrógeno retardada) — Art. 2.10 §5.2</w:t>
            </w:r>
          </w:p>
        </w:tc>
        <w:tc>
          <w:tcPr>
            <w:tcW w:type="dxa" w:w="266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Sin fisuras</w:t>
            </w:r>
          </w:p>
        </w:tc>
      </w:tr>
      <w:tr>
        <w:trPr>
          <w:tblHeader w:val="false"/>
        </w:trPr>
        <w:tc>
          <w:tcPr>
            <w:tcW w:type="dxa" w:w="260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UT de espesores</w:t>
            </w:r>
          </w:p>
        </w:tc>
        <w:tc>
          <w:tcPr>
            <w:tcW w:type="dxa" w:w="410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Verificación de espesor bajo las zonas de filete (evitar burn-through) y del área reparada</w:t>
            </w:r>
          </w:p>
        </w:tc>
        <w:tc>
          <w:tcPr>
            <w:tcW w:type="dxa" w:w="266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Espesor suficiente para soldar sin perforación</w:t>
            </w:r>
          </w:p>
        </w:tc>
      </w:tr>
    </w:tbl>
    <w:p>
      <w:pPr>
        <w:spacing w:after="120" w:line="264"/>
        <w:jc w:val="both"/>
      </w:pPr>
      <w:r>
        <w:rPr>
          <w:color w:val="1A1A1A"/>
          <w:sz w:val="20"/>
          <w:szCs w:val="20"/>
        </w:rPr>
        <w:t xml:space="preserve">Los ensayos y la prueba deben completarse antes de reaplicar recubrimiento o aislamiento (Art. 2.12 §6).</w:t>
      </w:r>
    </w:p>
    <w:p>
      <w:pPr>
        <w:pStyle w:val="Heading1"/>
        <w:spacing w:after="120" w:before="260"/>
      </w:pPr>
      <w:r>
        <w:rPr>
          <w:b/>
          <w:bCs/>
          <w:color w:val="16304F"/>
          <w:sz w:val="26"/>
          <w:szCs w:val="26"/>
        </w:rPr>
        <w:t xml:space="preserve">11.  Prueba de hermeticidad / presión</w:t>
      </w:r>
    </w:p>
    <w:p>
      <w:pPr>
        <w:spacing w:after="120" w:line="264"/>
        <w:jc w:val="both"/>
      </w:pPr>
      <w:r>
        <w:rPr>
          <w:color w:val="1A1A1A"/>
          <w:sz w:val="20"/>
          <w:szCs w:val="20"/>
        </w:rPr>
        <w:t xml:space="preserve">La selección del tipo de prueba sigue el árbol de decisión de PCC-2 Art. 5.1 (Fig. 1). Dado que el equipo no se libera para reparación definitiva y el servicio es benigno, se adopta:</w:t>
      </w:r>
    </w:p>
    <w:p>
      <w:pPr>
        <w:pStyle w:val="ListParagraph"/>
        <w:numPr>
          <w:ilvl w:val="0"/>
          <w:numId w:val="2"/>
        </w:numPr>
        <w:spacing w:after="70" w:line="260"/>
        <w:jc w:val="both"/>
      </w:pPr>
      <w:r>
        <w:rPr>
          <w:b/>
          <w:bCs/>
          <w:i w:val="false"/>
          <w:iCs w:val="false"/>
          <w:color w:val="1A1A1A"/>
          <w:sz w:val="20"/>
          <w:szCs w:val="20"/>
        </w:rPr>
        <w:t xml:space="preserve">Opción por defecto (en servicio): </w:t>
      </w:r>
      <w:r>
        <w:rPr>
          <w:b w:val="false"/>
          <w:bCs w:val="false"/>
          <w:i w:val="false"/>
          <w:iCs w:val="false"/>
          <w:color w:val="1A1A1A"/>
          <w:sz w:val="20"/>
          <w:szCs w:val="20"/>
        </w:rPr>
        <w:t xml:space="preserve">prueba de fuga en servicio (VT a presión de operación al retornar la línea) combinada con END superficial (PT/MT) en lugar de la prueba de presión, conforme al Art. 2.12 §6(c) y Art. 5.1 §3.4.4.</w:t>
      </w:r>
    </w:p>
    <w:p>
      <w:pPr>
        <w:pStyle w:val="ListParagraph"/>
        <w:numPr>
          <w:ilvl w:val="0"/>
          <w:numId w:val="2"/>
        </w:numPr>
        <w:spacing w:after="70" w:line="260"/>
        <w:jc w:val="both"/>
      </w:pPr>
      <w:r>
        <w:rPr>
          <w:b/>
          <w:bCs/>
          <w:i w:val="false"/>
          <w:iCs w:val="false"/>
          <w:color w:val="1A1A1A"/>
          <w:sz w:val="20"/>
          <w:szCs w:val="20"/>
        </w:rPr>
        <w:t xml:space="preserve">Opción si se aísla/drena: </w:t>
      </w:r>
      <w:r>
        <w:rPr>
          <w:b w:val="false"/>
          <w:bCs w:val="false"/>
          <w:i w:val="false"/>
          <w:iCs w:val="false"/>
          <w:color w:val="1A1A1A"/>
          <w:sz w:val="20"/>
          <w:szCs w:val="20"/>
        </w:rPr>
        <w:t xml:space="preserve">prueba hidrostática localizada del área reparada (o de la línea) a </w:t>
      </w:r>
      <w:r>
        <w:rPr>
          <w:b w:val="false"/>
          <w:bCs w:val="false"/>
          <w:i/>
          <w:iCs/>
          <w:color w:val="1A1A1A"/>
          <w:sz w:val="20"/>
          <w:szCs w:val="20"/>
        </w:rPr>
        <w:t xml:space="preserve">P_t = 1,5 × P_diseño</w:t>
      </w:r>
      <w:r>
        <w:rPr>
          <w:b w:val="false"/>
          <w:bCs w:val="false"/>
          <w:i w:val="false"/>
          <w:iCs w:val="false"/>
          <w:color w:val="1A1A1A"/>
          <w:sz w:val="20"/>
          <w:szCs w:val="20"/>
        </w:rPr>
        <w:t xml:space="preserve"> (Art. 5.1, ec. 2 para tubería), con agua a temperatura por debajo del punto de flasheo. Referencia: 15 kg/cm² (213 psi) si el diseño es 10 kg/cm².</w:t>
      </w:r>
    </w:p>
    <w:p>
      <w:pPr>
        <w:pStyle w:val="ListParagraph"/>
        <w:numPr>
          <w:ilvl w:val="0"/>
          <w:numId w:val="2"/>
        </w:numPr>
        <w:spacing w:after="70" w:line="260"/>
        <w:jc w:val="both"/>
      </w:pPr>
      <w:r>
        <w:rPr>
          <w:b/>
          <w:bCs/>
          <w:i w:val="false"/>
          <w:iCs w:val="false"/>
          <w:color w:val="1A1A1A"/>
          <w:sz w:val="20"/>
          <w:szCs w:val="20"/>
        </w:rPr>
        <w:t xml:space="preserve">Prohibido salvo análisis de riesgo: </w:t>
      </w:r>
      <w:r>
        <w:rPr>
          <w:b w:val="false"/>
          <w:bCs w:val="false"/>
          <w:i w:val="false"/>
          <w:iCs w:val="false"/>
          <w:color w:val="1A1A1A"/>
          <w:sz w:val="20"/>
          <w:szCs w:val="20"/>
        </w:rPr>
        <w:t xml:space="preserve">prueba neumática (energía almacenada); solo si una hidrostática no es practicable y con las precauciones del Art. 5.1 §3.4.2.</w:t>
      </w:r>
    </w:p>
    <w:p>
      <w:pPr>
        <w:pStyle w:val="Heading1"/>
        <w:spacing w:after="120" w:before="260"/>
      </w:pPr>
      <w:r>
        <w:rPr>
          <w:b/>
          <w:bCs/>
          <w:color w:val="16304F"/>
          <w:sz w:val="26"/>
          <w:szCs w:val="26"/>
        </w:rPr>
        <w:t xml:space="preserve">12.  Recubrimiento y cierre</w:t>
      </w:r>
    </w:p>
    <w:p>
      <w:pPr>
        <w:spacing w:after="120" w:line="264"/>
        <w:jc w:val="both"/>
      </w:pPr>
      <w:r>
        <w:rPr>
          <w:color w:val="1A1A1A"/>
          <w:sz w:val="20"/>
          <w:szCs w:val="20"/>
        </w:rPr>
        <w:t xml:space="preserve">Tras aprobar END y prueba: sellar el agujero de venteo, limpiar (SSPC-SP) y aplicar el sistema de recubrimiento del área (compatible con el esquema epóxico verde existente). Documentar el estado as-built.</w:t>
      </w:r>
    </w:p>
    <w:p>
      <w:pPr>
        <w:pStyle w:val="Heading1"/>
        <w:spacing w:after="120" w:before="260"/>
      </w:pPr>
      <w:r>
        <w:rPr>
          <w:b/>
          <w:bCs/>
          <w:color w:val="16304F"/>
          <w:sz w:val="26"/>
          <w:szCs w:val="26"/>
        </w:rPr>
        <w:t xml:space="preserve">13.  Consideraciones de seguridad</w:t>
      </w:r>
    </w:p>
    <w:p>
      <w:pPr>
        <w:spacing w:after="120" w:line="264"/>
        <w:jc w:val="both"/>
      </w:pPr>
      <w:r>
        <w:rPr>
          <w:color w:val="1A1A1A"/>
          <w:sz w:val="20"/>
          <w:szCs w:val="20"/>
        </w:rPr>
        <w:t xml:space="preserve">Aunque el agua de enfriamiento no es inflamable ni tóxica, el trabajo se ejecuta en una instalación de proceso (el registro fotográfico muestra el uso de detector de gas): se requiere permiso de trabajo en caliente, análisis de riesgo (ATS/JSA) y monitoreo continuo de gases para descartar atmósfera inflamable adyacente. La fuga activa se gestiona con el agujero de venteo (evita presión/vapor bajo el parche). El trabajo en altura/espacios reducidos y la manipulación del agua caliente se cubren en el ATS. Personal de soldadura y END calificado (Art. 2.4 §2.4, Art. 2.12).</w:t>
      </w:r>
    </w:p>
    <w:p>
      <w:pPr>
        <w:pStyle w:val="Heading1"/>
        <w:spacing w:after="120" w:before="260"/>
      </w:pPr>
      <w:r>
        <w:rPr>
          <w:b/>
          <w:bCs/>
          <w:color w:val="16304F"/>
          <w:sz w:val="26"/>
          <w:szCs w:val="26"/>
        </w:rPr>
        <w:t xml:space="preserve">14.  Registros y documentación (PCC-2 §3.12)</w:t>
      </w:r>
    </w:p>
    <w:p>
      <w:pPr>
        <w:spacing w:after="120" w:line="264"/>
        <w:jc w:val="both"/>
      </w:pPr>
      <w:r>
        <w:rPr>
          <w:color w:val="1A1A1A"/>
          <w:sz w:val="20"/>
          <w:szCs w:val="20"/>
        </w:rPr>
        <w:t xml:space="preserve">El propietario debe conservar como parte del historial del componente: descripción de la condición y su causa; certificados de material (MTR) del collar, aporte y respaldo; WPS/PQR y WPQ; reportes de END (VT, PT/MT, UT); registro de la prueba de hermeticidad/presión; fotografías antes y después; y el croquis/plano as-built de la reparación (ver Anexo A).</w:t>
      </w:r>
    </w:p>
    <w:p>
      <w:pPr>
        <w:pStyle w:val="Heading1"/>
        <w:spacing w:after="120" w:before="260"/>
      </w:pPr>
      <w:r>
        <w:rPr>
          <w:b/>
          <w:bCs/>
          <w:color w:val="16304F"/>
          <w:sz w:val="26"/>
          <w:szCs w:val="26"/>
        </w:rPr>
        <w:t xml:space="preserve">15.  Carácter de la reparación y recomendaciones</w:t>
      </w:r>
    </w:p>
    <w:p>
      <w:pPr>
        <w:spacing w:after="120" w:line="264"/>
        <w:jc w:val="both"/>
      </w:pPr>
      <w:r>
        <w:rPr>
          <w:color w:val="1A1A1A"/>
          <w:sz w:val="20"/>
          <w:szCs w:val="20"/>
        </w:rPr>
        <w:t xml:space="preserve">Ejecutada según PCC-2 y verificada por cálculo, esta reparación puede desempeñarse como permanente para las condiciones de operación actuales (PCC-2 §3.7). No obstante, dado que se origina como reparación correctiva sin liberación del equipo, se recomienda tratarla como semipermanente y programar la reparación definitiva —reemplazo de la brida/carrete afectado y corrección de la causa raíz de corrosión— en la próxima parada. Debe incorporarse la zona reparada al programa de inspección (UT periódico).</w:t>
      </w:r>
    </w:p>
    <w:p>
      <w:pPr>
        <w:spacing w:after="120" w:line="264"/>
        <w:jc w:val="both"/>
      </w:pPr>
      <w:r>
        <w:rPr>
          <w:b/>
          <w:bCs/>
          <w:i w:val="false"/>
          <w:iCs w:val="false"/>
          <w:color w:val="1A1A1A"/>
          <w:sz w:val="20"/>
          <w:szCs w:val="20"/>
        </w:rPr>
        <w:t xml:space="preserve">Puntos abiertos a confirmar antes de emitir Rev. 1: </w:t>
      </w:r>
      <w:r>
        <w:rPr>
          <w:b w:val="false"/>
          <w:bCs w:val="false"/>
          <w:i w:val="false"/>
          <w:iCs w:val="false"/>
          <w:color w:val="1A1A1A"/>
          <w:sz w:val="20"/>
          <w:szCs w:val="20"/>
        </w:rPr>
        <w:t xml:space="preserve">(1) presión de diseño real de la línea (clase B1); (2) mapeo UT del alcance del daño; (3) decisión aislar/drenar vs. soldar en servicio; (4) CE de los materiales por MTR; (5) reemplazo de espárragos.</w:t>
      </w:r>
    </w:p>
    <w:p>
      <w:pPr>
        <w:pageBreakBefore/>
        <w:spacing w:after="60"/>
      </w:pPr>
      <w:r>
        <w:rPr>
          <w:b/>
          <w:bCs/>
          <w:color w:val="16304F"/>
          <w:sz w:val="24"/>
          <w:szCs w:val="24"/>
        </w:rPr>
        <w:t xml:space="preserve">Anexo A — Plano de detalle de la reparación</w:t>
      </w:r>
    </w:p>
    <w:p>
      <w:pPr>
        <w:jc w:val="center"/>
      </w:pPr>
      <w:r>
        <w:drawing>
          <wp:inline distT="0" distB="0" distL="0" distR="0">
            <wp:extent cx="64008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4095750"/>
                    </a:xfrm>
                    <a:prstGeom prst="rect">
                      <a:avLst/>
                    </a:prstGeom>
                  </pic:spPr>
                </pic:pic>
              </a:graphicData>
            </a:graphic>
          </wp:inline>
        </w:drawing>
      </w:r>
    </w:p>
    <w:p>
      <w:pPr>
        <w:spacing w:before="60"/>
        <w:jc w:val="center"/>
      </w:pPr>
      <w:r>
        <w:rPr>
          <w:i/>
          <w:iCs/>
          <w:color w:val="33475B"/>
          <w:sz w:val="16"/>
          <w:szCs w:val="16"/>
        </w:rPr>
        <w:t xml:space="preserve">Figura A-1. Detalle del collar de refuerzo 360° (esquemático, no a escala). Cotas según memoria de cálculo (Sección 6).</w:t>
      </w:r>
    </w:p>
    <w:p>
      <w:pPr>
        <w:pageBreakBefore/>
        <w:spacing w:after="60"/>
      </w:pPr>
      <w:r>
        <w:rPr>
          <w:b/>
          <w:bCs/>
          <w:color w:val="16304F"/>
          <w:sz w:val="24"/>
          <w:szCs w:val="24"/>
        </w:rPr>
        <w:t xml:space="preserve">Anexo B — Cotas de referencia de la brida WN 12" Clase 150 (ASME B16.5)</w:t>
      </w:r>
    </w:p>
    <w:tbl>
      <w:tblPr>
        <w:tblW w:type="dxa" w:w="9360"/>
        <w:tblBorders>
          <w:top w:val="single" w:color="BFC9D4" w:sz="2"/>
          <w:left w:val="single" w:color="BFC9D4" w:sz="2"/>
          <w:bottom w:val="single" w:color="BFC9D4" w:sz="2"/>
          <w:right w:val="single" w:color="BFC9D4" w:sz="2"/>
          <w:insideH w:val="single" w:color="BFC9D4" w:sz="2"/>
          <w:insideV w:val="single" w:color="BFC9D4" w:sz="2"/>
        </w:tblBorders>
      </w:tblPr>
      <w:tblGrid>
        <w:gridCol w:w="1500"/>
        <w:gridCol w:w="4260"/>
        <w:gridCol w:w="1650"/>
        <w:gridCol w:w="1950"/>
      </w:tblGrid>
      <w:tr>
        <w:trPr>
          <w:tblHeader/>
        </w:trPr>
        <w:tc>
          <w:tcPr>
            <w:tcW w:type="dxa" w:w="1500"/>
            <w:shd w:fill="16304F" w:color="auto" w:val="clear"/>
            <w:tcMar>
              <w:top w:type="dxa" w:w="40"/>
              <w:left w:type="dxa" w:w="90"/>
              <w:bottom w:type="dxa" w:w="40"/>
              <w:right w:type="dxa" w:w="90"/>
            </w:tcMar>
          </w:tcPr>
          <w:p>
            <w:pPr>
              <w:spacing w:after="20" w:before="20" w:line="240"/>
              <w:jc w:val="left"/>
            </w:pPr>
            <w:r>
              <w:rPr>
                <w:b/>
                <w:bCs/>
                <w:color w:val="FFFFFF"/>
                <w:sz w:val="18"/>
                <w:szCs w:val="18"/>
              </w:rPr>
              <w:t xml:space="preserve">Identificador</w:t>
            </w:r>
          </w:p>
        </w:tc>
        <w:tc>
          <w:tcPr>
            <w:tcW w:type="dxa" w:w="4260"/>
            <w:shd w:fill="16304F" w:color="auto" w:val="clear"/>
            <w:tcMar>
              <w:top w:type="dxa" w:w="40"/>
              <w:left w:type="dxa" w:w="90"/>
              <w:bottom w:type="dxa" w:w="40"/>
              <w:right w:type="dxa" w:w="90"/>
            </w:tcMar>
          </w:tcPr>
          <w:p>
            <w:pPr>
              <w:spacing w:after="20" w:before="20" w:line="240"/>
              <w:jc w:val="center"/>
            </w:pPr>
            <w:r>
              <w:rPr>
                <w:b/>
                <w:bCs/>
                <w:color w:val="FFFFFF"/>
                <w:sz w:val="18"/>
                <w:szCs w:val="18"/>
              </w:rPr>
              <w:t xml:space="preserve">Descripción</w:t>
            </w:r>
          </w:p>
        </w:tc>
        <w:tc>
          <w:tcPr>
            <w:tcW w:type="dxa" w:w="1650"/>
            <w:shd w:fill="16304F" w:color="auto" w:val="clear"/>
            <w:tcMar>
              <w:top w:type="dxa" w:w="40"/>
              <w:left w:type="dxa" w:w="90"/>
              <w:bottom w:type="dxa" w:w="40"/>
              <w:right w:type="dxa" w:w="90"/>
            </w:tcMar>
          </w:tcPr>
          <w:p>
            <w:pPr>
              <w:spacing w:after="20" w:before="20" w:line="240"/>
              <w:jc w:val="center"/>
            </w:pPr>
            <w:r>
              <w:rPr>
                <w:b/>
                <w:bCs/>
                <w:color w:val="FFFFFF"/>
                <w:sz w:val="18"/>
                <w:szCs w:val="18"/>
              </w:rPr>
              <w:t xml:space="preserve">Pulgadas</w:t>
            </w:r>
          </w:p>
        </w:tc>
        <w:tc>
          <w:tcPr>
            <w:tcW w:type="dxa" w:w="1950"/>
            <w:shd w:fill="16304F" w:color="auto" w:val="clear"/>
            <w:tcMar>
              <w:top w:type="dxa" w:w="40"/>
              <w:left w:type="dxa" w:w="90"/>
              <w:bottom w:type="dxa" w:w="40"/>
              <w:right w:type="dxa" w:w="90"/>
            </w:tcMar>
          </w:tcPr>
          <w:p>
            <w:pPr>
              <w:spacing w:after="20" w:before="20" w:line="240"/>
              <w:jc w:val="center"/>
            </w:pPr>
            <w:r>
              <w:rPr>
                <w:b/>
                <w:bCs/>
                <w:color w:val="FFFFFF"/>
                <w:sz w:val="18"/>
                <w:szCs w:val="18"/>
              </w:rPr>
              <w:t xml:space="preserve">Milímetros</w:t>
            </w:r>
          </w:p>
        </w:tc>
      </w:tr>
      <w:tr>
        <w:trPr>
          <w:tblHeader w:val="false"/>
        </w:trPr>
        <w:tc>
          <w:tcPr>
            <w:tcW w:type="dxa" w:w="15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O</w:t>
            </w:r>
          </w:p>
        </w:tc>
        <w:tc>
          <w:tcPr>
            <w:tcW w:type="dxa" w:w="426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Diámetro exterior de la brida</w:t>
            </w:r>
          </w:p>
        </w:tc>
        <w:tc>
          <w:tcPr>
            <w:tcW w:type="dxa" w:w="165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19,00"</w:t>
            </w:r>
          </w:p>
        </w:tc>
        <w:tc>
          <w:tcPr>
            <w:tcW w:type="dxa" w:w="195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482,6</w:t>
            </w:r>
          </w:p>
        </w:tc>
      </w:tr>
      <w:tr>
        <w:trPr>
          <w:tblHeader w:val="false"/>
        </w:trPr>
        <w:tc>
          <w:tcPr>
            <w:tcW w:type="dxa" w:w="150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W</w:t>
            </w:r>
          </w:p>
        </w:tc>
        <w:tc>
          <w:tcPr>
            <w:tcW w:type="dxa" w:w="426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Círculo de pernos</w:t>
            </w:r>
          </w:p>
        </w:tc>
        <w:tc>
          <w:tcPr>
            <w:tcW w:type="dxa" w:w="165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17,00"</w:t>
            </w:r>
          </w:p>
        </w:tc>
        <w:tc>
          <w:tcPr>
            <w:tcW w:type="dxa" w:w="195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431,8</w:t>
            </w:r>
          </w:p>
        </w:tc>
      </w:tr>
      <w:tr>
        <w:trPr>
          <w:tblHeader w:val="false"/>
        </w:trPr>
        <w:tc>
          <w:tcPr>
            <w:tcW w:type="dxa" w:w="15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R</w:t>
            </w:r>
          </w:p>
        </w:tc>
        <w:tc>
          <w:tcPr>
            <w:tcW w:type="dxa" w:w="426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Diámetro de la cara resaltada</w:t>
            </w:r>
          </w:p>
        </w:tc>
        <w:tc>
          <w:tcPr>
            <w:tcW w:type="dxa" w:w="165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15,00"</w:t>
            </w:r>
          </w:p>
        </w:tc>
        <w:tc>
          <w:tcPr>
            <w:tcW w:type="dxa" w:w="195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381,0</w:t>
            </w:r>
          </w:p>
        </w:tc>
      </w:tr>
      <w:tr>
        <w:trPr>
          <w:tblHeader w:val="false"/>
        </w:trPr>
        <w:tc>
          <w:tcPr>
            <w:tcW w:type="dxa" w:w="150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X</w:t>
            </w:r>
          </w:p>
        </w:tc>
        <w:tc>
          <w:tcPr>
            <w:tcW w:type="dxa" w:w="426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Diámetro del cubo en la base</w:t>
            </w:r>
          </w:p>
        </w:tc>
        <w:tc>
          <w:tcPr>
            <w:tcW w:type="dxa" w:w="165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14,38"</w:t>
            </w:r>
          </w:p>
        </w:tc>
        <w:tc>
          <w:tcPr>
            <w:tcW w:type="dxa" w:w="195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365,3</w:t>
            </w:r>
          </w:p>
        </w:tc>
      </w:tr>
      <w:tr>
        <w:trPr>
          <w:tblHeader w:val="false"/>
        </w:trPr>
        <w:tc>
          <w:tcPr>
            <w:tcW w:type="dxa" w:w="15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A_h</w:t>
            </w:r>
          </w:p>
        </w:tc>
        <w:tc>
          <w:tcPr>
            <w:tcW w:type="dxa" w:w="426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Cubo en el bisel de soldadura (OD tubo)</w:t>
            </w:r>
          </w:p>
        </w:tc>
        <w:tc>
          <w:tcPr>
            <w:tcW w:type="dxa" w:w="165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12,75"</w:t>
            </w:r>
          </w:p>
        </w:tc>
        <w:tc>
          <w:tcPr>
            <w:tcW w:type="dxa" w:w="195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323,9</w:t>
            </w:r>
          </w:p>
        </w:tc>
      </w:tr>
      <w:tr>
        <w:trPr>
          <w:tblHeader w:val="false"/>
        </w:trPr>
        <w:tc>
          <w:tcPr>
            <w:tcW w:type="dxa" w:w="150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tf</w:t>
            </w:r>
          </w:p>
        </w:tc>
        <w:tc>
          <w:tcPr>
            <w:tcW w:type="dxa" w:w="426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Espesor mínimo de la brida (incl. resalte)</w:t>
            </w:r>
          </w:p>
        </w:tc>
        <w:tc>
          <w:tcPr>
            <w:tcW w:type="dxa" w:w="165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1,19"</w:t>
            </w:r>
          </w:p>
        </w:tc>
        <w:tc>
          <w:tcPr>
            <w:tcW w:type="dxa" w:w="195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30,2</w:t>
            </w:r>
          </w:p>
        </w:tc>
      </w:tr>
      <w:tr>
        <w:trPr>
          <w:tblHeader w:val="false"/>
        </w:trPr>
        <w:tc>
          <w:tcPr>
            <w:tcW w:type="dxa" w:w="1500"/>
            <w:shd w:fill="EEF2F6"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Y</w:t>
            </w:r>
          </w:p>
        </w:tc>
        <w:tc>
          <w:tcPr>
            <w:tcW w:type="dxa" w:w="426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Longitud total a través del cubo</w:t>
            </w:r>
          </w:p>
        </w:tc>
        <w:tc>
          <w:tcPr>
            <w:tcW w:type="dxa" w:w="165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4,44"</w:t>
            </w:r>
          </w:p>
        </w:tc>
        <w:tc>
          <w:tcPr>
            <w:tcW w:type="dxa" w:w="1950"/>
            <w:shd w:fill="EEF2F6"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112,8</w:t>
            </w:r>
          </w:p>
        </w:tc>
      </w:tr>
      <w:tr>
        <w:trPr>
          <w:tblHeader w:val="false"/>
        </w:trPr>
        <w:tc>
          <w:tcPr>
            <w:tcW w:type="dxa" w:w="1500"/>
            <w:shd w:fill="FFFFFF" w:color="auto" w:val="clear"/>
            <w:tcMar>
              <w:top w:type="dxa" w:w="40"/>
              <w:left w:type="dxa" w:w="90"/>
              <w:bottom w:type="dxa" w:w="40"/>
              <w:right w:type="dxa" w:w="90"/>
            </w:tcMar>
          </w:tcPr>
          <w:p>
            <w:pPr>
              <w:spacing w:after="20" w:before="20" w:line="240"/>
              <w:jc w:val="left"/>
            </w:pPr>
            <w:r>
              <w:rPr>
                <w:b w:val="false"/>
                <w:bCs w:val="false"/>
                <w:color w:val="1A1A1A"/>
                <w:sz w:val="18"/>
                <w:szCs w:val="18"/>
              </w:rPr>
              <w:t xml:space="preserve">—</w:t>
            </w:r>
          </w:p>
        </w:tc>
        <w:tc>
          <w:tcPr>
            <w:tcW w:type="dxa" w:w="426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Pernos</w:t>
            </w:r>
          </w:p>
        </w:tc>
        <w:tc>
          <w:tcPr>
            <w:tcW w:type="dxa" w:w="165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12 × 7/8"</w:t>
            </w:r>
          </w:p>
        </w:tc>
        <w:tc>
          <w:tcPr>
            <w:tcW w:type="dxa" w:w="1950"/>
            <w:shd w:fill="FFFFFF" w:color="auto" w:val="clear"/>
            <w:tcMar>
              <w:top w:type="dxa" w:w="40"/>
              <w:left w:type="dxa" w:w="90"/>
              <w:bottom w:type="dxa" w:w="40"/>
              <w:right w:type="dxa" w:w="90"/>
            </w:tcMar>
          </w:tcPr>
          <w:p>
            <w:pPr>
              <w:spacing w:after="20" w:before="20" w:line="240"/>
              <w:jc w:val="center"/>
            </w:pPr>
            <w:r>
              <w:rPr>
                <w:b w:val="false"/>
                <w:bCs w:val="false"/>
                <w:color w:val="1A1A1A"/>
                <w:sz w:val="18"/>
                <w:szCs w:val="18"/>
              </w:rPr>
              <w:t xml:space="preserve">M22 (agujeros Ø25,4)</w:t>
            </w:r>
          </w:p>
        </w:tc>
      </w:tr>
    </w:tbl>
    <w:p>
      <w:pPr>
        <w:spacing w:before="80"/>
        <w:jc w:val="both"/>
      </w:pPr>
      <w:r>
        <w:rPr>
          <w:i/>
          <w:iCs/>
          <w:color w:val="33475B"/>
          <w:sz w:val="16"/>
          <w:szCs w:val="16"/>
        </w:rPr>
        <w:t xml:space="preserve">Nota: valores nominales de catálogo B16.5 para brida WN 12" Clase 150 (referencia del croquis de campo adjunto). Verificar en sitio antes de fabricar el collar.</w:t>
      </w:r>
    </w:p>
    <w:p>
      <w:pPr>
        <w:spacing w:after="120"/>
      </w:pPr>
      <w:r>
        <w:t xml:space="preserve"/>
      </w:r>
    </w:p>
    <w:p>
      <w:pPr>
        <w:pBdr>
          <w:top w:val="single" w:color="BFC9D4" w:sz="6" w:space="6"/>
        </w:pBdr>
        <w:spacing w:before="120"/>
      </w:pPr>
      <w:r>
        <w:rPr>
          <w:i/>
          <w:iCs/>
          <w:color w:val="33475B"/>
          <w:sz w:val="16"/>
          <w:szCs w:val="16"/>
        </w:rPr>
        <w:t xml:space="preserve">Documento técnico de referencia. Debe revisarse y aprobarse por personal calificado, y complementarse con los WPS/PQR, el ATS y los formatos de registro del propietario antes de su ejecución.</w:t>
      </w:r>
    </w:p>
    <w:sectPr>
      <w:headerReference w:type="default" r:id="rId7"/>
      <w:footerReference w:type="default" r:id="rId8"/>
      <w:pgSz w:w="12240" w:h="15840" w:orient="portrait"/>
      <w:pgMar w:top="1160" w:right="1440" w:bottom="11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0DA" w:sz="4" w:space="4"/>
      </w:pBdr>
      <w:jc w:val="center"/>
    </w:pPr>
    <w:r>
      <w:rPr>
        <w:color w:val="33475B"/>
        <w:sz w:val="15"/>
        <w:szCs w:val="15"/>
      </w:rPr>
      <w:t xml:space="preserve">Página </w:t>
    </w:r>
    <w:r>
      <w:rPr>
        <w:color w:val="33475B"/>
        <w:sz w:val="15"/>
        <w:szCs w:val="15"/>
      </w:rPr>
      <w:fldChar w:fldCharType="begin"/>
      <w:instrText xml:space="preserve">PAGE</w:instrText>
      <w:fldChar w:fldCharType="separate"/>
      <w:fldChar w:fldCharType="end"/>
    </w:r>
    <w:r>
      <w:rPr>
        <w:color w:val="33475B"/>
        <w:sz w:val="15"/>
        <w:szCs w:val="15"/>
      </w:rPr>
      <w:t xml:space="preserve"> de </w:t>
    </w:r>
    <w:r>
      <w:rPr>
        <w:color w:val="33475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A" w:sz="4" w:space="4"/>
      </w:pBdr>
      <w:tabs>
        <w:tab w:val="right" w:pos="9360"/>
      </w:tabs>
    </w:pPr>
    <w:r>
      <w:rPr>
        <w:color w:val="33475B"/>
        <w:sz w:val="15"/>
        <w:szCs w:val="15"/>
      </w:rPr>
      <w:t xml:space="preserve">ASME PCC-2 · Reparación por parche soldado</w:t>
    </w:r>
    <w:r>
      <w:rPr>
        <w:color w:val="33475B"/>
        <w:sz w:val="15"/>
        <w:szCs w:val="15"/>
      </w:rPr>
      <w:t xml:space="preserve">	Línea 12"-CWS-46-032-B1 · ET-REP-U46-CWS-032 Rev.0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D7C7C"/>
      </w:rPr>
    </w:lvl>
  </w:abstractNum>
  <w:abstractNum w:abstractNumId="3" w15:restartNumberingAfterBreak="0">
    <w:multiLevelType w:val="hybridMultilevel"/>
    <w:lvl w:ilvl="0" w15:tentative="1">
      <w:start w:val="1"/>
      <w:numFmt w:val="decimal"/>
      <w:lvlText w:val="%1."/>
      <w:lvlJc w:val="left"/>
      <w:pPr>
        <w:ind w:left="39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3035652e5c4dd05ead3b28b24c005f6af087a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reparación — parche soldado en cuello de brida 12" (ASME PCC-2)</dc:title>
  <dc:creator>Ingeniería de Piping</dc:creator>
  <cp:lastModifiedBy>Un-named</cp:lastModifiedBy>
  <cp:revision>1</cp:revision>
  <dcterms:created xsi:type="dcterms:W3CDTF">2026-09-04T17:22:34.375Z</dcterms:created>
  <dcterms:modified xsi:type="dcterms:W3CDTF">2026-09-04T17:22:34.386Z</dcterms:modified>
</cp:coreProperties>
</file>

<file path=docProps/custom.xml><?xml version="1.0" encoding="utf-8"?>
<Properties xmlns="http://schemas.openxmlformats.org/officeDocument/2006/custom-properties" xmlns:vt="http://schemas.openxmlformats.org/officeDocument/2006/docPropsVTypes"/>
</file>