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z w:val="17"/>
          <w:szCs w:val="17"/>
        </w:rPr>
        <w:t xml:space="preserve">PROGRAMA LYDES 2026  ·  SAN TELMO BUSINESS SCHOOL</w:t>
      </w:r>
    </w:p>
    <w:p>
      <w:pPr>
        <w:spacing w:after="60" w:line="240"/>
      </w:pPr>
      <w:r>
        <w:rPr>
          <w:rFonts w:ascii="Calibri" w:cs="Calibri" w:eastAsia="Calibri" w:hAnsi="Calibri"/>
          <w:b/>
          <w:bCs/>
          <w:color w:val="1F4E3D"/>
          <w:sz w:val="36"/>
          <w:szCs w:val="36"/>
        </w:rPr>
        <w:t xml:space="preserve">Trabajo final — documento de avance</w:t>
      </w:r>
    </w:p>
    <w:p>
      <w:pPr>
        <w:pBdr>
          <w:bottom w:val="single" w:color="1F4E3D" w:sz="8" w:space="8"/>
        </w:pBdr>
        <w:spacing w:after="40" w:line="240"/>
      </w:pPr>
      <w:r>
        <w:rPr>
          <w:rFonts w:ascii="Calibri" w:cs="Calibri" w:eastAsia="Calibri" w:hAnsi="Calibri"/>
          <w:color w:val="000000"/>
          <w:sz w:val="24"/>
          <w:szCs w:val="24"/>
        </w:rPr>
        <w:t xml:space="preserve">Caso DGI-445 · El valor de la sostenibilidad. Piñas Cultivadas de Costa Rica</w:t>
      </w:r>
    </w:p>
    <w:p>
      <w:pPr>
        <w:spacing w:after="240" w:before="120" w:line="240"/>
      </w:pPr>
      <w:r>
        <w:rPr>
          <w:rFonts w:ascii="Calibri" w:cs="Calibri" w:eastAsia="Calibri" w:hAnsi="Calibri"/>
          <w:i/>
          <w:iCs/>
          <w:color w:val="595959"/>
          <w:sz w:val="19"/>
          <w:szCs w:val="19"/>
        </w:rPr>
        <w:t xml:space="preserve">Plan de anexos y dimensionado económico de PCC Fresh  ·  agosto de 2026</w:t>
      </w:r>
    </w:p>
    <w:p>
      <w:pPr>
        <w:pBdr>
          <w:left w:val="single" w:color="1F4E3D" w:sz="12" w:space="12"/>
        </w:pBdr>
        <w:spacing w:after="160" w:before="120" w:line="240"/>
        <w:ind w:left="340"/>
        <w:jc w:val="both"/>
      </w:pPr>
      <w:r>
        <w:rPr>
          <w:rFonts w:ascii="Calibri" w:cs="Calibri" w:eastAsia="Calibri" w:hAnsi="Calibri"/>
          <w:color w:val="595959"/>
          <w:sz w:val="22"/>
          <w:szCs w:val="22"/>
        </w:rPr>
        <w:t xml:space="preserve">Este no es el informe. Es el material de trabajo previo: la selección justificada de los anexos que llevará el informe y el primer anexo ya construido, del que dependen los demás. El informe definitivo se redactará después, siguiendo el orden de elaboración de la guía CPNNI-24.</w:t>
      </w:r>
    </w:p>
    <w:p>
      <w:pPr>
        <w:pStyle w:val="Heading1"/>
        <w:spacing w:after="160" w:before="360" w:line="240"/>
      </w:pPr>
      <w:r>
        <w:rPr>
          <w:rFonts w:ascii="Calibri" w:cs="Calibri" w:eastAsia="Calibri" w:hAnsi="Calibri"/>
          <w:b/>
          <w:bCs/>
          <w:color w:val="1F4E3D"/>
          <w:sz w:val="28"/>
          <w:szCs w:val="28"/>
        </w:rPr>
        <w:t xml:space="preserve">1. Plan de anexos</w:t>
      </w:r>
    </w:p>
    <w:p>
      <w:pPr>
        <w:spacing w:after="120" w:before="0" w:line="240"/>
        <w:jc w:val="both"/>
      </w:pPr>
      <w:r>
        <w:rPr>
          <w:rFonts w:ascii="Calibri" w:cs="Calibri" w:eastAsia="Calibri" w:hAnsi="Calibri"/>
          <w:sz w:val="22"/>
          <w:szCs w:val="22"/>
        </w:rPr>
        <w:t xml:space="preserve">La guía CPNNI-24 dedica un apartado propio a los anexos y fija seis reglas. Conviene leerlas juntas, porque de ellas se deduce el criterio de selección y no al revés.</w:t>
      </w:r>
    </w:p>
    <w:p>
      <w:pPr>
        <w:spacing w:after="80" w:before="160" w:line="240"/>
        <w:jc w:val="both"/>
      </w:pPr>
      <w:r>
        <w:rPr>
          <w:rFonts w:ascii="Calibri" w:cs="Calibri" w:eastAsia="Calibri" w:hAnsi="Calibri"/>
          <w:color w:val="595959"/>
          <w:sz w:val="18"/>
          <w:szCs w:val="18"/>
        </w:rPr>
        <w:t xml:space="preserve">Tabla 1. Reglas de la guía CPNNI-24 sobre anexos y su consecuencia práctica en este trabajo.</w:t>
      </w:r>
    </w:p>
    <w:tbl>
      <w:tblPr>
        <w:tblW w:type="dxa" w:w="9020"/>
        <w:tblBorders>
          <w:top w:val="single" w:color="BFCFC7" w:sz="4"/>
          <w:left w:val="none"/>
          <w:bottom w:val="single" w:color="BFCFC7" w:sz="4"/>
          <w:right w:val="none"/>
          <w:insideH w:val="single" w:color="D9E2DD" w:sz="2"/>
          <w:insideV w:val="none"/>
        </w:tblBorders>
      </w:tblPr>
      <w:tblGrid>
        <w:gridCol w:w="4100"/>
        <w:gridCol w:w="4920"/>
      </w:tblGrid>
      <w:tr>
        <w:trPr>
          <w:tblHeader/>
        </w:trPr>
        <w:tc>
          <w:tcPr>
            <w:tcW w:type="dxa" w:w="4100"/>
            <w:shd w:fill="1F4E3D"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Regla de la guía</w:t>
            </w:r>
          </w:p>
        </w:tc>
        <w:tc>
          <w:tcPr>
            <w:tcW w:type="dxa" w:w="4920"/>
            <w:shd w:fill="1F4E3D"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Consecuencia práctica</w:t>
            </w:r>
          </w:p>
        </w:tc>
      </w:tr>
      <w:tr>
        <w:tc>
          <w:tcPr>
            <w:tcW w:type="dxa" w:w="4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El anexo completa, confirma o aclara afirmaciones hechas antes en el texto</w:t>
            </w:r>
          </w:p>
        </w:tc>
        <w:tc>
          <w:tcPr>
            <w:tcW w:type="dxa" w:w="4920"/>
            <w:tcMar>
              <w:top w:type="dxa" w:w="60"/>
              <w:left w:type="dxa" w:w="100"/>
              <w:bottom w:type="dxa" w:w="60"/>
              <w:right w:type="dxa" w:w="100"/>
            </w:tcMar>
          </w:tcPr>
          <w:p>
            <w:pPr>
              <w:spacing w:after="0" w:line="240"/>
              <w:jc w:val="left"/>
            </w:pPr>
            <w:r>
              <w:rPr>
                <w:rFonts w:ascii="Calibri" w:cs="Calibri" w:eastAsia="Calibri" w:hAnsi="Calibri"/>
                <w:sz w:val="19"/>
                <w:szCs w:val="19"/>
              </w:rPr>
              <w:t xml:space="preserve">Ningún anexo puede introducir un tema que el cuerpo no haya abierto</w:t>
            </w:r>
          </w:p>
        </w:tc>
      </w:tr>
      <w:tr>
        <w:tc>
          <w:tcPr>
            <w:tcW w:type="dxa" w:w="41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Toda referencia al anexo debe hacerse en el texto</w:t>
            </w:r>
          </w:p>
        </w:tc>
        <w:tc>
          <w:tcPr>
            <w:tcW w:type="dxa" w:w="49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Cada anexo lleva prevista su frase de llamada en el cuerpo</w:t>
            </w:r>
          </w:p>
        </w:tc>
      </w:tr>
      <w:tr>
        <w:tc>
          <w:tcPr>
            <w:tcW w:type="dxa" w:w="4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Los anexos reemplazan explicaciones largas, no las duplican</w:t>
            </w:r>
          </w:p>
        </w:tc>
        <w:tc>
          <w:tcPr>
            <w:tcW w:type="dxa" w:w="4920"/>
            <w:tcMar>
              <w:top w:type="dxa" w:w="60"/>
              <w:left w:type="dxa" w:w="100"/>
              <w:bottom w:type="dxa" w:w="60"/>
              <w:right w:type="dxa" w:w="100"/>
            </w:tcMar>
          </w:tcPr>
          <w:p>
            <w:pPr>
              <w:spacing w:after="0" w:line="240"/>
              <w:jc w:val="left"/>
            </w:pPr>
            <w:r>
              <w:rPr>
                <w:rFonts w:ascii="Calibri" w:cs="Calibri" w:eastAsia="Calibri" w:hAnsi="Calibri"/>
                <w:sz w:val="19"/>
                <w:szCs w:val="19"/>
              </w:rPr>
              <w:t xml:space="preserve">Un anexo bien elegido devuelve espacio al cuerpo; si no lo devuelve, sobra</w:t>
            </w:r>
          </w:p>
        </w:tc>
      </w:tr>
      <w:tr>
        <w:tc>
          <w:tcPr>
            <w:tcW w:type="dxa" w:w="41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Leyenda previa breve, completa y explicativa; numerados y ordenados</w:t>
            </w:r>
          </w:p>
        </w:tc>
        <w:tc>
          <w:tcPr>
            <w:tcW w:type="dxa" w:w="49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Título encima de la tabla, al estilo «Tabla 1. Ingresos trimestrales por zonas»</w:t>
            </w:r>
          </w:p>
        </w:tc>
      </w:tr>
      <w:tr>
        <w:tc>
          <w:tcPr>
            <w:tcW w:type="dxa" w:w="4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Lo no relevante pero pertinente va al anexo; lo no relevante ni pertinente se elimina</w:t>
            </w:r>
          </w:p>
        </w:tc>
        <w:tc>
          <w:tcPr>
            <w:tcW w:type="dxa" w:w="4920"/>
            <w:tcMar>
              <w:top w:type="dxa" w:w="60"/>
              <w:left w:type="dxa" w:w="100"/>
              <w:bottom w:type="dxa" w:w="60"/>
              <w:right w:type="dxa" w:w="100"/>
            </w:tcMar>
          </w:tcPr>
          <w:p>
            <w:pPr>
              <w:spacing w:after="0" w:line="240"/>
              <w:jc w:val="left"/>
            </w:pPr>
            <w:r>
              <w:rPr>
                <w:rFonts w:ascii="Calibri" w:cs="Calibri" w:eastAsia="Calibri" w:hAnsi="Calibri"/>
                <w:sz w:val="19"/>
                <w:szCs w:val="19"/>
              </w:rPr>
              <w:t xml:space="preserve">Es un filtro de descarte, no de acumulación</w:t>
            </w:r>
          </w:p>
        </w:tc>
      </w:tr>
      <w:tr>
        <w:tc>
          <w:tcPr>
            <w:tcW w:type="dxa" w:w="41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Su lectura es opcional para lectores entendidos o muy ocupados</w:t>
            </w:r>
          </w:p>
        </w:tc>
        <w:tc>
          <w:tcPr>
            <w:tcW w:type="dxa" w:w="49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El informe debe sostenerse íntegro sin leer un solo anexo</w:t>
            </w:r>
          </w:p>
        </w:tc>
      </w:tr>
    </w:tbl>
    <w:p>
      <w:pPr>
        <w:pStyle w:val="Heading2"/>
        <w:spacing w:after="120" w:before="240" w:line="240"/>
      </w:pPr>
      <w:r>
        <w:rPr>
          <w:rFonts w:ascii="Calibri" w:cs="Calibri" w:eastAsia="Calibri" w:hAnsi="Calibri"/>
          <w:b/>
          <w:bCs/>
          <w:sz w:val="24"/>
          <w:szCs w:val="24"/>
        </w:rPr>
        <w:t xml:space="preserve">1.1 El filtro propio de este caso</w:t>
      </w:r>
    </w:p>
    <w:p>
      <w:pPr>
        <w:spacing w:after="120" w:before="0" w:line="240"/>
        <w:jc w:val="both"/>
      </w:pPr>
      <w:r>
        <w:rPr>
          <w:rFonts w:ascii="Calibri" w:cs="Calibri" w:eastAsia="Calibri" w:hAnsi="Calibri"/>
          <w:sz w:val="22"/>
          <w:szCs w:val="22"/>
        </w:rPr>
        <w:t xml:space="preserve">A esas reglas hay que añadir una condición que impone el anexo de entrega: </w:t>
      </w:r>
      <w:r>
        <w:rPr>
          <w:rFonts w:ascii="Calibri" w:cs="Calibri" w:eastAsia="Calibri" w:hAnsi="Calibri"/>
          <w:b/>
          <w:bCs/>
          <w:sz w:val="22"/>
          <w:szCs w:val="22"/>
        </w:rPr>
        <w:t xml:space="preserve">el jurado ya conoce el caso al detalle y ya ha leído el informe</w:t>
      </w:r>
      <w:r>
        <w:rPr>
          <w:rFonts w:ascii="Calibri" w:cs="Calibri" w:eastAsia="Calibri" w:hAnsi="Calibri"/>
          <w:sz w:val="22"/>
          <w:szCs w:val="22"/>
        </w:rPr>
        <w:t xml:space="preserve">. Todo anexo que reproduzca material del propio caso —el mapa de posicionamiento, la comparativa entre libre de pesticidas y orgánico, la evolución del área sembrada o el contexto de Costa Rica— es una carilla regalada. No demuestra nivel de trabajo. Los anexos del informe tienen que ser </w:t>
      </w:r>
      <w:r>
        <w:rPr>
          <w:rFonts w:ascii="Calibri" w:cs="Calibri" w:eastAsia="Calibri" w:hAnsi="Calibri"/>
          <w:b/>
          <w:bCs/>
          <w:sz w:val="22"/>
          <w:szCs w:val="22"/>
        </w:rPr>
        <w:t xml:space="preserve">producto propio</w:t>
      </w:r>
      <w:r>
        <w:rPr>
          <w:rFonts w:ascii="Calibri" w:cs="Calibri" w:eastAsia="Calibri" w:hAnsi="Calibri"/>
          <w:sz w:val="22"/>
          <w:szCs w:val="22"/>
        </w:rPr>
        <w:t xml:space="preserve">.</w:t>
      </w:r>
    </w:p>
    <w:p>
      <w:pPr>
        <w:pStyle w:val="Heading2"/>
        <w:spacing w:after="120" w:before="240" w:line="240"/>
      </w:pPr>
      <w:r>
        <w:rPr>
          <w:rFonts w:ascii="Calibri" w:cs="Calibri" w:eastAsia="Calibri" w:hAnsi="Calibri"/>
          <w:b/>
          <w:bCs/>
          <w:sz w:val="24"/>
          <w:szCs w:val="24"/>
        </w:rPr>
        <w:t xml:space="preserve">1.2 El presupuesto de espacio</w:t>
      </w:r>
    </w:p>
    <w:p>
      <w:pPr>
        <w:spacing w:after="120" w:before="0" w:line="240"/>
        <w:jc w:val="both"/>
      </w:pPr>
      <w:r>
        <w:rPr>
          <w:rFonts w:ascii="Calibri" w:cs="Calibri" w:eastAsia="Calibri" w:hAnsi="Calibri"/>
          <w:sz w:val="22"/>
          <w:szCs w:val="22"/>
        </w:rPr>
        <w:t xml:space="preserve">El límite de extensión es de diez carillas </w:t>
      </w:r>
      <w:r>
        <w:rPr>
          <w:rFonts w:ascii="Calibri" w:cs="Calibri" w:eastAsia="Calibri" w:hAnsi="Calibri"/>
          <w:b/>
          <w:bCs/>
          <w:sz w:val="22"/>
          <w:szCs w:val="22"/>
        </w:rPr>
        <w:t xml:space="preserve">incluyendo portada, índice y anexos</w:t>
      </w:r>
      <w:r>
        <w:rPr>
          <w:rFonts w:ascii="Calibri" w:cs="Calibri" w:eastAsia="Calibri" w:hAnsi="Calibri"/>
          <w:sz w:val="22"/>
          <w:szCs w:val="22"/>
        </w:rPr>
        <w:t xml:space="preserve">. Descontadas portada e índice quedan ocho carillas de contenido real; si el cuerpo del informe ocupa seis, para anexos restan </w:t>
      </w:r>
      <w:r>
        <w:rPr>
          <w:rFonts w:ascii="Calibri" w:cs="Calibri" w:eastAsia="Calibri" w:hAnsi="Calibri"/>
          <w:b/>
          <w:bCs/>
          <w:sz w:val="22"/>
          <w:szCs w:val="22"/>
        </w:rPr>
        <w:t xml:space="preserve">dos carillas</w:t>
      </w:r>
      <w:r>
        <w:rPr>
          <w:rFonts w:ascii="Calibri" w:cs="Calibri" w:eastAsia="Calibri" w:hAnsi="Calibri"/>
          <w:sz w:val="22"/>
          <w:szCs w:val="22"/>
        </w:rPr>
        <w:t xml:space="preserve">. Es decir, media carilla por anexo: una tabla compacta y su leyenda. Ese techo, y no el interés del material, es lo que fija el número de anexos en cuatro.</w:t>
      </w:r>
    </w:p>
    <w:p>
      <w:pPr>
        <w:pStyle w:val="Heading2"/>
        <w:spacing w:after="120" w:before="240" w:line="240"/>
      </w:pPr>
      <w:r>
        <w:rPr>
          <w:rFonts w:ascii="Calibri" w:cs="Calibri" w:eastAsia="Calibri" w:hAnsi="Calibri"/>
          <w:b/>
          <w:bCs/>
          <w:sz w:val="24"/>
          <w:szCs w:val="24"/>
        </w:rPr>
        <w:t xml:space="preserve">1.3 Los cuatro anexos</w:t>
      </w:r>
    </w:p>
    <w:p>
      <w:pPr>
        <w:pStyle w:val="Heading3"/>
        <w:spacing w:after="100" w:before="200" w:line="240"/>
      </w:pPr>
      <w:r>
        <w:rPr>
          <w:rFonts w:ascii="Calibri" w:cs="Calibri" w:eastAsia="Calibri" w:hAnsi="Calibri"/>
          <w:b/>
          <w:bCs/>
          <w:color w:val="1F4E3D"/>
          <w:sz w:val="22"/>
          <w:szCs w:val="22"/>
        </w:rPr>
        <w:t xml:space="preserve">Anexo 1. Dimensionado económico de la división de piña de PCC Fresh</w:t>
      </w:r>
    </w:p>
    <w:p>
      <w:pPr>
        <w:spacing w:after="120" w:before="0" w:line="240"/>
        <w:jc w:val="both"/>
      </w:pPr>
      <w:r>
        <w:rPr>
          <w:rFonts w:ascii="Calibri" w:cs="Calibri" w:eastAsia="Calibri" w:hAnsi="Calibri"/>
          <w:i/>
          <w:iCs/>
          <w:sz w:val="22"/>
          <w:szCs w:val="22"/>
        </w:rPr>
        <w:t xml:space="preserve">Leyenda: estimación del volumen exportable y de los ingresos anuales de PCC Fresh a partir de las 1.500 hectáreas en producción. La columna de origen distingue el dato público del supuesto propio.</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Contenido.</w:t>
      </w:r>
      <w:r>
        <w:rPr>
          <w:rFonts w:ascii="Calibri" w:cs="Calibri" w:eastAsia="Calibri" w:hAnsi="Calibri"/>
          <w:sz w:val="22"/>
          <w:szCs w:val="22"/>
        </w:rPr>
        <w:t xml:space="preserve"> Cadena de cálculo: hectáreas, rendimiento, cajas, precio de referencia, ingresos y margen estimados.</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Qué sustituye en el cuerpo.</w:t>
      </w:r>
      <w:r>
        <w:rPr>
          <w:rFonts w:ascii="Calibri" w:cs="Calibri" w:eastAsia="Calibri" w:hAnsi="Calibri"/>
          <w:sz w:val="22"/>
          <w:szCs w:val="22"/>
        </w:rPr>
        <w:t xml:space="preserve"> Todo el desarrollo del dimensionado; en el cuerpo queda una sola frase con la cifra final.</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Frase de referencia prevista.</w:t>
      </w:r>
      <w:r>
        <w:rPr>
          <w:rFonts w:ascii="Calibri" w:cs="Calibri" w:eastAsia="Calibri" w:hAnsi="Calibri"/>
          <w:sz w:val="22"/>
          <w:szCs w:val="22"/>
        </w:rPr>
        <w:t xml:space="preserve"> «El dimensionado de la división, detallado en el Anexo 1, sitúa los ingresos anuales de PCC Fresh en torno a 50 millones de dólares».</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Riesgo.</w:t>
      </w:r>
      <w:r>
        <w:rPr>
          <w:rFonts w:ascii="Calibri" w:cs="Calibri" w:eastAsia="Calibri" w:hAnsi="Calibri"/>
          <w:sz w:val="22"/>
          <w:szCs w:val="22"/>
        </w:rPr>
        <w:t xml:space="preserve"> Es una estimación, no un dato de la empresa. Se neutraliza declarando cada supuesto y ofreciendo un rango en lugar de un número único.</w:t>
      </w:r>
    </w:p>
    <w:p>
      <w:pPr>
        <w:pStyle w:val="Heading3"/>
        <w:spacing w:after="100" w:before="200" w:line="240"/>
      </w:pPr>
      <w:r>
        <w:rPr>
          <w:rFonts w:ascii="Calibri" w:cs="Calibri" w:eastAsia="Calibri" w:hAnsi="Calibri"/>
          <w:b/>
          <w:bCs/>
          <w:color w:val="1F4E3D"/>
          <w:sz w:val="22"/>
          <w:szCs w:val="22"/>
        </w:rPr>
        <w:t xml:space="preserve">Anexo 2. Segmentación de la cartera de clientes y encaje del esquema CERO™</w:t>
      </w:r>
    </w:p>
    <w:p>
      <w:pPr>
        <w:spacing w:after="120" w:before="0" w:line="240"/>
        <w:jc w:val="both"/>
      </w:pPr>
      <w:r>
        <w:rPr>
          <w:rFonts w:ascii="Calibri" w:cs="Calibri" w:eastAsia="Calibri" w:hAnsi="Calibri"/>
          <w:i/>
          <w:iCs/>
          <w:sz w:val="22"/>
          <w:szCs w:val="22"/>
        </w:rPr>
        <w:t xml:space="preserve">Leyenda: clasificación de los canales comerciales de PCC según su peso estimado en facturación y su disposición a ceder espacio de marca, con la política comercial propuesta para cada grupo. Los pesos son estimaciones propias a falta de datos de la empresa.</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Contenido.</w:t>
      </w:r>
      <w:r>
        <w:rPr>
          <w:rFonts w:ascii="Calibri" w:cs="Calibri" w:eastAsia="Calibri" w:hAnsi="Calibri"/>
          <w:sz w:val="22"/>
          <w:szCs w:val="22"/>
        </w:rPr>
        <w:t xml:space="preserve"> Los grupos de canal —transnacionales, mayoristas, retailers especializados vía HoneyBear, marca propia directa— con peso estimado, poder de negociación, disposición al co-branding y política propuesta.</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Qué sustituye en el cuerpo.</w:t>
      </w:r>
      <w:r>
        <w:rPr>
          <w:rFonts w:ascii="Calibri" w:cs="Calibri" w:eastAsia="Calibri" w:hAnsi="Calibri"/>
          <w:sz w:val="22"/>
          <w:szCs w:val="22"/>
        </w:rPr>
        <w:t xml:space="preserve"> La justificación larga de por qué el co-branding no puede aplicarse por igual a todos los clientes.</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Por qué es el anexo más valioso.</w:t>
      </w:r>
      <w:r>
        <w:rPr>
          <w:rFonts w:ascii="Calibri" w:cs="Calibri" w:eastAsia="Calibri" w:hAnsi="Calibri"/>
          <w:sz w:val="22"/>
          <w:szCs w:val="22"/>
        </w:rPr>
        <w:t xml:space="preserve"> El caso plantea el co-branding como un todo o nada —condicionar la transacción a todos los clientes actuales y futuros— y ahí reside su riesgo principal. Segmentar convierte un ultimátum en una decisión graduada: es la pieza que hace </w:t>
      </w:r>
      <w:r>
        <w:rPr>
          <w:rFonts w:ascii="Calibri" w:cs="Calibri" w:eastAsia="Calibri" w:hAnsi="Calibri"/>
          <w:b/>
          <w:bCs/>
          <w:sz w:val="22"/>
          <w:szCs w:val="22"/>
        </w:rPr>
        <w:t xml:space="preserve">realista</w:t>
      </w:r>
      <w:r>
        <w:rPr>
          <w:rFonts w:ascii="Calibri" w:cs="Calibri" w:eastAsia="Calibri" w:hAnsi="Calibri"/>
          <w:sz w:val="22"/>
          <w:szCs w:val="22"/>
        </w:rPr>
        <w:t xml:space="preserve"> la recomendación en lugar de solo valiente.</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Riesgo.</w:t>
      </w:r>
      <w:r>
        <w:rPr>
          <w:rFonts w:ascii="Calibri" w:cs="Calibri" w:eastAsia="Calibri" w:hAnsi="Calibri"/>
          <w:sz w:val="22"/>
          <w:szCs w:val="22"/>
        </w:rPr>
        <w:t xml:space="preserve"> El caso no da la cartera de clientes. Los pesos son estimados y la leyenda debe decirlo: es defendible si se etiqueta e indefendible si se presenta como dato.</w:t>
      </w:r>
    </w:p>
    <w:p>
      <w:pPr>
        <w:pStyle w:val="Heading3"/>
        <w:spacing w:after="100" w:before="200" w:line="240"/>
      </w:pPr>
      <w:r>
        <w:rPr>
          <w:rFonts w:ascii="Calibri" w:cs="Calibri" w:eastAsia="Calibri" w:hAnsi="Calibri"/>
          <w:b/>
          <w:bCs/>
          <w:color w:val="1F4E3D"/>
          <w:sz w:val="22"/>
          <w:szCs w:val="22"/>
        </w:rPr>
        <w:t xml:space="preserve">Anexo 3. Evaluación comparada de las alternativas estratégicas (2026-2031)</w:t>
      </w:r>
    </w:p>
    <w:p>
      <w:pPr>
        <w:spacing w:after="120" w:before="0" w:line="240"/>
        <w:jc w:val="both"/>
      </w:pPr>
      <w:r>
        <w:rPr>
          <w:rFonts w:ascii="Calibri" w:cs="Calibri" w:eastAsia="Calibri" w:hAnsi="Calibri"/>
          <w:i/>
          <w:iCs/>
          <w:sz w:val="22"/>
          <w:szCs w:val="22"/>
        </w:rPr>
        <w:t xml:space="preserve">Leyenda: impacto de las tres alternativas planteadas en el caso y de la propuesta propia sobre ingresos, margen e inversión requerida, valoradas según los criterios fijados en el apartado correspondiente, en escenario base y en escenario adverso.</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Contenido.</w:t>
      </w:r>
      <w:r>
        <w:rPr>
          <w:rFonts w:ascii="Calibri" w:cs="Calibri" w:eastAsia="Calibri" w:hAnsi="Calibri"/>
          <w:sz w:val="22"/>
          <w:szCs w:val="22"/>
        </w:rPr>
        <w:t xml:space="preserve"> Una fila por alternativa; columnas de inversión, impacto en margen, horizonte de retorno, valoración por criterio y resultado en escenario adverso.</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Escenario adverso a modelar.</w:t>
      </w:r>
      <w:r>
        <w:rPr>
          <w:rFonts w:ascii="Calibri" w:cs="Calibri" w:eastAsia="Calibri" w:hAnsi="Calibri"/>
          <w:sz w:val="22"/>
          <w:szCs w:val="22"/>
        </w:rPr>
        <w:t xml:space="preserve"> Adopción lenta del concepto por el consumidor, pérdida de un gran distribuidor y la sobreoferta anticipada para julio de 2026.</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Aquí se absorbe</w:t>
      </w:r>
      <w:r>
        <w:rPr>
          <w:rFonts w:ascii="Calibri" w:cs="Calibri" w:eastAsia="Calibri" w:hAnsi="Calibri"/>
          <w:sz w:val="22"/>
          <w:szCs w:val="22"/>
        </w:rPr>
        <w:t xml:space="preserve"> el coste del co-branding —bandas, packaging, certificación y activación en feria—: es una fila de este anexo, no un anexo propio.</w:t>
      </w:r>
    </w:p>
    <w:p>
      <w:pPr>
        <w:pStyle w:val="Heading3"/>
        <w:spacing w:after="100" w:before="200" w:line="240"/>
      </w:pPr>
      <w:r>
        <w:rPr>
          <w:rFonts w:ascii="Calibri" w:cs="Calibri" w:eastAsia="Calibri" w:hAnsi="Calibri"/>
          <w:b/>
          <w:bCs/>
          <w:color w:val="1F4E3D"/>
          <w:sz w:val="22"/>
          <w:szCs w:val="22"/>
        </w:rPr>
        <w:t xml:space="preserve">Anexo 4. Plan de acción 2026-2027: hitos, responsable, coste e indicador</w:t>
      </w:r>
    </w:p>
    <w:p>
      <w:pPr>
        <w:spacing w:after="120" w:before="0" w:line="240"/>
        <w:jc w:val="both"/>
      </w:pPr>
      <w:r>
        <w:rPr>
          <w:rFonts w:ascii="Calibri" w:cs="Calibri" w:eastAsia="Calibri" w:hAnsi="Calibri"/>
          <w:i/>
          <w:iCs/>
          <w:sz w:val="22"/>
          <w:szCs w:val="22"/>
        </w:rPr>
        <w:t xml:space="preserve">Leyenda: despliegue temporal de la decisión propuesta, con el responsable, el desembolso previsto y el indicador de seguimiento de cada hito.</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Qué sustituye en el cuerpo.</w:t>
      </w:r>
      <w:r>
        <w:rPr>
          <w:rFonts w:ascii="Calibri" w:cs="Calibri" w:eastAsia="Calibri" w:hAnsi="Calibri"/>
          <w:sz w:val="22"/>
          <w:szCs w:val="22"/>
        </w:rPr>
        <w:t xml:space="preserve"> El detalle del calendario; en el cuerpo quedan las decisiones, no las fechas.</w:t>
      </w:r>
    </w:p>
    <w:p>
      <w:pPr>
        <w:pStyle w:val="ListParagraph"/>
        <w:numPr>
          <w:ilvl w:val="0"/>
          <w:numId w:val="1"/>
        </w:numPr>
        <w:spacing w:after="60" w:line="240"/>
        <w:ind w:left="360" w:hanging="180"/>
        <w:jc w:val="both"/>
      </w:pPr>
      <w:r>
        <w:rPr>
          <w:rFonts w:ascii="Calibri" w:cs="Calibri" w:eastAsia="Calibri" w:hAnsi="Calibri"/>
          <w:b/>
          <w:bCs/>
          <w:sz w:val="22"/>
          <w:szCs w:val="22"/>
        </w:rPr>
        <w:t xml:space="preserve">Por qué pesa.</w:t>
      </w:r>
      <w:r>
        <w:rPr>
          <w:rFonts w:ascii="Calibri" w:cs="Calibri" w:eastAsia="Calibri" w:hAnsi="Calibri"/>
          <w:sz w:val="22"/>
          <w:szCs w:val="22"/>
        </w:rPr>
        <w:t xml:space="preserve"> La guía autoriza expresamente a llevar el desarrollo del plan al anexo, y en la defensa una de las tres cosas que hay que dejar claras es </w:t>
      </w:r>
      <w:r>
        <w:rPr>
          <w:rFonts w:ascii="Calibri" w:cs="Calibri" w:eastAsia="Calibri" w:hAnsi="Calibri"/>
          <w:b/>
          <w:bCs/>
          <w:sz w:val="22"/>
          <w:szCs w:val="22"/>
        </w:rPr>
        <w:t xml:space="preserve">cómo se va a llevar a cabo</w:t>
      </w:r>
      <w:r>
        <w:rPr>
          <w:rFonts w:ascii="Calibri" w:cs="Calibri" w:eastAsia="Calibri" w:hAnsi="Calibri"/>
          <w:sz w:val="22"/>
          <w:szCs w:val="22"/>
        </w:rPr>
        <w:t xml:space="preserve">. Con hitos anclados a hechos reales del caso —la respuesta pendiente a HoneyBear, las ferias de julio en Monterrey, la floración natural de julio de 2026— deja de ser una idea y pasa a ser una instrucción.</w:t>
      </w:r>
    </w:p>
    <w:p>
      <w:pPr>
        <w:pStyle w:val="Heading2"/>
        <w:spacing w:after="120" w:before="240" w:line="240"/>
      </w:pPr>
      <w:r>
        <w:rPr>
          <w:rFonts w:ascii="Calibri" w:cs="Calibri" w:eastAsia="Calibri" w:hAnsi="Calibri"/>
          <w:b/>
          <w:bCs/>
          <w:sz w:val="24"/>
          <w:szCs w:val="24"/>
        </w:rPr>
        <w:t xml:space="preserve">1.4 En reserva, y lo que no va al informe</w:t>
      </w:r>
    </w:p>
    <w:p>
      <w:pPr>
        <w:spacing w:after="120" w:before="0" w:line="240"/>
        <w:jc w:val="both"/>
      </w:pPr>
      <w:r>
        <w:rPr>
          <w:rFonts w:ascii="Calibri" w:cs="Calibri" w:eastAsia="Calibri" w:hAnsi="Calibri"/>
          <w:sz w:val="22"/>
          <w:szCs w:val="22"/>
        </w:rPr>
        <w:t xml:space="preserve">Una </w:t>
      </w:r>
      <w:r>
        <w:rPr>
          <w:rFonts w:ascii="Calibri" w:cs="Calibri" w:eastAsia="Calibri" w:hAnsi="Calibri"/>
          <w:b/>
          <w:bCs/>
          <w:sz w:val="22"/>
          <w:szCs w:val="22"/>
        </w:rPr>
        <w:t xml:space="preserve">matriz de riesgos</w:t>
      </w:r>
      <w:r>
        <w:rPr>
          <w:rFonts w:ascii="Calibri" w:cs="Calibri" w:eastAsia="Calibri" w:hAnsi="Calibri"/>
          <w:sz w:val="22"/>
          <w:szCs w:val="22"/>
        </w:rPr>
        <w:t xml:space="preserve"> —riesgo, señal de alerta temprana y respuesta prevista— es el quinto candidato natural. Si el espacio aprieta, se sacrifica y sus líneas clave se absorben en el Anexo 3.</w:t>
      </w:r>
    </w:p>
    <w:p>
      <w:pPr>
        <w:spacing w:after="120" w:before="0" w:line="240"/>
        <w:jc w:val="both"/>
      </w:pPr>
      <w:r>
        <w:rPr>
          <w:rFonts w:ascii="Calibri" w:cs="Calibri" w:eastAsia="Calibri" w:hAnsi="Calibri"/>
          <w:sz w:val="22"/>
          <w:szCs w:val="22"/>
        </w:rPr>
        <w:t xml:space="preserve">Lo que no cabe no se tira: se mueve al </w:t>
      </w:r>
      <w:r>
        <w:rPr>
          <w:rFonts w:ascii="Calibri" w:cs="Calibri" w:eastAsia="Calibri" w:hAnsi="Calibri"/>
          <w:b/>
          <w:bCs/>
          <w:sz w:val="22"/>
          <w:szCs w:val="22"/>
        </w:rPr>
        <w:t xml:space="preserve">dossier de respaldo</w:t>
      </w:r>
      <w:r>
        <w:rPr>
          <w:rFonts w:ascii="Calibri" w:cs="Calibri" w:eastAsia="Calibri" w:hAnsi="Calibri"/>
          <w:sz w:val="22"/>
          <w:szCs w:val="22"/>
        </w:rPr>
        <w:t xml:space="preserve"> de la defensa. El anexo de entrega pide llevar el informe impreso e incluso los archivos Excel por si hay que acudir a algún número con más detalle. Ahí van los cálculos completos, las sensibilidades y el detalle del coste y plazo de la certificación orgánica. En el informe, solo la conclusión de cada cosa.</w:t>
      </w:r>
    </w:p>
    <w:p>
      <w:r>
        <w:br w:type="page"/>
      </w:r>
    </w:p>
    <w:p>
      <w:pPr>
        <w:pStyle w:val="Heading1"/>
        <w:spacing w:after="160" w:before="360" w:line="240"/>
      </w:pPr>
      <w:r>
        <w:rPr>
          <w:rFonts w:ascii="Calibri" w:cs="Calibri" w:eastAsia="Calibri" w:hAnsi="Calibri"/>
          <w:b/>
          <w:bCs/>
          <w:color w:val="1F4E3D"/>
          <w:sz w:val="28"/>
          <w:szCs w:val="28"/>
        </w:rPr>
        <w:t xml:space="preserve">2. Anexo 1 — Dimensionado económico de PCC Fresh</w:t>
      </w:r>
    </w:p>
    <w:p>
      <w:pPr>
        <w:spacing w:after="120" w:before="0" w:line="240"/>
        <w:jc w:val="both"/>
      </w:pPr>
      <w:r>
        <w:rPr>
          <w:rFonts w:ascii="Calibri" w:cs="Calibri" w:eastAsia="Calibri" w:hAnsi="Calibri"/>
          <w:sz w:val="22"/>
          <w:szCs w:val="22"/>
        </w:rPr>
        <w:t xml:space="preserve">El caso no aporta ni un dato económico de la empresa: no hay cuenta de resultados, ni precio de venta, ni volumen, ni margen. Este apartado reconstruye el tamaño de la división desde el único dato aprovechable que sí ofrece —</w:t>
      </w:r>
      <w:r>
        <w:rPr>
          <w:rFonts w:ascii="Calibri" w:cs="Calibri" w:eastAsia="Calibri" w:hAnsi="Calibri"/>
          <w:b/>
          <w:bCs/>
          <w:sz w:val="22"/>
          <w:szCs w:val="22"/>
        </w:rPr>
        <w:t xml:space="preserve">1.500 hectáreas en producción</w:t>
      </w:r>
      <w:r>
        <w:rPr>
          <w:rFonts w:ascii="Calibri" w:cs="Calibri" w:eastAsia="Calibri" w:hAnsi="Calibri"/>
          <w:sz w:val="22"/>
          <w:szCs w:val="22"/>
        </w:rPr>
        <w:t xml:space="preserve">— y desde estadísticas públicas del sector. Es el cimiento de los Anexos 2, 3 y 4.</w:t>
      </w:r>
    </w:p>
    <w:p>
      <w:pPr>
        <w:pStyle w:val="Heading2"/>
        <w:spacing w:after="120" w:before="240" w:line="240"/>
      </w:pPr>
      <w:r>
        <w:rPr>
          <w:rFonts w:ascii="Calibri" w:cs="Calibri" w:eastAsia="Calibri" w:hAnsi="Calibri"/>
          <w:b/>
          <w:bCs/>
          <w:sz w:val="24"/>
          <w:szCs w:val="24"/>
        </w:rPr>
        <w:t xml:space="preserve">2.1 Regla de honestidad del método</w:t>
      </w:r>
    </w:p>
    <w:p>
      <w:pPr>
        <w:spacing w:after="120" w:before="0" w:line="240"/>
        <w:jc w:val="both"/>
      </w:pPr>
      <w:r>
        <w:rPr>
          <w:rFonts w:ascii="Calibri" w:cs="Calibri" w:eastAsia="Calibri" w:hAnsi="Calibri"/>
          <w:sz w:val="22"/>
          <w:szCs w:val="22"/>
        </w:rPr>
        <w:t xml:space="preserve">Cada línea del cálculo se etiqueta como </w:t>
      </w:r>
      <w:r>
        <w:rPr>
          <w:rFonts w:ascii="Calibri" w:cs="Calibri" w:eastAsia="Calibri" w:hAnsi="Calibri"/>
          <w:b/>
          <w:bCs/>
          <w:sz w:val="22"/>
          <w:szCs w:val="22"/>
        </w:rPr>
        <w:t xml:space="preserve">dato</w:t>
      </w:r>
      <w:r>
        <w:rPr>
          <w:rFonts w:ascii="Calibri" w:cs="Calibri" w:eastAsia="Calibri" w:hAnsi="Calibri"/>
          <w:sz w:val="22"/>
          <w:szCs w:val="22"/>
        </w:rPr>
        <w:t xml:space="preserve"> —del caso o de fuente pública verificable— o como </w:t>
      </w:r>
      <w:r>
        <w:rPr>
          <w:rFonts w:ascii="Calibri" w:cs="Calibri" w:eastAsia="Calibri" w:hAnsi="Calibri"/>
          <w:b/>
          <w:bCs/>
          <w:sz w:val="22"/>
          <w:szCs w:val="22"/>
        </w:rPr>
        <w:t xml:space="preserve">supuesto</w:t>
      </w:r>
      <w:r>
        <w:rPr>
          <w:rFonts w:ascii="Calibri" w:cs="Calibri" w:eastAsia="Calibri" w:hAnsi="Calibri"/>
          <w:sz w:val="22"/>
          <w:szCs w:val="22"/>
        </w:rPr>
        <w:t xml:space="preserve"> propio, razonado y explícito. No hay una tercera categoría. Si el jurado pregunta por una cifra, la respuesta debe ser o «está en el caso o en la fuente» o «lo supongo por esto, y este es el rango».</w:t>
      </w:r>
    </w:p>
    <w:p>
      <w:pPr>
        <w:pStyle w:val="Heading2"/>
        <w:spacing w:after="120" w:before="240" w:line="240"/>
      </w:pPr>
      <w:r>
        <w:rPr>
          <w:rFonts w:ascii="Calibri" w:cs="Calibri" w:eastAsia="Calibri" w:hAnsi="Calibri"/>
          <w:b/>
          <w:bCs/>
          <w:sz w:val="24"/>
          <w:szCs w:val="24"/>
        </w:rPr>
        <w:t xml:space="preserve">2.2 Datos de partida</w:t>
      </w:r>
    </w:p>
    <w:p>
      <w:pPr>
        <w:spacing w:after="80" w:before="160" w:line="240"/>
        <w:jc w:val="both"/>
      </w:pPr>
      <w:r>
        <w:rPr>
          <w:rFonts w:ascii="Calibri" w:cs="Calibri" w:eastAsia="Calibri" w:hAnsi="Calibri"/>
          <w:color w:val="595959"/>
          <w:sz w:val="18"/>
          <w:szCs w:val="18"/>
        </w:rPr>
        <w:t xml:space="preserve">Tabla 2. Datos de partida empleados en el dimensionado, con su fuente.</w:t>
      </w:r>
    </w:p>
    <w:tbl>
      <w:tblPr>
        <w:tblW w:type="dxa" w:w="9020"/>
        <w:tblBorders>
          <w:top w:val="single" w:color="BFCFC7" w:sz="4"/>
          <w:left w:val="none"/>
          <w:bottom w:val="single" w:color="BFCFC7" w:sz="4"/>
          <w:right w:val="none"/>
          <w:insideH w:val="single" w:color="D9E2DD" w:sz="2"/>
          <w:insideV w:val="none"/>
        </w:tblBorders>
      </w:tblPr>
      <w:tblGrid>
        <w:gridCol w:w="4200"/>
        <w:gridCol w:w="2500"/>
        <w:gridCol w:w="2320"/>
      </w:tblGrid>
      <w:tr>
        <w:trPr>
          <w:tblHeader/>
        </w:trPr>
        <w:tc>
          <w:tcPr>
            <w:tcW w:type="dxa" w:w="4200"/>
            <w:shd w:fill="1F4E3D"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Concepto</w:t>
            </w:r>
          </w:p>
        </w:tc>
        <w:tc>
          <w:tcPr>
            <w:tcW w:type="dxa" w:w="2500"/>
            <w:shd w:fill="1F4E3D"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Valor</w:t>
            </w:r>
          </w:p>
        </w:tc>
        <w:tc>
          <w:tcPr>
            <w:tcW w:type="dxa" w:w="2320"/>
            <w:shd w:fill="1F4E3D"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Fuente</w:t>
            </w:r>
          </w:p>
        </w:tc>
      </w:tr>
      <w:tr>
        <w:tc>
          <w:tcPr>
            <w:tcW w:type="dxa" w:w="4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Superficie de PCC en producción libre de pesticidas</w:t>
            </w:r>
          </w:p>
        </w:tc>
        <w:tc>
          <w:tcPr>
            <w:tcW w:type="dxa" w:w="2500"/>
            <w:tcMar>
              <w:top w:type="dxa" w:w="60"/>
              <w:left w:type="dxa" w:w="100"/>
              <w:bottom w:type="dxa" w:w="60"/>
              <w:right w:type="dxa" w:w="100"/>
            </w:tcMar>
          </w:tcPr>
          <w:p>
            <w:pPr>
              <w:spacing w:after="0" w:line="240"/>
              <w:jc w:val="left"/>
            </w:pPr>
            <w:r>
              <w:rPr>
                <w:rFonts w:ascii="Calibri" w:cs="Calibri" w:eastAsia="Calibri" w:hAnsi="Calibri"/>
                <w:sz w:val="19"/>
                <w:szCs w:val="19"/>
              </w:rPr>
              <w:t xml:space="preserve">1.500 ha</w:t>
            </w:r>
          </w:p>
        </w:tc>
        <w:tc>
          <w:tcPr>
            <w:tcW w:type="dxa" w:w="2320"/>
            <w:tcMar>
              <w:top w:type="dxa" w:w="60"/>
              <w:left w:type="dxa" w:w="100"/>
              <w:bottom w:type="dxa" w:w="60"/>
              <w:right w:type="dxa" w:w="100"/>
            </w:tcMar>
          </w:tcPr>
          <w:p>
            <w:pPr>
              <w:spacing w:after="0" w:line="240"/>
              <w:jc w:val="left"/>
            </w:pPr>
            <w:r>
              <w:rPr>
                <w:rFonts w:ascii="Calibri" w:cs="Calibri" w:eastAsia="Calibri" w:hAnsi="Calibri"/>
                <w:sz w:val="19"/>
                <w:szCs w:val="19"/>
              </w:rPr>
              <w:t xml:space="preserve">Caso DGI-445</w:t>
            </w:r>
          </w:p>
        </w:tc>
      </w:tr>
      <w:tr>
        <w:tc>
          <w:tcPr>
            <w:tcW w:type="dxa" w:w="42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Superficie piñera total de Costa Rica</w:t>
            </w:r>
          </w:p>
        </w:tc>
        <w:tc>
          <w:tcPr>
            <w:tcW w:type="dxa" w:w="25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 42.000 ha</w:t>
            </w:r>
          </w:p>
        </w:tc>
        <w:tc>
          <w:tcPr>
            <w:tcW w:type="dxa" w:w="23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CANAPEP (2025)</w:t>
            </w:r>
          </w:p>
        </w:tc>
      </w:tr>
      <w:tr>
        <w:tc>
          <w:tcPr>
            <w:tcW w:type="dxa" w:w="4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Producción piñera de Costa Rica</w:t>
            </w:r>
          </w:p>
        </w:tc>
        <w:tc>
          <w:tcPr>
            <w:tcW w:type="dxa" w:w="2500"/>
            <w:tcMar>
              <w:top w:type="dxa" w:w="60"/>
              <w:left w:type="dxa" w:w="100"/>
              <w:bottom w:type="dxa" w:w="60"/>
              <w:right w:type="dxa" w:w="100"/>
            </w:tcMar>
          </w:tcPr>
          <w:p>
            <w:pPr>
              <w:spacing w:after="0" w:line="240"/>
              <w:jc w:val="left"/>
            </w:pPr>
            <w:r>
              <w:rPr>
                <w:rFonts w:ascii="Calibri" w:cs="Calibri" w:eastAsia="Calibri" w:hAnsi="Calibri"/>
                <w:sz w:val="19"/>
                <w:szCs w:val="19"/>
              </w:rPr>
              <w:t xml:space="preserve">≈ 3,12 M t (2024)</w:t>
            </w:r>
          </w:p>
        </w:tc>
        <w:tc>
          <w:tcPr>
            <w:tcW w:type="dxa" w:w="2320"/>
            <w:tcMar>
              <w:top w:type="dxa" w:w="60"/>
              <w:left w:type="dxa" w:w="100"/>
              <w:bottom w:type="dxa" w:w="60"/>
              <w:right w:type="dxa" w:w="100"/>
            </w:tcMar>
          </w:tcPr>
          <w:p>
            <w:pPr>
              <w:spacing w:after="0" w:line="240"/>
              <w:jc w:val="left"/>
            </w:pPr>
            <w:r>
              <w:rPr>
                <w:rFonts w:ascii="Calibri" w:cs="Calibri" w:eastAsia="Calibri" w:hAnsi="Calibri"/>
                <w:sz w:val="19"/>
                <w:szCs w:val="19"/>
              </w:rPr>
              <w:t xml:space="preserve">FAOSTAT</w:t>
            </w:r>
          </w:p>
        </w:tc>
      </w:tr>
      <w:tr>
        <w:tc>
          <w:tcPr>
            <w:tcW w:type="dxa" w:w="42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Exportación anual de Costa Rica</w:t>
            </w:r>
          </w:p>
        </w:tc>
        <w:tc>
          <w:tcPr>
            <w:tcW w:type="dxa" w:w="25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170-180 M cajas de 12 kg</w:t>
            </w:r>
          </w:p>
        </w:tc>
        <w:tc>
          <w:tcPr>
            <w:tcW w:type="dxa" w:w="23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CANAPEP</w:t>
            </w:r>
          </w:p>
        </w:tc>
      </w:tr>
      <w:tr>
        <w:tc>
          <w:tcPr>
            <w:tcW w:type="dxa" w:w="4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Valor exportado de piña fresca</w:t>
            </w:r>
          </w:p>
        </w:tc>
        <w:tc>
          <w:tcPr>
            <w:tcW w:type="dxa" w:w="2500"/>
            <w:tcMar>
              <w:top w:type="dxa" w:w="60"/>
              <w:left w:type="dxa" w:w="100"/>
              <w:bottom w:type="dxa" w:w="60"/>
              <w:right w:type="dxa" w:w="100"/>
            </w:tcMar>
          </w:tcPr>
          <w:p>
            <w:pPr>
              <w:spacing w:after="0" w:line="240"/>
              <w:jc w:val="left"/>
            </w:pPr>
            <w:r>
              <w:rPr>
                <w:rFonts w:ascii="Calibri" w:cs="Calibri" w:eastAsia="Calibri" w:hAnsi="Calibri"/>
                <w:sz w:val="19"/>
                <w:szCs w:val="19"/>
              </w:rPr>
              <w:t xml:space="preserve">1.315 M USD (2025)</w:t>
            </w:r>
          </w:p>
        </w:tc>
        <w:tc>
          <w:tcPr>
            <w:tcW w:type="dxa" w:w="2320"/>
            <w:tcMar>
              <w:top w:type="dxa" w:w="60"/>
              <w:left w:type="dxa" w:w="100"/>
              <w:bottom w:type="dxa" w:w="60"/>
              <w:right w:type="dxa" w:w="100"/>
            </w:tcMar>
          </w:tcPr>
          <w:p>
            <w:pPr>
              <w:spacing w:after="0" w:line="240"/>
              <w:jc w:val="left"/>
            </w:pPr>
            <w:r>
              <w:rPr>
                <w:rFonts w:ascii="Calibri" w:cs="Calibri" w:eastAsia="Calibri" w:hAnsi="Calibri"/>
                <w:sz w:val="19"/>
                <w:szCs w:val="19"/>
              </w:rPr>
              <w:t xml:space="preserve">PROCOMER, vía el caso</w:t>
            </w:r>
          </w:p>
        </w:tc>
      </w:tr>
      <w:tr>
        <w:tc>
          <w:tcPr>
            <w:tcW w:type="dxa" w:w="42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Precio de referencia de caja con corona</w:t>
            </w:r>
          </w:p>
        </w:tc>
        <w:tc>
          <w:tcPr>
            <w:tcW w:type="dxa" w:w="25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8,5-9,5 USD/caja (2026)</w:t>
            </w:r>
          </w:p>
        </w:tc>
        <w:tc>
          <w:tcPr>
            <w:tcW w:type="dxa" w:w="23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Mercado mayorista</w:t>
            </w:r>
          </w:p>
        </w:tc>
      </w:tr>
      <w:tr>
        <w:tc>
          <w:tcPr>
            <w:tcW w:type="dxa" w:w="4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Coste añadido de la banda individual</w:t>
            </w:r>
          </w:p>
        </w:tc>
        <w:tc>
          <w:tcPr>
            <w:tcW w:type="dxa" w:w="2500"/>
            <w:tcMar>
              <w:top w:type="dxa" w:w="60"/>
              <w:left w:type="dxa" w:w="100"/>
              <w:bottom w:type="dxa" w:w="60"/>
              <w:right w:type="dxa" w:w="100"/>
            </w:tcMar>
          </w:tcPr>
          <w:p>
            <w:pPr>
              <w:spacing w:after="0" w:line="240"/>
              <w:jc w:val="left"/>
            </w:pPr>
            <w:r>
              <w:rPr>
                <w:rFonts w:ascii="Calibri" w:cs="Calibri" w:eastAsia="Calibri" w:hAnsi="Calibri"/>
                <w:sz w:val="19"/>
                <w:szCs w:val="19"/>
              </w:rPr>
              <w:t xml:space="preserve">≈ 0,50 USD/caja</w:t>
            </w:r>
          </w:p>
        </w:tc>
        <w:tc>
          <w:tcPr>
            <w:tcW w:type="dxa" w:w="2320"/>
            <w:tcMar>
              <w:top w:type="dxa" w:w="60"/>
              <w:left w:type="dxa" w:w="100"/>
              <w:bottom w:type="dxa" w:w="60"/>
              <w:right w:type="dxa" w:w="100"/>
            </w:tcMar>
          </w:tcPr>
          <w:p>
            <w:pPr>
              <w:spacing w:after="0" w:line="240"/>
              <w:jc w:val="left"/>
            </w:pPr>
            <w:r>
              <w:rPr>
                <w:rFonts w:ascii="Calibri" w:cs="Calibri" w:eastAsia="Calibri" w:hAnsi="Calibri"/>
                <w:sz w:val="19"/>
                <w:szCs w:val="19"/>
              </w:rPr>
              <w:t xml:space="preserve">Caso DGI-445</w:t>
            </w:r>
          </w:p>
        </w:tc>
      </w:tr>
      <w:tr>
        <w:tc>
          <w:tcPr>
            <w:tcW w:type="dxa" w:w="42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Paridad de coste unitario con la convencional</w:t>
            </w:r>
          </w:p>
        </w:tc>
        <w:tc>
          <w:tcPr>
            <w:tcW w:type="dxa" w:w="25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Confirmada</w:t>
            </w:r>
          </w:p>
        </w:tc>
        <w:tc>
          <w:tcPr>
            <w:tcW w:type="dxa" w:w="23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Caso DGI-445</w:t>
            </w:r>
          </w:p>
        </w:tc>
      </w:tr>
    </w:tbl>
    <w:p>
      <w:pPr>
        <w:pStyle w:val="Heading2"/>
        <w:spacing w:after="120" w:before="240" w:line="240"/>
      </w:pPr>
      <w:r>
        <w:rPr>
          <w:rFonts w:ascii="Calibri" w:cs="Calibri" w:eastAsia="Calibri" w:hAnsi="Calibri"/>
          <w:b/>
          <w:bCs/>
          <w:sz w:val="24"/>
          <w:szCs w:val="24"/>
        </w:rPr>
        <w:t xml:space="preserve">2.3 La cadena de cálculo</w:t>
      </w:r>
    </w:p>
    <w:p>
      <w:pPr>
        <w:pStyle w:val="Heading3"/>
        <w:spacing w:after="100" w:before="200" w:line="240"/>
      </w:pPr>
      <w:r>
        <w:rPr>
          <w:rFonts w:ascii="Calibri" w:cs="Calibri" w:eastAsia="Calibri" w:hAnsi="Calibri"/>
          <w:b/>
          <w:bCs/>
          <w:color w:val="1F4E3D"/>
          <w:sz w:val="22"/>
          <w:szCs w:val="22"/>
        </w:rPr>
        <w:t xml:space="preserve">Paso 1. Productividad exportadora del sector</w:t>
      </w:r>
    </w:p>
    <w:p>
      <w:pPr>
        <w:spacing w:after="120" w:before="0" w:line="240"/>
        <w:jc w:val="both"/>
      </w:pPr>
      <w:r>
        <w:rPr>
          <w:rFonts w:ascii="Calibri" w:cs="Calibri" w:eastAsia="Calibri" w:hAnsi="Calibri"/>
          <w:sz w:val="22"/>
          <w:szCs w:val="22"/>
        </w:rPr>
        <w:t xml:space="preserve">Es la ratio que hace todo el trabajo, y sale de dos datos públicos independientes:</w:t>
      </w:r>
    </w:p>
    <w:p>
      <w:pPr>
        <w:shd w:fill="F2F5F3" w:val="clear"/>
        <w:spacing w:after="120" w:before="80" w:line="240"/>
        <w:ind w:left="340"/>
        <w:jc w:val="left"/>
      </w:pPr>
      <w:r>
        <w:rPr>
          <w:rFonts w:ascii="Consolas" w:cs="Consolas" w:eastAsia="Consolas" w:hAnsi="Consolas"/>
          <w:sz w:val="19"/>
          <w:szCs w:val="19"/>
        </w:rPr>
        <w:t xml:space="preserve">175 M cajas  ÷  42.000 ha  =  4.167 cajas exportadas por hectárea y año</w:t>
      </w:r>
    </w:p>
    <w:p>
      <w:pPr>
        <w:spacing w:after="120" w:before="0" w:line="240"/>
        <w:jc w:val="both"/>
      </w:pPr>
      <w:r>
        <w:rPr>
          <w:rFonts w:ascii="Calibri" w:cs="Calibri" w:eastAsia="Calibri" w:hAnsi="Calibri"/>
          <w:b/>
          <w:bCs/>
          <w:sz w:val="22"/>
          <w:szCs w:val="22"/>
        </w:rPr>
        <w:t xml:space="preserve">Contraste de coherencia.</w:t>
      </w:r>
      <w:r>
        <w:rPr>
          <w:rFonts w:ascii="Calibri" w:cs="Calibri" w:eastAsia="Calibri" w:hAnsi="Calibri"/>
          <w:sz w:val="22"/>
          <w:szCs w:val="22"/>
        </w:rPr>
        <w:t xml:space="preserve"> Por la vía del peso: 175 millones de cajas de 12 kg son 2,10 millones de toneladas exportadas frente a 3,12 millones producidas, es decir una tasa de exportación del 67 %, y 50 toneladas exportadas por hectárea sobre un rendimiento bruto de unas 70. Las dos vías convergen: la ratio es sólida.</w:t>
      </w:r>
    </w:p>
    <w:p>
      <w:pPr>
        <w:pStyle w:val="Heading3"/>
        <w:spacing w:after="100" w:before="200" w:line="240"/>
      </w:pPr>
      <w:r>
        <w:rPr>
          <w:rFonts w:ascii="Calibri" w:cs="Calibri" w:eastAsia="Calibri" w:hAnsi="Calibri"/>
          <w:b/>
          <w:bCs/>
          <w:color w:val="1F4E3D"/>
          <w:sz w:val="22"/>
          <w:szCs w:val="22"/>
        </w:rPr>
        <w:t xml:space="preserve">Paso 2. Volumen anual de PCC Fresh</w:t>
      </w:r>
    </w:p>
    <w:p>
      <w:pPr>
        <w:shd w:fill="F2F5F3" w:val="clear"/>
        <w:spacing w:after="120" w:before="80" w:line="240"/>
        <w:ind w:left="340"/>
        <w:jc w:val="left"/>
      </w:pPr>
      <w:r>
        <w:rPr>
          <w:rFonts w:ascii="Consolas" w:cs="Consolas" w:eastAsia="Consolas" w:hAnsi="Consolas"/>
          <w:sz w:val="19"/>
          <w:szCs w:val="19"/>
        </w:rPr>
        <w:t xml:space="preserve">1.500 ha  ×  4.167 cajas/ha  =  6,25 M cajas al año</w:t>
      </w:r>
    </w:p>
    <w:p>
      <w:pPr>
        <w:spacing w:after="120" w:before="0" w:line="240"/>
        <w:jc w:val="both"/>
      </w:pPr>
      <w:r>
        <w:rPr>
          <w:rFonts w:ascii="Calibri" w:cs="Calibri" w:eastAsia="Calibri" w:hAnsi="Calibri"/>
          <w:b/>
          <w:bCs/>
          <w:sz w:val="22"/>
          <w:szCs w:val="22"/>
        </w:rPr>
        <w:t xml:space="preserve">Por qué el supuesto es defendible.</w:t>
      </w:r>
      <w:r>
        <w:rPr>
          <w:rFonts w:ascii="Calibri" w:cs="Calibri" w:eastAsia="Calibri" w:hAnsi="Calibri"/>
          <w:sz w:val="22"/>
          <w:szCs w:val="22"/>
        </w:rPr>
        <w:t xml:space="preserve"> El caso afirma que PCC logró igualar el coste unitario de la piña convencional y que el esquema libre de pesticidas mantiene fertilidad y tamaño del fruto equiparables. Ambas afirmaciones solo se sostienen si el rendimiento es equiparable al del sector; aplicar la media es, por tanto, coherente con el propio caso. Rango de trabajo: </w:t>
      </w:r>
      <w:r>
        <w:rPr>
          <w:rFonts w:ascii="Calibri" w:cs="Calibri" w:eastAsia="Calibri" w:hAnsi="Calibri"/>
          <w:b/>
          <w:bCs/>
          <w:sz w:val="22"/>
          <w:szCs w:val="22"/>
        </w:rPr>
        <w:t xml:space="preserve">5,6-6,9 millones de cajas</w:t>
      </w:r>
      <w:r>
        <w:rPr>
          <w:rFonts w:ascii="Calibri" w:cs="Calibri" w:eastAsia="Calibri" w:hAnsi="Calibri"/>
          <w:sz w:val="22"/>
          <w:szCs w:val="22"/>
        </w:rPr>
        <w:t xml:space="preserve">.</w:t>
      </w:r>
    </w:p>
    <w:p>
      <w:pPr>
        <w:pBdr>
          <w:left w:val="single" w:color="1F4E3D" w:sz="12" w:space="12"/>
        </w:pBdr>
        <w:spacing w:after="160" w:before="120" w:line="240"/>
        <w:ind w:left="340"/>
        <w:jc w:val="both"/>
      </w:pPr>
      <w:r>
        <w:rPr>
          <w:rFonts w:ascii="Calibri" w:cs="Calibri" w:eastAsia="Calibri" w:hAnsi="Calibri"/>
          <w:color w:val="595959"/>
          <w:sz w:val="22"/>
          <w:szCs w:val="22"/>
        </w:rPr>
        <w:t xml:space="preserve">Matiz de prudencia para el turno de preguntas: el ciclo de la piña es de catorce a dieciocho meses, de modo que la superficie cosechada en un año es menor que la plantada. La ratio del Paso 1 ya incorpora ese efecto, porque las 42.000 hectáreas nacionales son también superficie cultivada y no cosechada. El cálculo es consistente.</w:t>
      </w:r>
    </w:p>
    <w:p>
      <w:pPr>
        <w:pStyle w:val="Heading3"/>
        <w:spacing w:after="100" w:before="200" w:line="240"/>
      </w:pPr>
      <w:r>
        <w:rPr>
          <w:rFonts w:ascii="Calibri" w:cs="Calibri" w:eastAsia="Calibri" w:hAnsi="Calibri"/>
          <w:b/>
          <w:bCs/>
          <w:color w:val="1F4E3D"/>
          <w:sz w:val="22"/>
          <w:szCs w:val="22"/>
        </w:rPr>
        <w:t xml:space="preserve">Paso 3. Precio por caja</w:t>
      </w:r>
    </w:p>
    <w:p>
      <w:pPr>
        <w:spacing w:after="120" w:before="0" w:line="240"/>
        <w:jc w:val="both"/>
      </w:pPr>
      <w:r>
        <w:rPr>
          <w:rFonts w:ascii="Calibri" w:cs="Calibri" w:eastAsia="Calibri" w:hAnsi="Calibri"/>
          <w:sz w:val="22"/>
          <w:szCs w:val="22"/>
        </w:rPr>
        <w:t xml:space="preserve">Se cruzan dos referencias independientes, y conviene declarar la tensión entre ellas.</w:t>
      </w:r>
    </w:p>
    <w:p>
      <w:pPr>
        <w:spacing w:after="80" w:before="160" w:line="240"/>
        <w:jc w:val="both"/>
      </w:pPr>
      <w:r>
        <w:rPr>
          <w:rFonts w:ascii="Calibri" w:cs="Calibri" w:eastAsia="Calibri" w:hAnsi="Calibri"/>
          <w:color w:val="595959"/>
          <w:sz w:val="18"/>
          <w:szCs w:val="18"/>
        </w:rPr>
        <w:t xml:space="preserve">Tabla 3. Contraste de las dos vías de estimación del precio por caja.</w:t>
      </w:r>
    </w:p>
    <w:tbl>
      <w:tblPr>
        <w:tblW w:type="dxa" w:w="9020"/>
        <w:tblBorders>
          <w:top w:val="single" w:color="BFCFC7" w:sz="4"/>
          <w:left w:val="none"/>
          <w:bottom w:val="single" w:color="BFCFC7" w:sz="4"/>
          <w:right w:val="none"/>
          <w:insideH w:val="single" w:color="D9E2DD" w:sz="2"/>
          <w:insideV w:val="none"/>
        </w:tblBorders>
      </w:tblPr>
      <w:tblGrid>
        <w:gridCol w:w="3400"/>
        <w:gridCol w:w="3300"/>
        <w:gridCol w:w="2320"/>
      </w:tblGrid>
      <w:tr>
        <w:trPr>
          <w:tblHeader/>
        </w:trPr>
        <w:tc>
          <w:tcPr>
            <w:tcW w:type="dxa" w:w="3400"/>
            <w:shd w:fill="1F4E3D"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Vía</w:t>
            </w:r>
          </w:p>
        </w:tc>
        <w:tc>
          <w:tcPr>
            <w:tcW w:type="dxa" w:w="3300"/>
            <w:shd w:fill="1F4E3D"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Cálculo</w:t>
            </w:r>
          </w:p>
        </w:tc>
        <w:tc>
          <w:tcPr>
            <w:tcW w:type="dxa" w:w="2320"/>
            <w:shd w:fill="1F4E3D"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Resultado</w:t>
            </w:r>
          </w:p>
        </w:tc>
      </w:tr>
      <w:tr>
        <w:tc>
          <w:tcPr>
            <w:tcW w:type="dxa" w:w="3400"/>
            <w:tcMar>
              <w:top w:type="dxa" w:w="60"/>
              <w:left w:type="dxa" w:w="100"/>
              <w:bottom w:type="dxa" w:w="60"/>
              <w:right w:type="dxa" w:w="100"/>
            </w:tcMar>
          </w:tcPr>
          <w:p>
            <w:pPr>
              <w:spacing w:after="0" w:line="240"/>
              <w:jc w:val="left"/>
            </w:pPr>
            <w:r>
              <w:rPr>
                <w:rFonts w:ascii="Calibri" w:cs="Calibri" w:eastAsia="Calibri" w:hAnsi="Calibri"/>
                <w:sz w:val="19"/>
                <w:szCs w:val="19"/>
              </w:rPr>
              <w:t xml:space="preserve">Implícita, desde el valor exportado</w:t>
            </w:r>
          </w:p>
        </w:tc>
        <w:tc>
          <w:tcPr>
            <w:tcW w:type="dxa" w:w="3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1.315 M USD ÷ 175 M cajas</w:t>
            </w:r>
          </w:p>
        </w:tc>
        <w:tc>
          <w:tcPr>
            <w:tcW w:type="dxa" w:w="2320"/>
            <w:tcMar>
              <w:top w:type="dxa" w:w="60"/>
              <w:left w:type="dxa" w:w="100"/>
              <w:bottom w:type="dxa" w:w="60"/>
              <w:right w:type="dxa" w:w="100"/>
            </w:tcMar>
          </w:tcPr>
          <w:p>
            <w:pPr>
              <w:spacing w:after="0" w:line="240"/>
              <w:jc w:val="left"/>
            </w:pPr>
            <w:r>
              <w:rPr>
                <w:rFonts w:ascii="Calibri" w:cs="Calibri" w:eastAsia="Calibri" w:hAnsi="Calibri"/>
                <w:sz w:val="19"/>
                <w:szCs w:val="19"/>
              </w:rPr>
              <w:t xml:space="preserve">7,5 USD/caja</w:t>
            </w:r>
          </w:p>
        </w:tc>
      </w:tr>
      <w:tr>
        <w:tc>
          <w:tcPr>
            <w:tcW w:type="dxa" w:w="34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De mercado, referencia 2026</w:t>
            </w:r>
          </w:p>
        </w:tc>
        <w:tc>
          <w:tcPr>
            <w:tcW w:type="dxa" w:w="33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Cotización con corona</w:t>
            </w:r>
          </w:p>
        </w:tc>
        <w:tc>
          <w:tcPr>
            <w:tcW w:type="dxa" w:w="23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8,5-9,5 USD/caja</w:t>
            </w:r>
          </w:p>
        </w:tc>
      </w:tr>
    </w:tbl>
    <w:p>
      <w:pPr>
        <w:spacing w:after="120" w:before="0" w:line="240"/>
        <w:jc w:val="both"/>
      </w:pPr>
      <w:r>
        <w:rPr>
          <w:rFonts w:ascii="Calibri" w:cs="Calibri" w:eastAsia="Calibri" w:hAnsi="Calibri"/>
          <w:sz w:val="22"/>
          <w:szCs w:val="22"/>
        </w:rPr>
        <w:t xml:space="preserve">La primera es un promedio de todo lo exportado en 2025, calibres menores y operaciones a precio bajo incluidos; la segunda es una cotización puntual. Se adopta </w:t>
      </w:r>
      <w:r>
        <w:rPr>
          <w:rFonts w:ascii="Calibri" w:cs="Calibri" w:eastAsia="Calibri" w:hAnsi="Calibri"/>
          <w:b/>
          <w:bCs/>
          <w:sz w:val="22"/>
          <w:szCs w:val="22"/>
        </w:rPr>
        <w:t xml:space="preserve">8,0 USD por caja</w:t>
      </w:r>
      <w:r>
        <w:rPr>
          <w:rFonts w:ascii="Calibri" w:cs="Calibri" w:eastAsia="Calibri" w:hAnsi="Calibri"/>
          <w:sz w:val="22"/>
          <w:szCs w:val="22"/>
        </w:rPr>
        <w:t xml:space="preserve"> como escenario base, con un rango de trabajo de 7,5 a 9,0.</w:t>
      </w:r>
    </w:p>
    <w:p>
      <w:pPr>
        <w:pStyle w:val="Heading3"/>
        <w:spacing w:after="100" w:before="200" w:line="240"/>
      </w:pPr>
      <w:r>
        <w:rPr>
          <w:rFonts w:ascii="Calibri" w:cs="Calibri" w:eastAsia="Calibri" w:hAnsi="Calibri"/>
          <w:b/>
          <w:bCs/>
          <w:color w:val="1F4E3D"/>
          <w:sz w:val="22"/>
          <w:szCs w:val="22"/>
        </w:rPr>
        <w:t xml:space="preserve">Paso 4. Ingresos anuales de la división</w:t>
      </w:r>
    </w:p>
    <w:p>
      <w:pPr>
        <w:spacing w:after="80" w:before="160" w:line="240"/>
        <w:jc w:val="both"/>
      </w:pPr>
      <w:r>
        <w:rPr>
          <w:rFonts w:ascii="Calibri" w:cs="Calibri" w:eastAsia="Calibri" w:hAnsi="Calibri"/>
          <w:color w:val="595959"/>
          <w:sz w:val="18"/>
          <w:szCs w:val="18"/>
        </w:rPr>
        <w:t xml:space="preserve">Tabla 4. Ingresos anuales estimados de PCC Fresh en tres escenarios.</w:t>
      </w:r>
    </w:p>
    <w:tbl>
      <w:tblPr>
        <w:tblW w:type="dxa" w:w="9020"/>
        <w:tblBorders>
          <w:top w:val="single" w:color="BFCFC7" w:sz="4"/>
          <w:left w:val="none"/>
          <w:bottom w:val="single" w:color="BFCFC7" w:sz="4"/>
          <w:right w:val="none"/>
          <w:insideH w:val="single" w:color="D9E2DD" w:sz="2"/>
          <w:insideV w:val="none"/>
        </w:tblBorders>
      </w:tblPr>
      <w:tblGrid>
        <w:gridCol w:w="2600"/>
        <w:gridCol w:w="2140"/>
        <w:gridCol w:w="2140"/>
        <w:gridCol w:w="2140"/>
      </w:tblGrid>
      <w:tr>
        <w:trPr>
          <w:tblHeader/>
        </w:trPr>
        <w:tc>
          <w:tcPr>
            <w:tcW w:type="dxa" w:w="2600"/>
            <w:shd w:fill="1F4E3D"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Escenario</w:t>
            </w:r>
          </w:p>
        </w:tc>
        <w:tc>
          <w:tcPr>
            <w:tcW w:type="dxa" w:w="2140"/>
            <w:shd w:fill="1F4E3D" w:val="clear"/>
            <w:tcMar>
              <w:top w:type="dxa" w:w="60"/>
              <w:left w:type="dxa" w:w="100"/>
              <w:bottom w:type="dxa" w:w="60"/>
              <w:right w:type="dxa" w:w="100"/>
            </w:tcMar>
          </w:tcPr>
          <w:p>
            <w:pPr>
              <w:spacing w:after="0" w:line="240"/>
              <w:jc w:val="right"/>
            </w:pPr>
            <w:r>
              <w:rPr>
                <w:rFonts w:ascii="Calibri" w:cs="Calibri" w:eastAsia="Calibri" w:hAnsi="Calibri"/>
                <w:b/>
                <w:bCs/>
                <w:color w:val="FFFFFF"/>
                <w:sz w:val="19"/>
                <w:szCs w:val="19"/>
              </w:rPr>
              <w:t xml:space="preserve">Cajas</w:t>
            </w:r>
          </w:p>
        </w:tc>
        <w:tc>
          <w:tcPr>
            <w:tcW w:type="dxa" w:w="2140"/>
            <w:shd w:fill="1F4E3D" w:val="clear"/>
            <w:tcMar>
              <w:top w:type="dxa" w:w="60"/>
              <w:left w:type="dxa" w:w="100"/>
              <w:bottom w:type="dxa" w:w="60"/>
              <w:right w:type="dxa" w:w="100"/>
            </w:tcMar>
          </w:tcPr>
          <w:p>
            <w:pPr>
              <w:spacing w:after="0" w:line="240"/>
              <w:jc w:val="right"/>
            </w:pPr>
            <w:r>
              <w:rPr>
                <w:rFonts w:ascii="Calibri" w:cs="Calibri" w:eastAsia="Calibri" w:hAnsi="Calibri"/>
                <w:b/>
                <w:bCs/>
                <w:color w:val="FFFFFF"/>
                <w:sz w:val="19"/>
                <w:szCs w:val="19"/>
              </w:rPr>
              <w:t xml:space="preserve">Precio</w:t>
            </w:r>
          </w:p>
        </w:tc>
        <w:tc>
          <w:tcPr>
            <w:tcW w:type="dxa" w:w="2140"/>
            <w:shd w:fill="1F4E3D" w:val="clear"/>
            <w:tcMar>
              <w:top w:type="dxa" w:w="60"/>
              <w:left w:type="dxa" w:w="100"/>
              <w:bottom w:type="dxa" w:w="60"/>
              <w:right w:type="dxa" w:w="100"/>
            </w:tcMar>
          </w:tcPr>
          <w:p>
            <w:pPr>
              <w:spacing w:after="0" w:line="240"/>
              <w:jc w:val="right"/>
            </w:pPr>
            <w:r>
              <w:rPr>
                <w:rFonts w:ascii="Calibri" w:cs="Calibri" w:eastAsia="Calibri" w:hAnsi="Calibri"/>
                <w:b/>
                <w:bCs/>
                <w:color w:val="FFFFFF"/>
                <w:sz w:val="19"/>
                <w:szCs w:val="19"/>
              </w:rPr>
              <w:t xml:space="preserve">Ingresos</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sz w:val="19"/>
                <w:szCs w:val="19"/>
              </w:rPr>
              <w:t xml:space="preserve">Conservador</w:t>
            </w:r>
          </w:p>
        </w:tc>
        <w:tc>
          <w:tcPr>
            <w:tcW w:type="dxa" w:w="2140"/>
            <w:tcMar>
              <w:top w:type="dxa" w:w="60"/>
              <w:left w:type="dxa" w:w="100"/>
              <w:bottom w:type="dxa" w:w="60"/>
              <w:right w:type="dxa" w:w="100"/>
            </w:tcMar>
          </w:tcPr>
          <w:p>
            <w:pPr>
              <w:spacing w:after="0" w:line="240"/>
              <w:jc w:val="right"/>
            </w:pPr>
            <w:r>
              <w:rPr>
                <w:rFonts w:ascii="Calibri" w:cs="Calibri" w:eastAsia="Calibri" w:hAnsi="Calibri"/>
                <w:sz w:val="19"/>
                <w:szCs w:val="19"/>
              </w:rPr>
              <w:t xml:space="preserve">5,6 M</w:t>
            </w:r>
          </w:p>
        </w:tc>
        <w:tc>
          <w:tcPr>
            <w:tcW w:type="dxa" w:w="2140"/>
            <w:tcMar>
              <w:top w:type="dxa" w:w="60"/>
              <w:left w:type="dxa" w:w="100"/>
              <w:bottom w:type="dxa" w:w="60"/>
              <w:right w:type="dxa" w:w="100"/>
            </w:tcMar>
          </w:tcPr>
          <w:p>
            <w:pPr>
              <w:spacing w:after="0" w:line="240"/>
              <w:jc w:val="right"/>
            </w:pPr>
            <w:r>
              <w:rPr>
                <w:rFonts w:ascii="Calibri" w:cs="Calibri" w:eastAsia="Calibri" w:hAnsi="Calibri"/>
                <w:sz w:val="19"/>
                <w:szCs w:val="19"/>
              </w:rPr>
              <w:t xml:space="preserve">7,5 USD</w:t>
            </w:r>
          </w:p>
        </w:tc>
        <w:tc>
          <w:tcPr>
            <w:tcW w:type="dxa" w:w="2140"/>
            <w:tcMar>
              <w:top w:type="dxa" w:w="60"/>
              <w:left w:type="dxa" w:w="100"/>
              <w:bottom w:type="dxa" w:w="60"/>
              <w:right w:type="dxa" w:w="100"/>
            </w:tcMar>
          </w:tcPr>
          <w:p>
            <w:pPr>
              <w:spacing w:after="0" w:line="240"/>
              <w:jc w:val="right"/>
            </w:pPr>
            <w:r>
              <w:rPr>
                <w:rFonts w:ascii="Calibri" w:cs="Calibri" w:eastAsia="Calibri" w:hAnsi="Calibri"/>
                <w:sz w:val="19"/>
                <w:szCs w:val="19"/>
              </w:rPr>
              <w:t xml:space="preserve">42 M USD</w:t>
            </w:r>
          </w:p>
        </w:tc>
      </w:tr>
      <w:tr>
        <w:tc>
          <w:tcPr>
            <w:tcW w:type="dxa" w:w="2600"/>
            <w:shd w:fill="F2F5F3"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Base</w:t>
            </w:r>
          </w:p>
        </w:tc>
        <w:tc>
          <w:tcPr>
            <w:tcW w:type="dxa" w:w="2140"/>
            <w:shd w:fill="F2F5F3" w:val="clear"/>
            <w:tcMar>
              <w:top w:type="dxa" w:w="60"/>
              <w:left w:type="dxa" w:w="100"/>
              <w:bottom w:type="dxa" w:w="60"/>
              <w:right w:type="dxa" w:w="100"/>
            </w:tcMar>
          </w:tcPr>
          <w:p>
            <w:pPr>
              <w:spacing w:after="0" w:line="240"/>
              <w:jc w:val="right"/>
            </w:pPr>
            <w:r>
              <w:rPr>
                <w:rFonts w:ascii="Calibri" w:cs="Calibri" w:eastAsia="Calibri" w:hAnsi="Calibri"/>
                <w:b/>
                <w:bCs/>
                <w:sz w:val="19"/>
                <w:szCs w:val="19"/>
              </w:rPr>
              <w:t xml:space="preserve">6,25 M</w:t>
            </w:r>
          </w:p>
        </w:tc>
        <w:tc>
          <w:tcPr>
            <w:tcW w:type="dxa" w:w="2140"/>
            <w:shd w:fill="F2F5F3" w:val="clear"/>
            <w:tcMar>
              <w:top w:type="dxa" w:w="60"/>
              <w:left w:type="dxa" w:w="100"/>
              <w:bottom w:type="dxa" w:w="60"/>
              <w:right w:type="dxa" w:w="100"/>
            </w:tcMar>
          </w:tcPr>
          <w:p>
            <w:pPr>
              <w:spacing w:after="0" w:line="240"/>
              <w:jc w:val="right"/>
            </w:pPr>
            <w:r>
              <w:rPr>
                <w:rFonts w:ascii="Calibri" w:cs="Calibri" w:eastAsia="Calibri" w:hAnsi="Calibri"/>
                <w:b/>
                <w:bCs/>
                <w:sz w:val="19"/>
                <w:szCs w:val="19"/>
              </w:rPr>
              <w:t xml:space="preserve">8,0 USD</w:t>
            </w:r>
          </w:p>
        </w:tc>
        <w:tc>
          <w:tcPr>
            <w:tcW w:type="dxa" w:w="2140"/>
            <w:shd w:fill="F2F5F3" w:val="clear"/>
            <w:tcMar>
              <w:top w:type="dxa" w:w="60"/>
              <w:left w:type="dxa" w:w="100"/>
              <w:bottom w:type="dxa" w:w="60"/>
              <w:right w:type="dxa" w:w="100"/>
            </w:tcMar>
          </w:tcPr>
          <w:p>
            <w:pPr>
              <w:spacing w:after="0" w:line="240"/>
              <w:jc w:val="right"/>
            </w:pPr>
            <w:r>
              <w:rPr>
                <w:rFonts w:ascii="Calibri" w:cs="Calibri" w:eastAsia="Calibri" w:hAnsi="Calibri"/>
                <w:b/>
                <w:bCs/>
                <w:sz w:val="19"/>
                <w:szCs w:val="19"/>
              </w:rPr>
              <w:t xml:space="preserve">50 M USD</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sz w:val="19"/>
                <w:szCs w:val="19"/>
              </w:rPr>
              <w:t xml:space="preserve">Favorable</w:t>
            </w:r>
          </w:p>
        </w:tc>
        <w:tc>
          <w:tcPr>
            <w:tcW w:type="dxa" w:w="2140"/>
            <w:tcMar>
              <w:top w:type="dxa" w:w="60"/>
              <w:left w:type="dxa" w:w="100"/>
              <w:bottom w:type="dxa" w:w="60"/>
              <w:right w:type="dxa" w:w="100"/>
            </w:tcMar>
          </w:tcPr>
          <w:p>
            <w:pPr>
              <w:spacing w:after="0" w:line="240"/>
              <w:jc w:val="right"/>
            </w:pPr>
            <w:r>
              <w:rPr>
                <w:rFonts w:ascii="Calibri" w:cs="Calibri" w:eastAsia="Calibri" w:hAnsi="Calibri"/>
                <w:sz w:val="19"/>
                <w:szCs w:val="19"/>
              </w:rPr>
              <w:t xml:space="preserve">6,9 M</w:t>
            </w:r>
          </w:p>
        </w:tc>
        <w:tc>
          <w:tcPr>
            <w:tcW w:type="dxa" w:w="2140"/>
            <w:tcMar>
              <w:top w:type="dxa" w:w="60"/>
              <w:left w:type="dxa" w:w="100"/>
              <w:bottom w:type="dxa" w:w="60"/>
              <w:right w:type="dxa" w:w="100"/>
            </w:tcMar>
          </w:tcPr>
          <w:p>
            <w:pPr>
              <w:spacing w:after="0" w:line="240"/>
              <w:jc w:val="right"/>
            </w:pPr>
            <w:r>
              <w:rPr>
                <w:rFonts w:ascii="Calibri" w:cs="Calibri" w:eastAsia="Calibri" w:hAnsi="Calibri"/>
                <w:sz w:val="19"/>
                <w:szCs w:val="19"/>
              </w:rPr>
              <w:t xml:space="preserve">9,0 USD</w:t>
            </w:r>
          </w:p>
        </w:tc>
        <w:tc>
          <w:tcPr>
            <w:tcW w:type="dxa" w:w="2140"/>
            <w:tcMar>
              <w:top w:type="dxa" w:w="60"/>
              <w:left w:type="dxa" w:w="100"/>
              <w:bottom w:type="dxa" w:w="60"/>
              <w:right w:type="dxa" w:w="100"/>
            </w:tcMar>
          </w:tcPr>
          <w:p>
            <w:pPr>
              <w:spacing w:after="0" w:line="240"/>
              <w:jc w:val="right"/>
            </w:pPr>
            <w:r>
              <w:rPr>
                <w:rFonts w:ascii="Calibri" w:cs="Calibri" w:eastAsia="Calibri" w:hAnsi="Calibri"/>
                <w:sz w:val="19"/>
                <w:szCs w:val="19"/>
              </w:rPr>
              <w:t xml:space="preserve">62 M USD</w:t>
            </w:r>
          </w:p>
        </w:tc>
      </w:tr>
    </w:tbl>
    <w:p>
      <w:pPr>
        <w:pStyle w:val="Heading3"/>
        <w:spacing w:after="100" w:before="200" w:line="240"/>
      </w:pPr>
      <w:r>
        <w:rPr>
          <w:rFonts w:ascii="Calibri" w:cs="Calibri" w:eastAsia="Calibri" w:hAnsi="Calibri"/>
          <w:b/>
          <w:bCs/>
          <w:color w:val="1F4E3D"/>
          <w:sz w:val="22"/>
          <w:szCs w:val="22"/>
        </w:rPr>
        <w:t xml:space="preserve">Paso 5. Margen</w:t>
      </w:r>
    </w:p>
    <w:p>
      <w:pPr>
        <w:spacing w:after="120" w:before="0" w:line="240"/>
        <w:jc w:val="both"/>
      </w:pPr>
      <w:r>
        <w:rPr>
          <w:rFonts w:ascii="Calibri" w:cs="Calibri" w:eastAsia="Calibri" w:hAnsi="Calibri"/>
          <w:sz w:val="22"/>
          <w:szCs w:val="22"/>
        </w:rPr>
        <w:t xml:space="preserve">Aquí no hay dato ni aproximación pública fiable, de modo que se trabaja con un supuesto declarado. Para un productor-exportador integrado y eficiente, con la paridad de coste que el caso confirma, un margen operativo del 10 al 15 % es el rango habitual del cultivo. En el escenario base, unos </w:t>
      </w:r>
      <w:r>
        <w:rPr>
          <w:rFonts w:ascii="Calibri" w:cs="Calibri" w:eastAsia="Calibri" w:hAnsi="Calibri"/>
          <w:b/>
          <w:bCs/>
          <w:sz w:val="22"/>
          <w:szCs w:val="22"/>
        </w:rPr>
        <w:t xml:space="preserve">6 millones de dólares anuales</w:t>
      </w:r>
      <w:r>
        <w:rPr>
          <w:rFonts w:ascii="Calibri" w:cs="Calibri" w:eastAsia="Calibri" w:hAnsi="Calibri"/>
          <w:sz w:val="22"/>
          <w:szCs w:val="22"/>
        </w:rPr>
        <w:t xml:space="preserve">. Esta cifra no se presenta como resultado de la empresa, sino como orden de magnitud contra el que medir el coste de cada alternativa. Esa es su única función, y así debe decirse.</w:t>
      </w:r>
    </w:p>
    <w:p>
      <w:pPr>
        <w:pStyle w:val="Heading2"/>
        <w:spacing w:after="120" w:before="240" w:line="240"/>
      </w:pPr>
      <w:r>
        <w:rPr>
          <w:rFonts w:ascii="Calibri" w:cs="Calibri" w:eastAsia="Calibri" w:hAnsi="Calibri"/>
          <w:b/>
          <w:bCs/>
          <w:sz w:val="24"/>
          <w:szCs w:val="24"/>
        </w:rPr>
        <w:t xml:space="preserve">2.4 La consecuencia que cambia el informe</w:t>
      </w:r>
    </w:p>
    <w:p>
      <w:pPr>
        <w:spacing w:after="120" w:before="0" w:line="240"/>
        <w:jc w:val="both"/>
      </w:pPr>
      <w:r>
        <w:rPr>
          <w:rFonts w:ascii="Calibri" w:cs="Calibri" w:eastAsia="Calibri" w:hAnsi="Calibri"/>
          <w:sz w:val="22"/>
          <w:szCs w:val="22"/>
        </w:rPr>
        <w:t xml:space="preserve">El caso menciona los 0,50 dólares por caja de la máquina de bandas casi de pasada, como un detalle operativo menor. Aplicado al volumen real de la división deja de serlo:</w:t>
      </w:r>
    </w:p>
    <w:p>
      <w:pPr>
        <w:shd w:fill="F2F5F3" w:val="clear"/>
        <w:spacing w:after="120" w:before="80" w:line="240"/>
        <w:ind w:left="340"/>
        <w:jc w:val="left"/>
      </w:pPr>
      <w:r>
        <w:rPr>
          <w:rFonts w:ascii="Consolas" w:cs="Consolas" w:eastAsia="Consolas" w:hAnsi="Consolas"/>
          <w:sz w:val="19"/>
          <w:szCs w:val="19"/>
        </w:rPr>
        <w:t xml:space="preserve">6,25 M cajas  ×  0,50 USD  =  3,1 M USD al año</w:t>
      </w:r>
    </w:p>
    <w:p>
      <w:pPr>
        <w:spacing w:after="120" w:before="0" w:line="240"/>
        <w:jc w:val="both"/>
      </w:pPr>
      <w:r>
        <w:rPr>
          <w:rFonts w:ascii="Calibri" w:cs="Calibri" w:eastAsia="Calibri" w:hAnsi="Calibri"/>
          <w:b/>
          <w:bCs/>
          <w:sz w:val="22"/>
          <w:szCs w:val="22"/>
        </w:rPr>
        <w:t xml:space="preserve">Es el 6 % de los ingresos y aproximadamente la mitad del margen operativo estimado.</w:t>
      </w:r>
      <w:r>
        <w:rPr>
          <w:rFonts w:ascii="Calibri" w:cs="Calibri" w:eastAsia="Calibri" w:hAnsi="Calibri"/>
          <w:sz w:val="22"/>
          <w:szCs w:val="22"/>
        </w:rPr>
        <w:t xml:space="preserve"> Ese único cálculo reordena la discusión entera:</w:t>
      </w:r>
    </w:p>
    <w:p>
      <w:pPr>
        <w:pStyle w:val="ListParagraph"/>
        <w:numPr>
          <w:ilvl w:val="0"/>
          <w:numId w:val="1"/>
        </w:numPr>
        <w:spacing w:after="60" w:line="240"/>
        <w:ind w:left="360" w:hanging="180"/>
        <w:jc w:val="both"/>
      </w:pPr>
      <w:r>
        <w:rPr>
          <w:rFonts w:ascii="Calibri" w:cs="Calibri" w:eastAsia="Calibri" w:hAnsi="Calibri"/>
          <w:sz w:val="22"/>
          <w:szCs w:val="22"/>
        </w:rPr>
        <w:t xml:space="preserve">La Alternativa 1 del caso —co-branding a todos los clientes actuales y futuros, y al precio de la convencional— no es solo un riesgo relacional: es un coste que se come la mitad del beneficio mientras se renuncia a subir el precio. Sostenerlo sobre el cien por cien del volumen exige una capacidad financiera que nada en el caso permite dar por supuesta.</w:t>
      </w:r>
    </w:p>
    <w:p>
      <w:pPr>
        <w:pStyle w:val="ListParagraph"/>
        <w:numPr>
          <w:ilvl w:val="0"/>
          <w:numId w:val="1"/>
        </w:numPr>
        <w:spacing w:after="60" w:line="240"/>
        <w:ind w:left="360" w:hanging="180"/>
        <w:jc w:val="both"/>
      </w:pPr>
      <w:r>
        <w:rPr>
          <w:rFonts w:ascii="Calibri" w:cs="Calibri" w:eastAsia="Calibri" w:hAnsi="Calibri"/>
          <w:sz w:val="22"/>
          <w:szCs w:val="22"/>
        </w:rPr>
        <w:t xml:space="preserve">Y a la vez no invalida el co-branding. Lo que invalida es aplicarlo indiscriminadamente: un despliegue sobre el 20 o 25 % del volumen —el canal donde el sello se ve y se paga— cuesta del orden de 0,6 a 0,8 millones anuales, cifra perfectamente asumible.</w:t>
      </w:r>
    </w:p>
    <w:p>
      <w:pPr>
        <w:pStyle w:val="ListParagraph"/>
        <w:numPr>
          <w:ilvl w:val="0"/>
          <w:numId w:val="1"/>
        </w:numPr>
        <w:spacing w:after="60" w:line="240"/>
        <w:ind w:left="360" w:hanging="180"/>
        <w:jc w:val="both"/>
      </w:pPr>
      <w:r>
        <w:rPr>
          <w:rFonts w:ascii="Calibri" w:cs="Calibri" w:eastAsia="Calibri" w:hAnsi="Calibri"/>
          <w:sz w:val="22"/>
          <w:szCs w:val="22"/>
        </w:rPr>
        <w:t xml:space="preserve">De ahí sale, con números y no con intuición, la segmentación por canal del Anexo 2 y la propuesta propia frente a las tres del caso.</w:t>
      </w:r>
    </w:p>
    <w:p>
      <w:pPr>
        <w:pBdr>
          <w:left w:val="single" w:color="1F4E3D" w:sz="12" w:space="12"/>
        </w:pBdr>
        <w:spacing w:after="160" w:before="120" w:line="240"/>
        <w:ind w:left="340"/>
        <w:jc w:val="both"/>
      </w:pPr>
      <w:r>
        <w:rPr>
          <w:rFonts w:ascii="Calibri" w:cs="Calibri" w:eastAsia="Calibri" w:hAnsi="Calibri"/>
          <w:color w:val="595959"/>
          <w:sz w:val="22"/>
          <w:szCs w:val="22"/>
        </w:rPr>
        <w:t xml:space="preserve">Este es el punto en el que el informe deja de resumir el caso y empieza a aportar. Por eso su conclusión merece ir en el cuerpo del informe, y no en el anexo.</w:t>
      </w:r>
    </w:p>
    <w:p>
      <w:pPr>
        <w:pStyle w:val="Heading2"/>
        <w:spacing w:after="120" w:before="240" w:line="240"/>
      </w:pPr>
      <w:r>
        <w:rPr>
          <w:rFonts w:ascii="Calibri" w:cs="Calibri" w:eastAsia="Calibri" w:hAnsi="Calibri"/>
          <w:b/>
          <w:bCs/>
          <w:sz w:val="24"/>
          <w:szCs w:val="24"/>
        </w:rPr>
        <w:t xml:space="preserve">2.5 Verificación pendiente</w:t>
      </w:r>
    </w:p>
    <w:p>
      <w:pPr>
        <w:pStyle w:val="ListParagraph"/>
        <w:numPr>
          <w:ilvl w:val="0"/>
          <w:numId w:val="1"/>
        </w:numPr>
        <w:spacing w:after="60" w:line="240"/>
        <w:ind w:left="360" w:hanging="180"/>
        <w:jc w:val="both"/>
      </w:pPr>
      <w:r>
        <w:rPr>
          <w:rFonts w:ascii="Calibri" w:cs="Calibri" w:eastAsia="Calibri" w:hAnsi="Calibri"/>
          <w:sz w:val="22"/>
          <w:szCs w:val="22"/>
        </w:rPr>
        <w:t xml:space="preserve">Confirmar la superficie y el volumen de CANAPEP en su fuente primaria, no en prensa secundaria.</w:t>
      </w:r>
    </w:p>
    <w:p>
      <w:pPr>
        <w:pStyle w:val="ListParagraph"/>
        <w:numPr>
          <w:ilvl w:val="0"/>
          <w:numId w:val="1"/>
        </w:numPr>
        <w:spacing w:after="60" w:line="240"/>
        <w:ind w:left="360" w:hanging="180"/>
        <w:jc w:val="both"/>
      </w:pPr>
      <w:r>
        <w:rPr>
          <w:rFonts w:ascii="Calibri" w:cs="Calibri" w:eastAsia="Calibri" w:hAnsi="Calibri"/>
          <w:sz w:val="22"/>
          <w:szCs w:val="22"/>
        </w:rPr>
        <w:t xml:space="preserve">Localizar el dato de rendimiento de FAOSTAT para Costa Rica y citarlo directamente.</w:t>
      </w:r>
    </w:p>
    <w:p>
      <w:pPr>
        <w:pStyle w:val="ListParagraph"/>
        <w:numPr>
          <w:ilvl w:val="0"/>
          <w:numId w:val="1"/>
        </w:numPr>
        <w:spacing w:after="60" w:line="240"/>
        <w:ind w:left="360" w:hanging="180"/>
        <w:jc w:val="both"/>
      </w:pPr>
      <w:r>
        <w:rPr>
          <w:rFonts w:ascii="Calibri" w:cs="Calibri" w:eastAsia="Calibri" w:hAnsi="Calibri"/>
          <w:sz w:val="22"/>
          <w:szCs w:val="22"/>
        </w:rPr>
        <w:t xml:space="preserve">Buscar el precio de referencia del USDA para caja de piña MD2 puesta en Estados Unidos, que daría una tercera vía de contraste.</w:t>
      </w:r>
    </w:p>
    <w:p>
      <w:pPr>
        <w:pStyle w:val="ListParagraph"/>
        <w:numPr>
          <w:ilvl w:val="0"/>
          <w:numId w:val="1"/>
        </w:numPr>
        <w:spacing w:after="60" w:line="240"/>
        <w:ind w:left="360" w:hanging="180"/>
        <w:jc w:val="both"/>
      </w:pPr>
      <w:r>
        <w:rPr>
          <w:rFonts w:ascii="Calibri" w:cs="Calibri" w:eastAsia="Calibri" w:hAnsi="Calibri"/>
          <w:sz w:val="22"/>
          <w:szCs w:val="22"/>
        </w:rPr>
        <w:t xml:space="preserve">Trasladar el cálculo a una hoja de cálculo para llevarlo a la defensa, según pide el anexo de entrega.</w:t>
      </w:r>
    </w:p>
    <w:p>
      <w:pPr>
        <w:pStyle w:val="Heading2"/>
        <w:spacing w:after="120" w:before="240" w:line="240"/>
      </w:pPr>
      <w:r>
        <w:rPr>
          <w:rFonts w:ascii="Calibri" w:cs="Calibri" w:eastAsia="Calibri" w:hAnsi="Calibri"/>
          <w:b/>
          <w:bCs/>
          <w:sz w:val="24"/>
          <w:szCs w:val="24"/>
        </w:rPr>
        <w:t xml:space="preserve">2.6 Versión que irá al informe</w:t>
      </w:r>
    </w:p>
    <w:p>
      <w:pPr>
        <w:spacing w:after="80" w:before="160" w:line="240"/>
        <w:jc w:val="both"/>
      </w:pPr>
      <w:r>
        <w:rPr>
          <w:rFonts w:ascii="Calibri" w:cs="Calibri" w:eastAsia="Calibri" w:hAnsi="Calibri"/>
          <w:color w:val="595959"/>
          <w:sz w:val="18"/>
          <w:szCs w:val="18"/>
        </w:rPr>
        <w:t xml:space="preserve">Anexo 1. Dimensionado económico de la división de piña de PCC Fresh. Estimación del volumen exportable y de los ingresos anuales a partir de las 1.500 hectáreas en producción. El caso no aporta información económica de la empresa, por lo que la columna de origen distingue el dato público del supuesto propio. Cifras en escenario base; entre paréntesis, el rango de trabajo.</w:t>
      </w:r>
    </w:p>
    <w:tbl>
      <w:tblPr>
        <w:tblW w:type="dxa" w:w="9020"/>
        <w:tblBorders>
          <w:top w:val="single" w:color="BFCFC7" w:sz="4"/>
          <w:left w:val="none"/>
          <w:bottom w:val="single" w:color="BFCFC7" w:sz="4"/>
          <w:right w:val="none"/>
          <w:insideH w:val="single" w:color="D9E2DD" w:sz="2"/>
          <w:insideV w:val="none"/>
        </w:tblBorders>
      </w:tblPr>
      <w:tblGrid>
        <w:gridCol w:w="3900"/>
        <w:gridCol w:w="2800"/>
        <w:gridCol w:w="2320"/>
      </w:tblGrid>
      <w:tr>
        <w:trPr>
          <w:tblHeader/>
        </w:trPr>
        <w:tc>
          <w:tcPr>
            <w:tcW w:type="dxa" w:w="3900"/>
            <w:shd w:fill="1F4E3D"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Concepto</w:t>
            </w:r>
          </w:p>
        </w:tc>
        <w:tc>
          <w:tcPr>
            <w:tcW w:type="dxa" w:w="2800"/>
            <w:shd w:fill="1F4E3D"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Valor</w:t>
            </w:r>
          </w:p>
        </w:tc>
        <w:tc>
          <w:tcPr>
            <w:tcW w:type="dxa" w:w="2320"/>
            <w:shd w:fill="1F4E3D"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Origen</w:t>
            </w:r>
          </w:p>
        </w:tc>
      </w:tr>
      <w:tr>
        <w:tc>
          <w:tcPr>
            <w:tcW w:type="dxa" w:w="3900"/>
            <w:tcMar>
              <w:top w:type="dxa" w:w="60"/>
              <w:left w:type="dxa" w:w="100"/>
              <w:bottom w:type="dxa" w:w="60"/>
              <w:right w:type="dxa" w:w="100"/>
            </w:tcMar>
          </w:tcPr>
          <w:p>
            <w:pPr>
              <w:spacing w:after="0" w:line="240"/>
              <w:jc w:val="left"/>
            </w:pPr>
            <w:r>
              <w:rPr>
                <w:rFonts w:ascii="Calibri" w:cs="Calibri" w:eastAsia="Calibri" w:hAnsi="Calibri"/>
                <w:sz w:val="19"/>
                <w:szCs w:val="19"/>
              </w:rPr>
              <w:t xml:space="preserve">Superficie en producción</w:t>
            </w:r>
          </w:p>
        </w:tc>
        <w:tc>
          <w:tcPr>
            <w:tcW w:type="dxa" w:w="2800"/>
            <w:tcMar>
              <w:top w:type="dxa" w:w="60"/>
              <w:left w:type="dxa" w:w="100"/>
              <w:bottom w:type="dxa" w:w="60"/>
              <w:right w:type="dxa" w:w="100"/>
            </w:tcMar>
          </w:tcPr>
          <w:p>
            <w:pPr>
              <w:spacing w:after="0" w:line="240"/>
              <w:jc w:val="left"/>
            </w:pPr>
            <w:r>
              <w:rPr>
                <w:rFonts w:ascii="Calibri" w:cs="Calibri" w:eastAsia="Calibri" w:hAnsi="Calibri"/>
                <w:sz w:val="19"/>
                <w:szCs w:val="19"/>
              </w:rPr>
              <w:t xml:space="preserve">1.500 ha</w:t>
            </w:r>
          </w:p>
        </w:tc>
        <w:tc>
          <w:tcPr>
            <w:tcW w:type="dxa" w:w="2320"/>
            <w:tcMar>
              <w:top w:type="dxa" w:w="60"/>
              <w:left w:type="dxa" w:w="100"/>
              <w:bottom w:type="dxa" w:w="60"/>
              <w:right w:type="dxa" w:w="100"/>
            </w:tcMar>
          </w:tcPr>
          <w:p>
            <w:pPr>
              <w:spacing w:after="0" w:line="240"/>
              <w:jc w:val="left"/>
            </w:pPr>
            <w:r>
              <w:rPr>
                <w:rFonts w:ascii="Calibri" w:cs="Calibri" w:eastAsia="Calibri" w:hAnsi="Calibri"/>
                <w:sz w:val="19"/>
                <w:szCs w:val="19"/>
              </w:rPr>
              <w:t xml:space="preserve">Caso DGI-445</w:t>
            </w:r>
          </w:p>
        </w:tc>
      </w:tr>
      <w:tr>
        <w:tc>
          <w:tcPr>
            <w:tcW w:type="dxa" w:w="39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Superficie piñera de Costa Rica</w:t>
            </w:r>
          </w:p>
        </w:tc>
        <w:tc>
          <w:tcPr>
            <w:tcW w:type="dxa" w:w="28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42.000 ha</w:t>
            </w:r>
          </w:p>
        </w:tc>
        <w:tc>
          <w:tcPr>
            <w:tcW w:type="dxa" w:w="23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CANAPEP</w:t>
            </w:r>
          </w:p>
        </w:tc>
      </w:tr>
      <w:tr>
        <w:tc>
          <w:tcPr>
            <w:tcW w:type="dxa" w:w="3900"/>
            <w:tcMar>
              <w:top w:type="dxa" w:w="60"/>
              <w:left w:type="dxa" w:w="100"/>
              <w:bottom w:type="dxa" w:w="60"/>
              <w:right w:type="dxa" w:w="100"/>
            </w:tcMar>
          </w:tcPr>
          <w:p>
            <w:pPr>
              <w:spacing w:after="0" w:line="240"/>
              <w:jc w:val="left"/>
            </w:pPr>
            <w:r>
              <w:rPr>
                <w:rFonts w:ascii="Calibri" w:cs="Calibri" w:eastAsia="Calibri" w:hAnsi="Calibri"/>
                <w:sz w:val="19"/>
                <w:szCs w:val="19"/>
              </w:rPr>
              <w:t xml:space="preserve">Exportación nacional</w:t>
            </w:r>
          </w:p>
        </w:tc>
        <w:tc>
          <w:tcPr>
            <w:tcW w:type="dxa" w:w="2800"/>
            <w:tcMar>
              <w:top w:type="dxa" w:w="60"/>
              <w:left w:type="dxa" w:w="100"/>
              <w:bottom w:type="dxa" w:w="60"/>
              <w:right w:type="dxa" w:w="100"/>
            </w:tcMar>
          </w:tcPr>
          <w:p>
            <w:pPr>
              <w:spacing w:after="0" w:line="240"/>
              <w:jc w:val="left"/>
            </w:pPr>
            <w:r>
              <w:rPr>
                <w:rFonts w:ascii="Calibri" w:cs="Calibri" w:eastAsia="Calibri" w:hAnsi="Calibri"/>
                <w:sz w:val="19"/>
                <w:szCs w:val="19"/>
              </w:rPr>
              <w:t xml:space="preserve">175 M cajas de 12 kg</w:t>
            </w:r>
          </w:p>
        </w:tc>
        <w:tc>
          <w:tcPr>
            <w:tcW w:type="dxa" w:w="2320"/>
            <w:tcMar>
              <w:top w:type="dxa" w:w="60"/>
              <w:left w:type="dxa" w:w="100"/>
              <w:bottom w:type="dxa" w:w="60"/>
              <w:right w:type="dxa" w:w="100"/>
            </w:tcMar>
          </w:tcPr>
          <w:p>
            <w:pPr>
              <w:spacing w:after="0" w:line="240"/>
              <w:jc w:val="left"/>
            </w:pPr>
            <w:r>
              <w:rPr>
                <w:rFonts w:ascii="Calibri" w:cs="Calibri" w:eastAsia="Calibri" w:hAnsi="Calibri"/>
                <w:sz w:val="19"/>
                <w:szCs w:val="19"/>
              </w:rPr>
              <w:t xml:space="preserve">CANAPEP</w:t>
            </w:r>
          </w:p>
        </w:tc>
      </w:tr>
      <w:tr>
        <w:tc>
          <w:tcPr>
            <w:tcW w:type="dxa" w:w="3900"/>
            <w:shd w:fill="F2F5F3"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Productividad exportadora del sector</w:t>
            </w:r>
          </w:p>
        </w:tc>
        <w:tc>
          <w:tcPr>
            <w:tcW w:type="dxa" w:w="2800"/>
            <w:shd w:fill="F2F5F3"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4.167 cajas/ha</w:t>
            </w:r>
          </w:p>
        </w:tc>
        <w:tc>
          <w:tcPr>
            <w:tcW w:type="dxa" w:w="23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Cálculo propio</w:t>
            </w:r>
          </w:p>
        </w:tc>
      </w:tr>
      <w:tr>
        <w:tc>
          <w:tcPr>
            <w:tcW w:type="dxa" w:w="3900"/>
            <w:tcMar>
              <w:top w:type="dxa" w:w="60"/>
              <w:left w:type="dxa" w:w="100"/>
              <w:bottom w:type="dxa" w:w="60"/>
              <w:right w:type="dxa" w:w="100"/>
            </w:tcMar>
          </w:tcPr>
          <w:p>
            <w:pPr>
              <w:spacing w:after="0" w:line="240"/>
              <w:jc w:val="left"/>
            </w:pPr>
            <w:r>
              <w:rPr>
                <w:rFonts w:ascii="Calibri" w:cs="Calibri" w:eastAsia="Calibri" w:hAnsi="Calibri"/>
                <w:sz w:val="19"/>
                <w:szCs w:val="19"/>
              </w:rPr>
              <w:t xml:space="preserve">Productividad aplicada a PCC</w:t>
            </w:r>
          </w:p>
        </w:tc>
        <w:tc>
          <w:tcPr>
            <w:tcW w:type="dxa" w:w="2800"/>
            <w:tcMar>
              <w:top w:type="dxa" w:w="60"/>
              <w:left w:type="dxa" w:w="100"/>
              <w:bottom w:type="dxa" w:w="60"/>
              <w:right w:type="dxa" w:w="100"/>
            </w:tcMar>
          </w:tcPr>
          <w:p>
            <w:pPr>
              <w:spacing w:after="0" w:line="240"/>
              <w:jc w:val="left"/>
            </w:pPr>
            <w:r>
              <w:rPr>
                <w:rFonts w:ascii="Calibri" w:cs="Calibri" w:eastAsia="Calibri" w:hAnsi="Calibri"/>
                <w:sz w:val="19"/>
                <w:szCs w:val="19"/>
              </w:rPr>
              <w:t xml:space="preserve">Media del sector</w:t>
            </w:r>
          </w:p>
        </w:tc>
        <w:tc>
          <w:tcPr>
            <w:tcW w:type="dxa" w:w="2320"/>
            <w:tcMar>
              <w:top w:type="dxa" w:w="60"/>
              <w:left w:type="dxa" w:w="100"/>
              <w:bottom w:type="dxa" w:w="60"/>
              <w:right w:type="dxa" w:w="100"/>
            </w:tcMar>
          </w:tcPr>
          <w:p>
            <w:pPr>
              <w:spacing w:after="0" w:line="240"/>
              <w:jc w:val="left"/>
            </w:pPr>
            <w:r>
              <w:rPr>
                <w:rFonts w:ascii="Calibri" w:cs="Calibri" w:eastAsia="Calibri" w:hAnsi="Calibri"/>
                <w:sz w:val="19"/>
                <w:szCs w:val="19"/>
              </w:rPr>
              <w:t xml:space="preserve">Supuesto propio</w:t>
            </w:r>
          </w:p>
        </w:tc>
      </w:tr>
      <w:tr>
        <w:tc>
          <w:tcPr>
            <w:tcW w:type="dxa" w:w="3900"/>
            <w:shd w:fill="F2F5F3"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Volumen anual estimado</w:t>
            </w:r>
          </w:p>
        </w:tc>
        <w:tc>
          <w:tcPr>
            <w:tcW w:type="dxa" w:w="2800"/>
            <w:shd w:fill="F2F5F3"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6,25 M cajas</w:t>
            </w:r>
            <w:r>
              <w:rPr>
                <w:rFonts w:ascii="Calibri" w:cs="Calibri" w:eastAsia="Calibri" w:hAnsi="Calibri"/>
                <w:sz w:val="19"/>
                <w:szCs w:val="19"/>
              </w:rPr>
              <w:t xml:space="preserve"> (5,6-6,9)</w:t>
            </w:r>
          </w:p>
        </w:tc>
        <w:tc>
          <w:tcPr>
            <w:tcW w:type="dxa" w:w="23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Cálculo propio</w:t>
            </w:r>
          </w:p>
        </w:tc>
      </w:tr>
      <w:tr>
        <w:tc>
          <w:tcPr>
            <w:tcW w:type="dxa" w:w="3900"/>
            <w:tcMar>
              <w:top w:type="dxa" w:w="60"/>
              <w:left w:type="dxa" w:w="100"/>
              <w:bottom w:type="dxa" w:w="60"/>
              <w:right w:type="dxa" w:w="100"/>
            </w:tcMar>
          </w:tcPr>
          <w:p>
            <w:pPr>
              <w:spacing w:after="0" w:line="240"/>
              <w:jc w:val="left"/>
            </w:pPr>
            <w:r>
              <w:rPr>
                <w:rFonts w:ascii="Calibri" w:cs="Calibri" w:eastAsia="Calibri" w:hAnsi="Calibri"/>
                <w:sz w:val="19"/>
                <w:szCs w:val="19"/>
              </w:rPr>
              <w:t xml:space="preserve">Precio implícito 2025</w:t>
            </w:r>
          </w:p>
        </w:tc>
        <w:tc>
          <w:tcPr>
            <w:tcW w:type="dxa" w:w="2800"/>
            <w:tcMar>
              <w:top w:type="dxa" w:w="60"/>
              <w:left w:type="dxa" w:w="100"/>
              <w:bottom w:type="dxa" w:w="60"/>
              <w:right w:type="dxa" w:w="100"/>
            </w:tcMar>
          </w:tcPr>
          <w:p>
            <w:pPr>
              <w:spacing w:after="0" w:line="240"/>
              <w:jc w:val="left"/>
            </w:pPr>
            <w:r>
              <w:rPr>
                <w:rFonts w:ascii="Calibri" w:cs="Calibri" w:eastAsia="Calibri" w:hAnsi="Calibri"/>
                <w:sz w:val="19"/>
                <w:szCs w:val="19"/>
              </w:rPr>
              <w:t xml:space="preserve">7,5 USD/caja</w:t>
            </w:r>
          </w:p>
        </w:tc>
        <w:tc>
          <w:tcPr>
            <w:tcW w:type="dxa" w:w="2320"/>
            <w:tcMar>
              <w:top w:type="dxa" w:w="60"/>
              <w:left w:type="dxa" w:w="100"/>
              <w:bottom w:type="dxa" w:w="60"/>
              <w:right w:type="dxa" w:w="100"/>
            </w:tcMar>
          </w:tcPr>
          <w:p>
            <w:pPr>
              <w:spacing w:after="0" w:line="240"/>
              <w:jc w:val="left"/>
            </w:pPr>
            <w:r>
              <w:rPr>
                <w:rFonts w:ascii="Calibri" w:cs="Calibri" w:eastAsia="Calibri" w:hAnsi="Calibri"/>
                <w:sz w:val="19"/>
                <w:szCs w:val="19"/>
              </w:rPr>
              <w:t xml:space="preserve">PROCOMER</w:t>
            </w:r>
          </w:p>
        </w:tc>
      </w:tr>
      <w:tr>
        <w:tc>
          <w:tcPr>
            <w:tcW w:type="dxa" w:w="39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Precio de referencia 2026, con corona</w:t>
            </w:r>
          </w:p>
        </w:tc>
        <w:tc>
          <w:tcPr>
            <w:tcW w:type="dxa" w:w="280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8,5-9,5 USD/caja</w:t>
            </w:r>
          </w:p>
        </w:tc>
        <w:tc>
          <w:tcPr>
            <w:tcW w:type="dxa" w:w="23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Mercado</w:t>
            </w:r>
          </w:p>
        </w:tc>
      </w:tr>
      <w:tr>
        <w:tc>
          <w:tcPr>
            <w:tcW w:type="dxa" w:w="3900"/>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Precio adoptado</w:t>
            </w:r>
          </w:p>
        </w:tc>
        <w:tc>
          <w:tcPr>
            <w:tcW w:type="dxa" w:w="2800"/>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8,0 USD/caja</w:t>
            </w:r>
            <w:r>
              <w:rPr>
                <w:rFonts w:ascii="Calibri" w:cs="Calibri" w:eastAsia="Calibri" w:hAnsi="Calibri"/>
                <w:sz w:val="19"/>
                <w:szCs w:val="19"/>
              </w:rPr>
              <w:t xml:space="preserve"> (7,5-9,0)</w:t>
            </w:r>
          </w:p>
        </w:tc>
        <w:tc>
          <w:tcPr>
            <w:tcW w:type="dxa" w:w="2320"/>
            <w:tcMar>
              <w:top w:type="dxa" w:w="60"/>
              <w:left w:type="dxa" w:w="100"/>
              <w:bottom w:type="dxa" w:w="60"/>
              <w:right w:type="dxa" w:w="100"/>
            </w:tcMar>
          </w:tcPr>
          <w:p>
            <w:pPr>
              <w:spacing w:after="0" w:line="240"/>
              <w:jc w:val="left"/>
            </w:pPr>
            <w:r>
              <w:rPr>
                <w:rFonts w:ascii="Calibri" w:cs="Calibri" w:eastAsia="Calibri" w:hAnsi="Calibri"/>
                <w:sz w:val="19"/>
                <w:szCs w:val="19"/>
              </w:rPr>
              <w:t xml:space="preserve">Supuesto propio</w:t>
            </w:r>
          </w:p>
        </w:tc>
      </w:tr>
      <w:tr>
        <w:tc>
          <w:tcPr>
            <w:tcW w:type="dxa" w:w="3900"/>
            <w:shd w:fill="F2F5F3"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Ingresos anuales estimados</w:t>
            </w:r>
          </w:p>
        </w:tc>
        <w:tc>
          <w:tcPr>
            <w:tcW w:type="dxa" w:w="2800"/>
            <w:shd w:fill="F2F5F3"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50 M USD</w:t>
            </w:r>
            <w:r>
              <w:rPr>
                <w:rFonts w:ascii="Calibri" w:cs="Calibri" w:eastAsia="Calibri" w:hAnsi="Calibri"/>
                <w:sz w:val="19"/>
                <w:szCs w:val="19"/>
              </w:rPr>
              <w:t xml:space="preserve"> (42-62)</w:t>
            </w:r>
          </w:p>
        </w:tc>
        <w:tc>
          <w:tcPr>
            <w:tcW w:type="dxa" w:w="23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Cálculo propio</w:t>
            </w:r>
          </w:p>
        </w:tc>
      </w:tr>
      <w:tr>
        <w:tc>
          <w:tcPr>
            <w:tcW w:type="dxa" w:w="3900"/>
            <w:tcMar>
              <w:top w:type="dxa" w:w="60"/>
              <w:left w:type="dxa" w:w="100"/>
              <w:bottom w:type="dxa" w:w="60"/>
              <w:right w:type="dxa" w:w="100"/>
            </w:tcMar>
          </w:tcPr>
          <w:p>
            <w:pPr>
              <w:spacing w:after="0" w:line="240"/>
              <w:jc w:val="left"/>
            </w:pPr>
            <w:r>
              <w:rPr>
                <w:rFonts w:ascii="Calibri" w:cs="Calibri" w:eastAsia="Calibri" w:hAnsi="Calibri"/>
                <w:sz w:val="19"/>
                <w:szCs w:val="19"/>
              </w:rPr>
              <w:t xml:space="preserve">Margen operativo de referencia</w:t>
            </w:r>
          </w:p>
        </w:tc>
        <w:tc>
          <w:tcPr>
            <w:tcW w:type="dxa" w:w="2800"/>
            <w:tcMar>
              <w:top w:type="dxa" w:w="60"/>
              <w:left w:type="dxa" w:w="100"/>
              <w:bottom w:type="dxa" w:w="60"/>
              <w:right w:type="dxa" w:w="100"/>
            </w:tcMar>
          </w:tcPr>
          <w:p>
            <w:pPr>
              <w:spacing w:after="0" w:line="240"/>
              <w:jc w:val="left"/>
            </w:pPr>
            <w:r>
              <w:rPr>
                <w:rFonts w:ascii="Calibri" w:cs="Calibri" w:eastAsia="Calibri" w:hAnsi="Calibri"/>
                <w:sz w:val="19"/>
                <w:szCs w:val="19"/>
              </w:rPr>
              <w:t xml:space="preserve">12 % ≈ 6 M USD</w:t>
            </w:r>
          </w:p>
        </w:tc>
        <w:tc>
          <w:tcPr>
            <w:tcW w:type="dxa" w:w="2320"/>
            <w:tcMar>
              <w:top w:type="dxa" w:w="60"/>
              <w:left w:type="dxa" w:w="100"/>
              <w:bottom w:type="dxa" w:w="60"/>
              <w:right w:type="dxa" w:w="100"/>
            </w:tcMar>
          </w:tcPr>
          <w:p>
            <w:pPr>
              <w:spacing w:after="0" w:line="240"/>
              <w:jc w:val="left"/>
            </w:pPr>
            <w:r>
              <w:rPr>
                <w:rFonts w:ascii="Calibri" w:cs="Calibri" w:eastAsia="Calibri" w:hAnsi="Calibri"/>
                <w:sz w:val="19"/>
                <w:szCs w:val="19"/>
              </w:rPr>
              <w:t xml:space="preserve">Supuesto propio</w:t>
            </w:r>
          </w:p>
        </w:tc>
      </w:tr>
      <w:tr>
        <w:tc>
          <w:tcPr>
            <w:tcW w:type="dxa" w:w="3900"/>
            <w:shd w:fill="F2F5F3"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Coste del co-branding al 100 % del volumen</w:t>
            </w:r>
          </w:p>
        </w:tc>
        <w:tc>
          <w:tcPr>
            <w:tcW w:type="dxa" w:w="2800"/>
            <w:shd w:fill="F2F5F3"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3,1 M USD/año — 6 % de ingresos</w:t>
            </w:r>
          </w:p>
        </w:tc>
        <w:tc>
          <w:tcPr>
            <w:tcW w:type="dxa" w:w="2320"/>
            <w:shd w:fill="F2F5F3"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Cálculo propio</w:t>
            </w:r>
          </w:p>
        </w:tc>
      </w:tr>
    </w:tbl>
    <w:p>
      <w:pPr>
        <w:spacing w:after="0" w:before="0" w:line="240"/>
        <w:jc w:val="both"/>
      </w:pPr>
      <w:r>
        <w:rPr>
          <w:rFonts w:ascii="Calibri" w:cs="Calibri" w:eastAsia="Calibri" w:hAnsi="Calibri"/>
          <w:i/>
          <w:iCs/>
          <w:sz w:val="22"/>
          <w:szCs w:val="22"/>
        </w:rPr>
        <w:t xml:space="preserve">Fuentes: CANAPEP; FAOSTAT; PROCOMER, vía el caso; referencias de cotización del mercado mayorista, 2026.</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 LYDES — documento de avance — Caso DGI-445</dc:title>
  <dc:creator>Programa LYDES 2026</dc:creator>
  <dc:description>Plan de anexos y dimensionado económico de PCC Fresh</dc:description>
  <cp:lastModifiedBy>Un-named</cp:lastModifiedBy>
  <cp:revision>1</cp:revision>
  <dcterms:created xsi:type="dcterms:W3CDTF">2026-08-13T15:39:09.820Z</dcterms:created>
  <dcterms:modified xsi:type="dcterms:W3CDTF">2026-08-13T15:39:09.822Z</dcterms:modified>
</cp:coreProperties>
</file>

<file path=docProps/custom.xml><?xml version="1.0" encoding="utf-8"?>
<Properties xmlns="http://schemas.openxmlformats.org/officeDocument/2006/custom-properties" xmlns:vt="http://schemas.openxmlformats.org/officeDocument/2006/docPropsVTypes"/>
</file>