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00"/>
      </w:pPr>
    </w:p>
    <w:p>
      <w:pPr>
        <w:spacing w:after="0" w:line="300"/>
      </w:pPr>
    </w:p>
    <w:p>
      <w:pPr>
        <w:pBdr>
          <w:top w:val="dashed" w:color="BFBFBF" w:sz="4" w:space="18"/>
          <w:bottom w:val="dashed" w:color="BFBFBF" w:sz="4" w:space="18"/>
          <w:left w:val="dashed" w:color="BFBFBF" w:sz="4" w:space="18"/>
          <w:right w:val="dashed" w:color="BFBFBF" w:sz="4" w:space="18"/>
        </w:pBdr>
        <w:spacing w:after="200" w:before="200" w:line="240"/>
        <w:jc w:val="center"/>
      </w:pPr>
      <w:r>
        <w:rPr>
          <w:rFonts w:ascii="Calibri" w:cs="Calibri" w:eastAsia="Calibri" w:hAnsi="Calibri"/>
          <w:i/>
          <w:iCs/>
          <w:color w:val="A6A6A6"/>
          <w:sz w:val="18"/>
          <w:szCs w:val="18"/>
        </w:rPr>
        <w:t xml:space="preserve">Insertar aquí el logotipo de LYDES</w:t>
      </w:r>
    </w:p>
    <w:p>
      <w:pPr>
        <w:spacing w:after="0" w:line="300"/>
      </w:pPr>
    </w:p>
    <w:p>
      <w:pPr>
        <w:spacing w:after="0" w:line="300"/>
      </w:pPr>
    </w:p>
    <w:p>
      <w:pPr>
        <w:spacing w:after="0" w:line="300"/>
      </w:pPr>
    </w:p>
    <w:p>
      <w:pPr>
        <w:spacing w:after="0" w:line="300"/>
      </w:pPr>
    </w:p>
    <w:p>
      <w:pPr>
        <w:spacing w:after="260" w:line="240"/>
        <w:jc w:val="center"/>
      </w:pPr>
      <w:r>
        <w:rPr>
          <w:rFonts w:ascii="Calibri" w:cs="Calibri" w:eastAsia="Calibri" w:hAnsi="Calibri"/>
          <w:b/>
          <w:bCs/>
          <w:color w:val="767171"/>
          <w:sz w:val="17"/>
          <w:szCs w:val="17"/>
        </w:rPr>
        <w:t xml:space="preserve">CASO DGI-445  ·  EL VALOR DE LA SOSTENIBILIDAD. PIÑAS CULTIVADAS DE COSTA RICA</w:t>
      </w:r>
    </w:p>
    <w:p>
      <w:pPr>
        <w:spacing w:after="120" w:line="300"/>
        <w:jc w:val="center"/>
      </w:pPr>
      <w:r>
        <w:rPr>
          <w:rFonts w:ascii="Calibri" w:cs="Calibri" w:eastAsia="Calibri" w:hAnsi="Calibri"/>
          <w:b/>
          <w:bCs/>
          <w:color w:val="000000"/>
          <w:sz w:val="56"/>
          <w:szCs w:val="56"/>
        </w:rPr>
        <w:t xml:space="preserve">Más natural, mismo precio</w:t>
      </w:r>
    </w:p>
    <w:p>
      <w:pPr>
        <w:pBdr>
          <w:bottom w:val="single" w:color="000000" w:sz="8" w:space="6"/>
        </w:pBdr>
        <w:spacing w:after="200"/>
        <w:jc w:val="center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p>
      <w:pPr>
        <w:spacing w:after="0" w:line="280"/>
        <w:jc w:val="center"/>
      </w:pPr>
      <w:r>
        <w:rPr>
          <w:rFonts w:ascii="Calibri" w:cs="Calibri" w:eastAsia="Calibri" w:hAnsi="Calibri"/>
          <w:color w:val="000000"/>
          <w:sz w:val="26"/>
          <w:szCs w:val="26"/>
        </w:rPr>
        <w:t xml:space="preserve">Estrategia de marca para la piña libre de pesticidas de PCC Fresh</w:t>
      </w:r>
    </w:p>
    <w:p>
      <w:pPr>
        <w:spacing w:after="0" w:line="300"/>
      </w:pPr>
    </w:p>
    <w:p>
      <w:pPr>
        <w:spacing w:after="0" w:line="300"/>
      </w:pPr>
    </w:p>
    <w:p>
      <w:pPr>
        <w:spacing w:after="0" w:line="300"/>
      </w:pPr>
    </w:p>
    <w:p>
      <w:pPr>
        <w:spacing w:after="0" w:line="300"/>
      </w:pPr>
    </w:p>
    <w:p>
      <w:pPr>
        <w:spacing w:after="0" w:line="300"/>
      </w:pPr>
    </w:p>
    <w:p>
      <w:pPr>
        <w:spacing w:after="0" w:line="300"/>
      </w:pPr>
    </w:p>
    <w:p>
      <w:pPr>
        <w:spacing w:after="0" w:line="300"/>
      </w:pPr>
    </w:p>
    <w:p>
      <w:pPr>
        <w:spacing w:after="0" w:line="300"/>
      </w:pPr>
    </w:p>
    <w:p>
      <w:pPr>
        <w:spacing w:after="0" w:line="300"/>
      </w:pPr>
    </w:p>
    <w:p>
      <w:pPr>
        <w:spacing w:after="40" w:line="260"/>
        <w:jc w:val="right"/>
      </w:pPr>
      <w:r>
        <w:rPr>
          <w:rFonts w:ascii="Calibri" w:cs="Calibri" w:eastAsia="Calibri" w:hAnsi="Calibri"/>
          <w:color w:val="767171"/>
          <w:sz w:val="22"/>
          <w:szCs w:val="22"/>
        </w:rPr>
        <w:t xml:space="preserve">Trabajo realizado por:</w:t>
      </w:r>
    </w:p>
    <w:p>
      <w:pPr>
        <w:spacing w:after="160" w:line="260"/>
        <w:jc w:val="right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Daniel Verdugo Calvo</w:t>
      </w:r>
    </w:p>
    <w:p>
      <w:pPr>
        <w:spacing w:after="20" w:line="260"/>
        <w:jc w:val="right"/>
      </w:pPr>
      <w:r>
        <w:rPr>
          <w:rFonts w:ascii="Calibri" w:cs="Calibri" w:eastAsia="Calibri" w:hAnsi="Calibri"/>
          <w:color w:val="767171"/>
          <w:sz w:val="20"/>
          <w:szCs w:val="20"/>
        </w:rPr>
        <w:t xml:space="preserve">Programa LYDES 2026  ·  Fundación San Telmo</w:t>
      </w:r>
    </w:p>
    <w:p>
      <w:pPr>
        <w:spacing w:after="0" w:line="260"/>
        <w:jc w:val="right"/>
      </w:pPr>
      <w:r>
        <w:rPr>
          <w:rFonts w:ascii="Calibri" w:cs="Calibri" w:eastAsia="Calibri" w:hAnsi="Calibri"/>
          <w:color w:val="767171"/>
          <w:sz w:val="20"/>
          <w:szCs w:val="20"/>
        </w:rPr>
        <w:t xml:space="preserve">Sevilla, [fecha de entrega]</w:t>
      </w:r>
    </w:p>
    <w:p>
      <w:r>
        <w:br w:type="page"/>
      </w:r>
    </w:p>
    <w:p>
      <w:pPr>
        <w:pBdr>
          <w:bottom w:val="single" w:color="000000" w:sz="8" w:space="6"/>
        </w:pBdr>
        <w:spacing w:after="60" w:line="26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ÍNDICE</w:t>
      </w:r>
    </w:p>
    <w:p>
      <w:pPr>
        <w:spacing w:after="0" w:line="300"/>
      </w:pPr>
    </w:p>
    <w:p>
      <w:pPr>
        <w:spacing w:after="90" w:line="2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1.  Introducción</w:t>
      </w:r>
      <w:r>
        <w:rPr>
          <w:rFonts w:ascii="Calibri" w:cs="Calibri" w:eastAsia="Calibri" w:hAnsi="Calibri"/>
          <w:sz w:val="22"/>
          <w:szCs w:val="22"/>
        </w:rPr>
        <w:ptab w:alignment="right" w:relativeTo="margin" w:leader="dot"/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3</w:t>
      </w:r>
    </w:p>
    <w:p>
      <w:pPr>
        <w:spacing w:after="90" w:line="2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2.  Resumen ejecutivo</w:t>
      </w:r>
      <w:r>
        <w:rPr>
          <w:rFonts w:ascii="Calibri" w:cs="Calibri" w:eastAsia="Calibri" w:hAnsi="Calibri"/>
          <w:sz w:val="22"/>
          <w:szCs w:val="22"/>
        </w:rPr>
        <w:ptab w:alignment="right" w:relativeTo="margin" w:leader="dot"/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3</w:t>
      </w:r>
    </w:p>
    <w:p>
      <w:pPr>
        <w:spacing w:after="90" w:line="2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3.  Identificación del problema planteado</w:t>
      </w:r>
      <w:r>
        <w:rPr>
          <w:rFonts w:ascii="Calibri" w:cs="Calibri" w:eastAsia="Calibri" w:hAnsi="Calibri"/>
          <w:sz w:val="22"/>
          <w:szCs w:val="22"/>
        </w:rPr>
        <w:ptab w:alignment="right" w:relativeTo="margin" w:leader="dot"/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4</w:t>
      </w:r>
    </w:p>
    <w:p>
      <w:pPr>
        <w:spacing w:after="90" w:line="2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4.  Presentación y análisis de opciones</w:t>
      </w:r>
      <w:r>
        <w:rPr>
          <w:rFonts w:ascii="Calibri" w:cs="Calibri" w:eastAsia="Calibri" w:hAnsi="Calibri"/>
          <w:sz w:val="22"/>
          <w:szCs w:val="22"/>
        </w:rPr>
        <w:ptab w:alignment="right" w:relativeTo="margin" w:leader="dot"/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4</w:t>
      </w:r>
    </w:p>
    <w:p>
      <w:pPr>
        <w:spacing w:after="90" w:line="2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5.  Fijación de criterios</w:t>
      </w:r>
      <w:r>
        <w:rPr>
          <w:rFonts w:ascii="Calibri" w:cs="Calibri" w:eastAsia="Calibri" w:hAnsi="Calibri"/>
          <w:sz w:val="22"/>
          <w:szCs w:val="22"/>
        </w:rPr>
        <w:ptab w:alignment="right" w:relativeTo="margin" w:leader="dot"/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5</w:t>
      </w:r>
    </w:p>
    <w:p>
      <w:pPr>
        <w:spacing w:after="90" w:line="2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6.  Elección justificada de una opción</w:t>
      </w:r>
      <w:r>
        <w:rPr>
          <w:rFonts w:ascii="Calibri" w:cs="Calibri" w:eastAsia="Calibri" w:hAnsi="Calibri"/>
          <w:sz w:val="22"/>
          <w:szCs w:val="22"/>
        </w:rPr>
        <w:ptab w:alignment="right" w:relativeTo="margin" w:leader="dot"/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6</w:t>
      </w:r>
    </w:p>
    <w:p>
      <w:pPr>
        <w:spacing w:after="90" w:line="2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    a.  Elección justificada</w:t>
      </w:r>
      <w:r>
        <w:rPr>
          <w:rFonts w:ascii="Calibri" w:cs="Calibri" w:eastAsia="Calibri" w:hAnsi="Calibri"/>
          <w:sz w:val="22"/>
          <w:szCs w:val="22"/>
        </w:rPr>
        <w:ptab w:alignment="right" w:relativeTo="margin" w:leader="dot"/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6</w:t>
      </w:r>
    </w:p>
    <w:p>
      <w:pPr>
        <w:spacing w:after="90" w:line="2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    b.  Rechazo justificado de las otras</w:t>
      </w:r>
      <w:r>
        <w:rPr>
          <w:rFonts w:ascii="Calibri" w:cs="Calibri" w:eastAsia="Calibri" w:hAnsi="Calibri"/>
          <w:sz w:val="22"/>
          <w:szCs w:val="22"/>
        </w:rPr>
        <w:ptab w:alignment="right" w:relativeTo="margin" w:leader="dot"/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6</w:t>
      </w:r>
    </w:p>
    <w:p>
      <w:pPr>
        <w:spacing w:after="90" w:line="2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7.  Conclusión: decisión y plan de acción</w:t>
      </w:r>
      <w:r>
        <w:rPr>
          <w:rFonts w:ascii="Calibri" w:cs="Calibri" w:eastAsia="Calibri" w:hAnsi="Calibri"/>
          <w:sz w:val="22"/>
          <w:szCs w:val="22"/>
        </w:rPr>
        <w:ptab w:alignment="right" w:relativeTo="margin" w:leader="dot"/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7</w:t>
      </w:r>
    </w:p>
    <w:p>
      <w:pPr>
        <w:spacing w:after="90" w:line="2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8.  Anexos</w:t>
      </w:r>
      <w:r>
        <w:rPr>
          <w:rFonts w:ascii="Calibri" w:cs="Calibri" w:eastAsia="Calibri" w:hAnsi="Calibri"/>
          <w:sz w:val="22"/>
          <w:szCs w:val="22"/>
        </w:rPr>
        <w:ptab w:alignment="right" w:relativeTo="margin" w:leader="dot"/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9</w:t>
      </w:r>
    </w:p>
    <w:p>
      <w:pPr>
        <w:spacing w:after="90" w:line="2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    Anexo 1.  Análisis DAFO de PCC Fresh</w:t>
      </w:r>
      <w:r>
        <w:rPr>
          <w:rFonts w:ascii="Calibri" w:cs="Calibri" w:eastAsia="Calibri" w:hAnsi="Calibri"/>
          <w:sz w:val="22"/>
          <w:szCs w:val="22"/>
        </w:rPr>
        <w:ptab w:alignment="right" w:relativeTo="margin" w:leader="dot"/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9</w:t>
      </w:r>
    </w:p>
    <w:p>
      <w:pPr>
        <w:spacing w:after="90" w:line="2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    Anexo 2.  Matriz de evaluación de alternativas</w:t>
      </w:r>
      <w:r>
        <w:rPr>
          <w:rFonts w:ascii="Calibri" w:cs="Calibri" w:eastAsia="Calibri" w:hAnsi="Calibri"/>
          <w:sz w:val="22"/>
          <w:szCs w:val="22"/>
        </w:rPr>
        <w:ptab w:alignment="right" w:relativeTo="margin" w:leader="dot"/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9</w:t>
      </w:r>
    </w:p>
    <w:p>
      <w:pPr>
        <w:spacing w:after="90" w:line="2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    Anexo 3.  Cronograma del plan de acción</w:t>
      </w:r>
      <w:r>
        <w:rPr>
          <w:rFonts w:ascii="Calibri" w:cs="Calibri" w:eastAsia="Calibri" w:hAnsi="Calibri"/>
          <w:sz w:val="22"/>
          <w:szCs w:val="22"/>
        </w:rPr>
        <w:ptab w:alignment="right" w:relativeTo="margin" w:leader="dot"/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10</w:t>
      </w:r>
    </w:p>
    <w:p>
      <w:pPr>
        <w:spacing w:after="90" w:line="2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    Anexo 4.  Concepto de comunicación en el punto de venta</w:t>
      </w:r>
      <w:r>
        <w:rPr>
          <w:rFonts w:ascii="Calibri" w:cs="Calibri" w:eastAsia="Calibri" w:hAnsi="Calibri"/>
          <w:sz w:val="22"/>
          <w:szCs w:val="22"/>
        </w:rPr>
        <w:ptab w:alignment="right" w:relativeTo="margin" w:leader="dot"/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10</w:t>
      </w:r>
    </w:p>
    <w:p>
      <w:pPr>
        <w:spacing w:after="0" w:line="300"/>
      </w:pPr>
    </w:p>
    <w:p>
      <w:pPr>
        <w:spacing w:after="0" w:line="300"/>
      </w:pPr>
    </w:p>
    <w:p>
      <w:pPr>
        <w:spacing w:line="260"/>
      </w:pPr>
      <w:r>
        <w:rPr>
          <w:rFonts w:ascii="Calibri" w:cs="Calibri" w:eastAsia="Calibri" w:hAnsi="Calibri"/>
          <w:i/>
          <w:iCs/>
          <w:color w:val="767171"/>
          <w:sz w:val="17"/>
          <w:szCs w:val="17"/>
        </w:rPr>
        <w:t xml:space="preserve">Nota: los números de página son orientativos; deben actualizarse una vez montado el documento definitivo.</w:t>
      </w:r>
    </w:p>
    <w:sectPr>
      <w:footerReference w:type="default" r:id="rId7"/>
      <w:footerReference w:type="first" r:id="rId8"/>
      <w:pgSz w:w="11906" w:h="16838" w:orient="portrait"/>
      <w:pgMar w:top="1418" w:right="1418" w:bottom="1418" w:left="1418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67171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Más natural, mismo precio — Caso DGI-445</dc:title>
  <dc:creator>Daniel Verdugo Calvo</dc:creator>
  <cp:lastModifiedBy>Un-named</cp:lastModifiedBy>
  <cp:revision>1</cp:revision>
  <dcterms:created xsi:type="dcterms:W3CDTF">2026-08-17T15:02:08.035Z</dcterms:created>
  <dcterms:modified xsi:type="dcterms:W3CDTF">2026-08-17T15:02:08.055Z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