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3D" w:sz="8" w:space="6"/>
        </w:pBdr>
        <w:spacing w:after="40" w:line="240"/>
      </w:pPr>
      <w:r>
        <w:rPr>
          <w:rFonts w:ascii="Calibri" w:cs="Calibri" w:eastAsia="Calibri" w:hAnsi="Calibri"/>
          <w:b/>
          <w:bCs/>
          <w:color w:val="1F4E3D"/>
          <w:sz w:val="24"/>
          <w:szCs w:val="24"/>
        </w:rPr>
        <w:t xml:space="preserve">ANEXO 1. Dimensionado económico de la división de piña de PCC Fresh</w:t>
      </w:r>
    </w:p>
    <w:p>
      <w:pPr>
        <w:spacing w:after="100" w:before="120" w:line="240"/>
        <w:jc w:val="both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Tabla A1.1. Volumen, ingresos y margen anuales estimados de PCC Fresh, y coste del esquema de co-branding según su alcance. </w:t>
      </w:r>
      <w:r>
        <w:rPr>
          <w:rFonts w:ascii="Calibri" w:cs="Calibri" w:eastAsia="Calibri" w:hAnsi="Calibri"/>
          <w:b w:val="false"/>
          <w:bCs w:val="false"/>
          <w:color w:val="595959"/>
          <w:sz w:val="18"/>
          <w:szCs w:val="18"/>
        </w:rPr>
        <w:t xml:space="preserve">El caso no aporta información económica de la empresa, por lo que la estimación parte de las 1.500 hectáreas en producción y de la productividad exportadora del sector costarricense (175 millones de cajas de 12 kg sobre 42.000 hectáreas). La columna de origen distingue el dato público del supuesto propio. Escenario base; entre paréntesis, el rango de trabajo.</w:t>
      </w:r>
    </w:p>
    <w:tbl>
      <w:tblPr>
        <w:tblW w:type="dxa" w:w="9020"/>
        <w:tblBorders>
          <w:top w:val="none"/>
          <w:left w:val="none"/>
          <w:bottom w:val="none"/>
          <w:right w:val="none"/>
          <w:insideH w:val="single" w:color="D9E2DD" w:sz="2"/>
          <w:insideV w:val="none"/>
        </w:tblBorders>
      </w:tblPr>
      <w:tblGrid>
        <w:gridCol w:w="4240"/>
        <w:gridCol w:w="2700"/>
        <w:gridCol w:w="2080"/>
      </w:tblGrid>
      <w:tr>
        <w:trPr>
          <w:tblHeader/>
        </w:trPr>
        <w:tc>
          <w:tcPr>
            <w:tcW w:type="dxa" w:w="4240"/>
            <w:shd w:fill="1F4E3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700"/>
            <w:shd w:fill="1F4E3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080"/>
            <w:shd w:fill="1F4E3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c>
          <w:tcPr>
            <w:tcW w:type="dxa" w:w="424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Superficie en producción</w:t>
            </w:r>
          </w:p>
        </w:tc>
        <w:tc>
          <w:tcPr>
            <w:tcW w:type="dxa" w:w="270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1.500 ha</w:t>
            </w:r>
          </w:p>
        </w:tc>
        <w:tc>
          <w:tcPr>
            <w:tcW w:type="dxa" w:w="208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Caso DGI-445</w:t>
            </w:r>
          </w:p>
        </w:tc>
      </w:tr>
      <w:tr>
        <w:tc>
          <w:tcPr>
            <w:tcW w:type="dxa" w:w="424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Productividad exportadora del sector</w:t>
            </w:r>
          </w:p>
        </w:tc>
        <w:tc>
          <w:tcPr>
            <w:tcW w:type="dxa" w:w="2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4.167 cajas/ha</w:t>
            </w:r>
          </w:p>
        </w:tc>
        <w:tc>
          <w:tcPr>
            <w:tcW w:type="dxa" w:w="20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CANAPEP</w:t>
            </w:r>
          </w:p>
        </w:tc>
      </w:tr>
      <w:tr>
        <w:tc>
          <w:tcPr>
            <w:tcW w:type="dxa" w:w="424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Volumen anual estimado</w:t>
            </w:r>
          </w:p>
        </w:tc>
        <w:tc>
          <w:tcPr>
            <w:tcW w:type="dxa" w:w="270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6,25 M cajas (5,6–6,9)</w:t>
            </w:r>
          </w:p>
        </w:tc>
        <w:tc>
          <w:tcPr>
            <w:tcW w:type="dxa" w:w="208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Cálculo propio</w:t>
            </w:r>
          </w:p>
        </w:tc>
      </w:tr>
      <w:tr>
        <w:tc>
          <w:tcPr>
            <w:tcW w:type="dxa" w:w="424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Precio por caja</w:t>
            </w:r>
          </w:p>
        </w:tc>
        <w:tc>
          <w:tcPr>
            <w:tcW w:type="dxa" w:w="2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8,0 USD (7,5–9,0)</w:t>
            </w:r>
          </w:p>
        </w:tc>
        <w:tc>
          <w:tcPr>
            <w:tcW w:type="dxa" w:w="20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PROCOMER / mercado</w:t>
            </w:r>
          </w:p>
        </w:tc>
      </w:tr>
      <w:tr>
        <w:tc>
          <w:tcPr>
            <w:tcW w:type="dxa" w:w="424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Ingresos anuales estimados</w:t>
            </w:r>
          </w:p>
        </w:tc>
        <w:tc>
          <w:tcPr>
            <w:tcW w:type="dxa" w:w="270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 M USD (42–62)</w:t>
            </w:r>
          </w:p>
        </w:tc>
        <w:tc>
          <w:tcPr>
            <w:tcW w:type="dxa" w:w="208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Cálculo propio</w:t>
            </w:r>
          </w:p>
        </w:tc>
      </w:tr>
      <w:tr>
        <w:tc>
          <w:tcPr>
            <w:tcW w:type="dxa" w:w="424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Margen operativo de referencia</w:t>
            </w:r>
          </w:p>
        </w:tc>
        <w:tc>
          <w:tcPr>
            <w:tcW w:type="dxa" w:w="2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12 % · 6,0 M USD</w:t>
            </w:r>
          </w:p>
        </w:tc>
        <w:tc>
          <w:tcPr>
            <w:tcW w:type="dxa" w:w="20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Supuesto propio</w:t>
            </w:r>
          </w:p>
        </w:tc>
      </w:tr>
      <w:tr>
        <w:tc>
          <w:tcPr>
            <w:tcW w:type="dxa" w:w="424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Coste unitario de la banda individual</w:t>
            </w:r>
          </w:p>
        </w:tc>
        <w:tc>
          <w:tcPr>
            <w:tcW w:type="dxa" w:w="270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0,50 USD/caja</w:t>
            </w:r>
          </w:p>
        </w:tc>
        <w:tc>
          <w:tcPr>
            <w:tcW w:type="dxa" w:w="2080"/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Caso DGI-445</w:t>
            </w:r>
          </w:p>
        </w:tc>
      </w:tr>
      <w:tr>
        <w:tc>
          <w:tcPr>
            <w:tcW w:type="dxa" w:w="424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Coste del co-branding en el 100 % del volumen</w:t>
            </w:r>
          </w:p>
        </w:tc>
        <w:tc>
          <w:tcPr>
            <w:tcW w:type="dxa" w:w="2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3,1 M USD/año</w:t>
            </w:r>
          </w:p>
        </w:tc>
        <w:tc>
          <w:tcPr>
            <w:tcW w:type="dxa" w:w="208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Cálculo propio</w:t>
            </w:r>
          </w:p>
        </w:tc>
      </w:tr>
      <w:tr>
        <w:tc>
          <w:tcPr>
            <w:tcW w:type="dxa" w:w="4240"/>
            <w:tcBorders>
              <w:top w:val="single" w:color="1F4E3D" w:sz="8"/>
            </w:tcBorders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Coste del co-branding en el 25 % del volumen</w:t>
            </w:r>
          </w:p>
        </w:tc>
        <w:tc>
          <w:tcPr>
            <w:tcW w:type="dxa" w:w="2700"/>
            <w:tcBorders>
              <w:top w:val="single" w:color="1F4E3D" w:sz="8"/>
            </w:tcBorders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0,8 M USD/año</w:t>
            </w:r>
          </w:p>
        </w:tc>
        <w:tc>
          <w:tcPr>
            <w:tcW w:type="dxa" w:w="2080"/>
            <w:tcBorders>
              <w:top w:val="single" w:color="1F4E3D" w:sz="8"/>
            </w:tcBorders>
            <w:shd w:fill="F2F5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Cálculo propio</w:t>
            </w:r>
          </w:p>
        </w:tc>
      </w:tr>
    </w:tbl>
    <w:p>
      <w:pPr>
        <w:spacing w:after="260" w:before="60" w:line="24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Fuentes: caso DGI-445; CANAPEP (2025); PROCOMER (2025); FAOSTAT (2024); cotización del mercado mayorista (2026).</w:t>
      </w:r>
    </w:p>
    <w:p>
      <w:pPr>
        <w:spacing w:after="100" w:before="120" w:line="240"/>
        <w:jc w:val="both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Figura A1.1. Margen operativo anual resultante según el alcance del esquema de co-branding. </w:t>
      </w:r>
      <w:r>
        <w:rPr>
          <w:rFonts w:ascii="Calibri" w:cs="Calibri" w:eastAsia="Calibri" w:hAnsi="Calibri"/>
          <w:b w:val="false"/>
          <w:bCs w:val="false"/>
          <w:color w:val="595959"/>
          <w:sz w:val="18"/>
          <w:szCs w:val="18"/>
        </w:rPr>
        <w:t xml:space="preserve">Millones de dólares que restan del margen operativo estimado una vez descontado el coste de 0,50 dólares por caja, aplicado a la totalidad del volumen exportado o solo al canal seleccionado.</w:t>
      </w:r>
    </w:p>
    <w:p>
      <w:pPr>
        <w:spacing w:after="60" w:before="60"/>
      </w:pPr>
      <w:r>
        <w:drawing>
          <wp:inline distT="0" distB="0" distL="0" distR="0">
            <wp:extent cx="5334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 w:line="24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Elaboración propia a partir de la Tabla A1.1.</w:t>
      </w:r>
    </w:p>
    <w:sectPr>
      <w:footerReference w:type="default" r:id="rId7"/>
      <w:pgSz w:w="11906" w:h="16838" w:orient="portrait"/>
      <w:pgMar w:top="1250" w:right="1418" w:bottom="102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395a1732daf3d6eea483372f5bb060305f0d0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1 — Dimensionado económico de PCC Fresh</dc:title>
  <dc:creator>Programa LYDES 2026</dc:creator>
  <cp:lastModifiedBy>Un-named</cp:lastModifiedBy>
  <cp:revision>1</cp:revision>
  <dcterms:created xsi:type="dcterms:W3CDTF">2026-08-13T16:03:00.528Z</dcterms:created>
  <dcterms:modified xsi:type="dcterms:W3CDTF">2026-08-13T16:03:00.529Z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