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5D3F0E" w14:paraId="21662D9C" w14:textId="77777777">
        <w:tblPrEx>
          <w:tblCellMar>
            <w:top w:w="0" w:type="dxa"/>
            <w:bottom w:w="0" w:type="dxa"/>
          </w:tblCellMar>
        </w:tblPrEx>
        <w:tc>
          <w:tcPr>
            <w:tcW w:w="10034" w:type="dxa"/>
            <w:tcBorders>
              <w:left w:val="single" w:sz="18" w:space="0" w:color="2C5F9E"/>
            </w:tcBorders>
            <w:shd w:val="clear" w:color="auto" w:fill="DCE9F8"/>
            <w:tcMar>
              <w:top w:w="160" w:type="dxa"/>
              <w:left w:w="260" w:type="dxa"/>
              <w:bottom w:w="160" w:type="dxa"/>
              <w:right w:w="180" w:type="dxa"/>
            </w:tcMar>
          </w:tcPr>
          <w:p w14:paraId="0A169CD8" w14:textId="77777777" w:rsidR="005D3F0E" w:rsidRDefault="00000000">
            <w:pPr>
              <w:spacing w:after="25" w:line="228" w:lineRule="auto"/>
            </w:pPr>
            <w:r>
              <w:rPr>
                <w:b/>
                <w:bCs/>
                <w:color w:val="1B3A6B"/>
                <w:sz w:val="44"/>
                <w:szCs w:val="44"/>
              </w:rPr>
              <w:t>POLYSAFE</w:t>
            </w:r>
          </w:p>
          <w:p w14:paraId="208BCE95" w14:textId="77777777" w:rsidR="005D3F0E" w:rsidRDefault="00000000">
            <w:pPr>
              <w:spacing w:after="18" w:line="228" w:lineRule="auto"/>
            </w:pPr>
            <w:r>
              <w:rPr>
                <w:color w:val="2C5F9E"/>
                <w:sz w:val="20"/>
                <w:szCs w:val="20"/>
              </w:rPr>
              <w:t xml:space="preserve">Drug Interaction Awareness for Polypharmacy </w:t>
            </w:r>
            <w:proofErr w:type="gramStart"/>
            <w:r>
              <w:rPr>
                <w:color w:val="2C5F9E"/>
                <w:sz w:val="20"/>
                <w:szCs w:val="20"/>
              </w:rPr>
              <w:t>Patients  —</w:t>
            </w:r>
            <w:proofErr w:type="gramEnd"/>
            <w:r>
              <w:rPr>
                <w:color w:val="2C5F9E"/>
                <w:sz w:val="20"/>
                <w:szCs w:val="20"/>
              </w:rPr>
              <w:t xml:space="preserve">  Phase 2 Research Report</w:t>
            </w:r>
          </w:p>
          <w:p w14:paraId="2E80E1E0" w14:textId="77777777" w:rsidR="005D3F0E" w:rsidRDefault="00000000">
            <w:pPr>
              <w:spacing w:line="228" w:lineRule="auto"/>
            </w:pPr>
            <w:r>
              <w:rPr>
                <w:color w:val="555555"/>
                <w:sz w:val="17"/>
                <w:szCs w:val="17"/>
              </w:rPr>
              <w:t xml:space="preserve">AI Product Development | Spring </w:t>
            </w:r>
            <w:proofErr w:type="gramStart"/>
            <w:r>
              <w:rPr>
                <w:color w:val="555555"/>
                <w:sz w:val="17"/>
                <w:szCs w:val="17"/>
              </w:rPr>
              <w:t>2026  |</w:t>
            </w:r>
            <w:proofErr w:type="gramEnd"/>
            <w:r>
              <w:rPr>
                <w:color w:val="555555"/>
                <w:sz w:val="17"/>
                <w:szCs w:val="17"/>
              </w:rPr>
              <w:t xml:space="preserve">  Team: 22i-1066 · 22i-1196 · 22i-0843 · 22i-</w:t>
            </w:r>
            <w:proofErr w:type="gramStart"/>
            <w:r>
              <w:rPr>
                <w:color w:val="555555"/>
                <w:sz w:val="17"/>
                <w:szCs w:val="17"/>
              </w:rPr>
              <w:t>1152  |</w:t>
            </w:r>
            <w:proofErr w:type="gramEnd"/>
            <w:r>
              <w:rPr>
                <w:color w:val="555555"/>
                <w:sz w:val="17"/>
                <w:szCs w:val="17"/>
              </w:rPr>
              <w:t xml:space="preserve">  Section C</w:t>
            </w:r>
          </w:p>
        </w:tc>
      </w:tr>
    </w:tbl>
    <w:p w14:paraId="67F08E57" w14:textId="77777777" w:rsidR="005D3F0E" w:rsidRDefault="005D3F0E">
      <w:pPr>
        <w:spacing w:before="80" w:line="228" w:lineRule="auto"/>
      </w:pPr>
    </w:p>
    <w:p w14:paraId="12918330" w14:textId="77777777" w:rsidR="005D3F0E" w:rsidRDefault="00000000">
      <w:pPr>
        <w:pBdr>
          <w:bottom w:val="single" w:sz="4" w:space="3" w:color="2C5F9E"/>
        </w:pBdr>
        <w:spacing w:before="140" w:after="70" w:line="228" w:lineRule="auto"/>
      </w:pPr>
      <w:r>
        <w:rPr>
          <w:b/>
          <w:bCs/>
          <w:color w:val="1B3A6B"/>
          <w:sz w:val="24"/>
          <w:szCs w:val="24"/>
        </w:rPr>
        <w:t>1. Product Research</w:t>
      </w:r>
    </w:p>
    <w:p w14:paraId="73628B45" w14:textId="77777777" w:rsidR="005D3F0E" w:rsidRDefault="00000000">
      <w:pPr>
        <w:spacing w:before="110" w:after="50" w:line="228" w:lineRule="auto"/>
      </w:pPr>
      <w:r>
        <w:rPr>
          <w:b/>
          <w:bCs/>
          <w:color w:val="2C5F9E"/>
          <w:sz w:val="21"/>
          <w:szCs w:val="21"/>
        </w:rPr>
        <w:t>1A. User Needs &amp; Pain Points</w:t>
      </w:r>
    </w:p>
    <w:p w14:paraId="2685D72B" w14:textId="77777777" w:rsidR="005D3F0E" w:rsidRDefault="00000000">
      <w:pPr>
        <w:spacing w:before="35" w:after="28" w:line="228" w:lineRule="auto"/>
      </w:pPr>
      <w:r>
        <w:rPr>
          <w:b/>
          <w:bCs/>
        </w:rPr>
        <w:t xml:space="preserve">Who are the users? </w:t>
      </w:r>
      <w:r>
        <w:t>Three main groups need this product. Elderly patients aged 65 and over, most of whom take five or more medications prescribed by different specialists, carry the highest risk. Adults managing long-term conditions like diabetes, hypertension, or heart disease face similarly complex regimens. Family caregivers, who look after a parent or spouse’s medications without any medical background, are the third key group. Pharmacists, hospital discharge teams, and health institutions are secondary stakeholders with their own stake in fewer medication errors.</w:t>
      </w:r>
    </w:p>
    <w:p w14:paraId="779C6542" w14:textId="77777777" w:rsidR="005D3F0E" w:rsidRDefault="005D3F0E">
      <w:pPr>
        <w:spacing w:before="10" w:line="228" w:lineRule="auto"/>
      </w:pPr>
    </w:p>
    <w:p w14:paraId="45E5909C" w14:textId="77777777" w:rsidR="005D3F0E" w:rsidRDefault="00000000">
      <w:pPr>
        <w:spacing w:before="35" w:after="28" w:line="228" w:lineRule="auto"/>
      </w:pPr>
      <w:r>
        <w:rPr>
          <w:b/>
          <w:bCs/>
        </w:rPr>
        <w:t xml:space="preserve">Scale of the problem. </w:t>
      </w:r>
      <w:r>
        <w:t>Polypharmacy (five or more medications together) affects 37% of the general population, rising to 39–45% among adults over 65 (Kim et al., 2024; Wang et al., 2024). In the United States alone, adverse drug events (ADEs) cause between 44,000 and 98,000 preventable hospital deaths per year and cost the system USD 30–137 billion annually (MDPI, 2023; FDA MedWatch, 2024). The WHO estimates medication errors account for USD 42 billion in global costs yearly.</w:t>
      </w:r>
    </w:p>
    <w:p w14:paraId="12E97F6D" w14:textId="77777777" w:rsidR="005D3F0E" w:rsidRDefault="005D3F0E">
      <w:pPr>
        <w:spacing w:before="10" w:line="228" w:lineRule="auto"/>
      </w:pPr>
    </w:p>
    <w:p w14:paraId="22CA2867" w14:textId="7ECF1A21" w:rsidR="005D3F0E" w:rsidRDefault="00000000">
      <w:pPr>
        <w:spacing w:before="35" w:after="28" w:line="228" w:lineRule="auto"/>
      </w:pPr>
      <w:r>
        <w:rPr>
          <w:b/>
          <w:bCs/>
        </w:rPr>
        <w:t xml:space="preserve">Where </w:t>
      </w:r>
      <w:r w:rsidR="00CD2A73">
        <w:rPr>
          <w:b/>
          <w:bCs/>
        </w:rPr>
        <w:t>behavior</w:t>
      </w:r>
      <w:r>
        <w:rPr>
          <w:b/>
          <w:bCs/>
        </w:rPr>
        <w:t xml:space="preserve"> falls short. </w:t>
      </w:r>
      <w:r>
        <w:t xml:space="preserve">Most patients keep a handwritten medication list that is out of date or incomplete. When seeing a new specialist, they bring only the prescriptions they happen to have. Pharmacist checks at the point of dispensing are brief and based only on what is in front of them at that moment. Online self-research requires clinical literacy and manual drug-by-drug entry, and produces no </w:t>
      </w:r>
      <w:r w:rsidR="00CD2A73">
        <w:t>personalized</w:t>
      </w:r>
      <w:r>
        <w:t>, combined risk picture.</w:t>
      </w:r>
    </w:p>
    <w:p w14:paraId="407CCCE9" w14:textId="77777777" w:rsidR="005D3F0E" w:rsidRDefault="005D3F0E">
      <w:pPr>
        <w:spacing w:before="20" w:line="228" w:lineRule="auto"/>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5D3F0E" w14:paraId="0C9C960A" w14:textId="77777777">
        <w:tblPrEx>
          <w:tblCellMar>
            <w:top w:w="0" w:type="dxa"/>
            <w:bottom w:w="0" w:type="dxa"/>
          </w:tblCellMar>
        </w:tblPrEx>
        <w:tc>
          <w:tcPr>
            <w:tcW w:w="10034" w:type="dxa"/>
            <w:tcBorders>
              <w:top w:val="single" w:sz="2" w:space="0" w:color="2C5F9E"/>
              <w:left w:val="single" w:sz="10" w:space="0" w:color="2C5F9E"/>
              <w:bottom w:val="single" w:sz="2" w:space="0" w:color="2C5F9E"/>
              <w:right w:val="none" w:sz="0" w:space="0" w:color="FFFFFF"/>
            </w:tcBorders>
            <w:shd w:val="clear" w:color="auto" w:fill="DCE9F8"/>
            <w:tcMar>
              <w:top w:w="65" w:type="dxa"/>
              <w:left w:w="150" w:type="dxa"/>
              <w:bottom w:w="65" w:type="dxa"/>
              <w:right w:w="110" w:type="dxa"/>
            </w:tcMar>
          </w:tcPr>
          <w:p w14:paraId="0ECDEA27" w14:textId="77777777" w:rsidR="005D3F0E" w:rsidRDefault="00000000">
            <w:pPr>
              <w:spacing w:line="228" w:lineRule="auto"/>
            </w:pPr>
            <w:r>
              <w:rPr>
                <w:b/>
                <w:bCs/>
                <w:color w:val="2C5F9E"/>
                <w:sz w:val="17"/>
                <w:szCs w:val="17"/>
              </w:rPr>
              <w:t xml:space="preserve">ASSUMPTION — Validated: </w:t>
            </w:r>
            <w:r>
              <w:rPr>
                <w:sz w:val="17"/>
                <w:szCs w:val="17"/>
              </w:rPr>
              <w:t xml:space="preserve">Caregivers will scan or upload prescriptions. </w:t>
            </w:r>
            <w:proofErr w:type="spellStart"/>
            <w:r>
              <w:rPr>
                <w:sz w:val="17"/>
                <w:szCs w:val="17"/>
              </w:rPr>
              <w:t>Medisafe’s</w:t>
            </w:r>
            <w:proofErr w:type="spellEnd"/>
            <w:r>
              <w:rPr>
                <w:sz w:val="17"/>
                <w:szCs w:val="17"/>
              </w:rPr>
              <w:t xml:space="preserve"> 7M+ users confirm appetite for this category. Elderly users themselves are unlikely to set up the app independently; onboarding through pharmacists or hospital discharge staff is therefore not optional.</w:t>
            </w:r>
          </w:p>
        </w:tc>
      </w:tr>
    </w:tbl>
    <w:p w14:paraId="6E34B620" w14:textId="77777777" w:rsidR="005D3F0E" w:rsidRDefault="005D3F0E">
      <w:pPr>
        <w:spacing w:before="20" w:line="228" w:lineRule="auto"/>
      </w:pPr>
    </w:p>
    <w:p w14:paraId="773BE82D" w14:textId="77777777" w:rsidR="005D3F0E" w:rsidRDefault="00000000">
      <w:pPr>
        <w:spacing w:before="110" w:after="50" w:line="228" w:lineRule="auto"/>
      </w:pPr>
      <w:r>
        <w:rPr>
          <w:b/>
          <w:bCs/>
          <w:color w:val="2C5F9E"/>
          <w:sz w:val="21"/>
          <w:szCs w:val="21"/>
        </w:rPr>
        <w:t>1B. Existing Solutions &amp; Substitutes</w:t>
      </w: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3200"/>
        <w:gridCol w:w="3134"/>
      </w:tblGrid>
      <w:tr w:rsidR="005D3F0E" w14:paraId="52C685E6" w14:textId="77777777">
        <w:tblPrEx>
          <w:tblCellMar>
            <w:top w:w="0" w:type="dxa"/>
            <w:bottom w:w="0" w:type="dxa"/>
          </w:tblCellMar>
        </w:tblPrEx>
        <w:tc>
          <w:tcPr>
            <w:tcW w:w="2000" w:type="dxa"/>
            <w:tcBorders>
              <w:top w:val="single" w:sz="1" w:space="0" w:color="AABDD6"/>
              <w:left w:val="single" w:sz="1" w:space="0" w:color="AABDD6"/>
              <w:bottom w:val="single" w:sz="1" w:space="0" w:color="AABDD6"/>
              <w:right w:val="single" w:sz="1" w:space="0" w:color="AABDD6"/>
            </w:tcBorders>
            <w:shd w:val="clear" w:color="auto" w:fill="1B3A6B"/>
            <w:tcMar>
              <w:top w:w="65" w:type="dxa"/>
              <w:left w:w="100" w:type="dxa"/>
              <w:bottom w:w="65" w:type="dxa"/>
              <w:right w:w="100" w:type="dxa"/>
            </w:tcMar>
          </w:tcPr>
          <w:p w14:paraId="5046FE9B" w14:textId="77777777" w:rsidR="005D3F0E" w:rsidRDefault="00000000">
            <w:pPr>
              <w:spacing w:line="228" w:lineRule="auto"/>
            </w:pPr>
            <w:r>
              <w:rPr>
                <w:b/>
                <w:bCs/>
                <w:color w:val="FFFFFF"/>
                <w:sz w:val="17"/>
                <w:szCs w:val="17"/>
              </w:rPr>
              <w:t>Tool</w:t>
            </w:r>
          </w:p>
        </w:tc>
        <w:tc>
          <w:tcPr>
            <w:tcW w:w="1700" w:type="dxa"/>
            <w:tcBorders>
              <w:top w:val="single" w:sz="1" w:space="0" w:color="AABDD6"/>
              <w:left w:val="single" w:sz="1" w:space="0" w:color="AABDD6"/>
              <w:bottom w:val="single" w:sz="1" w:space="0" w:color="AABDD6"/>
              <w:right w:val="single" w:sz="1" w:space="0" w:color="AABDD6"/>
            </w:tcBorders>
            <w:shd w:val="clear" w:color="auto" w:fill="1B3A6B"/>
            <w:tcMar>
              <w:top w:w="65" w:type="dxa"/>
              <w:left w:w="100" w:type="dxa"/>
              <w:bottom w:w="65" w:type="dxa"/>
              <w:right w:w="100" w:type="dxa"/>
            </w:tcMar>
          </w:tcPr>
          <w:p w14:paraId="4EA26EAD" w14:textId="77777777" w:rsidR="005D3F0E" w:rsidRDefault="00000000">
            <w:pPr>
              <w:spacing w:line="228" w:lineRule="auto"/>
            </w:pPr>
            <w:r>
              <w:rPr>
                <w:b/>
                <w:bCs/>
                <w:color w:val="FFFFFF"/>
                <w:sz w:val="17"/>
                <w:szCs w:val="17"/>
              </w:rPr>
              <w:t>Strengths</w:t>
            </w:r>
          </w:p>
        </w:tc>
        <w:tc>
          <w:tcPr>
            <w:tcW w:w="3200" w:type="dxa"/>
            <w:tcBorders>
              <w:top w:val="single" w:sz="1" w:space="0" w:color="AABDD6"/>
              <w:left w:val="single" w:sz="1" w:space="0" w:color="AABDD6"/>
              <w:bottom w:val="single" w:sz="1" w:space="0" w:color="AABDD6"/>
              <w:right w:val="single" w:sz="1" w:space="0" w:color="AABDD6"/>
            </w:tcBorders>
            <w:shd w:val="clear" w:color="auto" w:fill="1B3A6B"/>
            <w:tcMar>
              <w:top w:w="65" w:type="dxa"/>
              <w:left w:w="100" w:type="dxa"/>
              <w:bottom w:w="65" w:type="dxa"/>
              <w:right w:w="100" w:type="dxa"/>
            </w:tcMar>
          </w:tcPr>
          <w:p w14:paraId="487CD20B" w14:textId="77777777" w:rsidR="005D3F0E" w:rsidRDefault="00000000">
            <w:pPr>
              <w:spacing w:line="228" w:lineRule="auto"/>
            </w:pPr>
            <w:r>
              <w:rPr>
                <w:b/>
                <w:bCs/>
                <w:color w:val="FFFFFF"/>
                <w:sz w:val="17"/>
                <w:szCs w:val="17"/>
              </w:rPr>
              <w:t>Critical Gaps</w:t>
            </w:r>
          </w:p>
        </w:tc>
        <w:tc>
          <w:tcPr>
            <w:tcW w:w="3134" w:type="dxa"/>
            <w:tcBorders>
              <w:top w:val="single" w:sz="1" w:space="0" w:color="AABDD6"/>
              <w:left w:val="single" w:sz="1" w:space="0" w:color="AABDD6"/>
              <w:bottom w:val="single" w:sz="1" w:space="0" w:color="AABDD6"/>
              <w:right w:val="single" w:sz="1" w:space="0" w:color="AABDD6"/>
            </w:tcBorders>
            <w:shd w:val="clear" w:color="auto" w:fill="1B3A6B"/>
            <w:tcMar>
              <w:top w:w="65" w:type="dxa"/>
              <w:left w:w="100" w:type="dxa"/>
              <w:bottom w:w="65" w:type="dxa"/>
              <w:right w:w="100" w:type="dxa"/>
            </w:tcMar>
          </w:tcPr>
          <w:p w14:paraId="7792B8C0" w14:textId="77777777" w:rsidR="005D3F0E" w:rsidRDefault="00000000">
            <w:pPr>
              <w:spacing w:line="228" w:lineRule="auto"/>
            </w:pPr>
            <w:r>
              <w:rPr>
                <w:b/>
                <w:bCs/>
                <w:color w:val="FFFFFF"/>
                <w:sz w:val="17"/>
                <w:szCs w:val="17"/>
              </w:rPr>
              <w:t xml:space="preserve">Why </w:t>
            </w:r>
            <w:proofErr w:type="spellStart"/>
            <w:r>
              <w:rPr>
                <w:b/>
                <w:bCs/>
                <w:color w:val="FFFFFF"/>
                <w:sz w:val="17"/>
                <w:szCs w:val="17"/>
              </w:rPr>
              <w:t>PolySafe</w:t>
            </w:r>
            <w:proofErr w:type="spellEnd"/>
            <w:r>
              <w:rPr>
                <w:b/>
                <w:bCs/>
                <w:color w:val="FFFFFF"/>
                <w:sz w:val="17"/>
                <w:szCs w:val="17"/>
              </w:rPr>
              <w:t xml:space="preserve"> Differs</w:t>
            </w:r>
          </w:p>
        </w:tc>
      </w:tr>
      <w:tr w:rsidR="005D3F0E" w14:paraId="701B29AA" w14:textId="77777777">
        <w:tblPrEx>
          <w:tblCellMar>
            <w:top w:w="0" w:type="dxa"/>
            <w:bottom w:w="0" w:type="dxa"/>
          </w:tblCellMar>
        </w:tblPrEx>
        <w:tc>
          <w:tcPr>
            <w:tcW w:w="2000" w:type="dxa"/>
            <w:tcBorders>
              <w:top w:val="single" w:sz="1" w:space="0" w:color="AABDD6"/>
              <w:left w:val="single" w:sz="1" w:space="0" w:color="AABDD6"/>
              <w:bottom w:val="single" w:sz="1" w:space="0" w:color="AABDD6"/>
              <w:right w:val="single" w:sz="1" w:space="0" w:color="AABDD6"/>
            </w:tcBorders>
            <w:shd w:val="clear" w:color="auto" w:fill="FFFFFF"/>
            <w:tcMar>
              <w:top w:w="58" w:type="dxa"/>
              <w:left w:w="100" w:type="dxa"/>
              <w:bottom w:w="58" w:type="dxa"/>
              <w:right w:w="100" w:type="dxa"/>
            </w:tcMar>
          </w:tcPr>
          <w:p w14:paraId="250BB4FA" w14:textId="77777777" w:rsidR="005D3F0E" w:rsidRDefault="00000000">
            <w:pPr>
              <w:spacing w:line="228" w:lineRule="auto"/>
            </w:pPr>
            <w:r>
              <w:rPr>
                <w:sz w:val="16"/>
                <w:szCs w:val="16"/>
              </w:rPr>
              <w:t>Drugs.com / WebMD</w:t>
            </w:r>
          </w:p>
        </w:tc>
        <w:tc>
          <w:tcPr>
            <w:tcW w:w="1700" w:type="dxa"/>
            <w:tcBorders>
              <w:top w:val="single" w:sz="1" w:space="0" w:color="AABDD6"/>
              <w:left w:val="single" w:sz="1" w:space="0" w:color="AABDD6"/>
              <w:bottom w:val="single" w:sz="1" w:space="0" w:color="AABDD6"/>
              <w:right w:val="single" w:sz="1" w:space="0" w:color="AABDD6"/>
            </w:tcBorders>
            <w:shd w:val="clear" w:color="auto" w:fill="FFFFFF"/>
            <w:tcMar>
              <w:top w:w="58" w:type="dxa"/>
              <w:left w:w="100" w:type="dxa"/>
              <w:bottom w:w="58" w:type="dxa"/>
              <w:right w:w="100" w:type="dxa"/>
            </w:tcMar>
          </w:tcPr>
          <w:p w14:paraId="4D2AAE4A" w14:textId="77777777" w:rsidR="005D3F0E" w:rsidRDefault="00000000">
            <w:pPr>
              <w:spacing w:line="228" w:lineRule="auto"/>
            </w:pPr>
            <w:r>
              <w:rPr>
                <w:sz w:val="16"/>
                <w:szCs w:val="16"/>
              </w:rPr>
              <w:t>Large free database</w:t>
            </w:r>
          </w:p>
        </w:tc>
        <w:tc>
          <w:tcPr>
            <w:tcW w:w="3200" w:type="dxa"/>
            <w:tcBorders>
              <w:top w:val="single" w:sz="1" w:space="0" w:color="AABDD6"/>
              <w:left w:val="single" w:sz="1" w:space="0" w:color="AABDD6"/>
              <w:bottom w:val="single" w:sz="1" w:space="0" w:color="AABDD6"/>
              <w:right w:val="single" w:sz="1" w:space="0" w:color="AABDD6"/>
            </w:tcBorders>
            <w:shd w:val="clear" w:color="auto" w:fill="FFFFFF"/>
            <w:tcMar>
              <w:top w:w="58" w:type="dxa"/>
              <w:left w:w="100" w:type="dxa"/>
              <w:bottom w:w="58" w:type="dxa"/>
              <w:right w:w="100" w:type="dxa"/>
            </w:tcMar>
          </w:tcPr>
          <w:p w14:paraId="796D340E" w14:textId="77777777" w:rsidR="005D3F0E" w:rsidRDefault="00000000">
            <w:pPr>
              <w:spacing w:line="228" w:lineRule="auto"/>
            </w:pPr>
            <w:r>
              <w:rPr>
                <w:sz w:val="16"/>
                <w:szCs w:val="16"/>
              </w:rPr>
              <w:t>Manual entry per drug; clinical language; no saved profile; no scanning</w:t>
            </w:r>
          </w:p>
        </w:tc>
        <w:tc>
          <w:tcPr>
            <w:tcW w:w="3134" w:type="dxa"/>
            <w:tcBorders>
              <w:top w:val="single" w:sz="1" w:space="0" w:color="AABDD6"/>
              <w:left w:val="single" w:sz="1" w:space="0" w:color="AABDD6"/>
              <w:bottom w:val="single" w:sz="1" w:space="0" w:color="AABDD6"/>
              <w:right w:val="single" w:sz="1" w:space="0" w:color="AABDD6"/>
            </w:tcBorders>
            <w:shd w:val="clear" w:color="auto" w:fill="FFFFFF"/>
            <w:tcMar>
              <w:top w:w="58" w:type="dxa"/>
              <w:left w:w="100" w:type="dxa"/>
              <w:bottom w:w="58" w:type="dxa"/>
              <w:right w:w="100" w:type="dxa"/>
            </w:tcMar>
          </w:tcPr>
          <w:p w14:paraId="6D7301DB" w14:textId="77777777" w:rsidR="005D3F0E" w:rsidRDefault="00000000">
            <w:pPr>
              <w:spacing w:line="228" w:lineRule="auto"/>
            </w:pPr>
            <w:r>
              <w:rPr>
                <w:sz w:val="16"/>
                <w:szCs w:val="16"/>
              </w:rPr>
              <w:t>Scans prescriptions; stores full medication history across prescribers</w:t>
            </w:r>
          </w:p>
        </w:tc>
      </w:tr>
      <w:tr w:rsidR="005D3F0E" w14:paraId="372AD58B" w14:textId="77777777">
        <w:tblPrEx>
          <w:tblCellMar>
            <w:top w:w="0" w:type="dxa"/>
            <w:bottom w:w="0" w:type="dxa"/>
          </w:tblCellMar>
        </w:tblPrEx>
        <w:tc>
          <w:tcPr>
            <w:tcW w:w="2000" w:type="dxa"/>
            <w:tcBorders>
              <w:top w:val="single" w:sz="1" w:space="0" w:color="AABDD6"/>
              <w:left w:val="single" w:sz="1" w:space="0" w:color="AABDD6"/>
              <w:bottom w:val="single" w:sz="1" w:space="0" w:color="AABDD6"/>
              <w:right w:val="single" w:sz="1" w:space="0" w:color="AABDD6"/>
            </w:tcBorders>
            <w:shd w:val="clear" w:color="auto" w:fill="EDF3FB"/>
            <w:tcMar>
              <w:top w:w="58" w:type="dxa"/>
              <w:left w:w="100" w:type="dxa"/>
              <w:bottom w:w="58" w:type="dxa"/>
              <w:right w:w="100" w:type="dxa"/>
            </w:tcMar>
          </w:tcPr>
          <w:p w14:paraId="5D1A4961" w14:textId="77777777" w:rsidR="005D3F0E" w:rsidRDefault="00000000">
            <w:pPr>
              <w:spacing w:line="228" w:lineRule="auto"/>
            </w:pPr>
            <w:proofErr w:type="spellStart"/>
            <w:r>
              <w:rPr>
                <w:sz w:val="16"/>
                <w:szCs w:val="16"/>
              </w:rPr>
              <w:t>Medisafe</w:t>
            </w:r>
            <w:proofErr w:type="spellEnd"/>
          </w:p>
        </w:tc>
        <w:tc>
          <w:tcPr>
            <w:tcW w:w="1700" w:type="dxa"/>
            <w:tcBorders>
              <w:top w:val="single" w:sz="1" w:space="0" w:color="AABDD6"/>
              <w:left w:val="single" w:sz="1" w:space="0" w:color="AABDD6"/>
              <w:bottom w:val="single" w:sz="1" w:space="0" w:color="AABDD6"/>
              <w:right w:val="single" w:sz="1" w:space="0" w:color="AABDD6"/>
            </w:tcBorders>
            <w:shd w:val="clear" w:color="auto" w:fill="EDF3FB"/>
            <w:tcMar>
              <w:top w:w="58" w:type="dxa"/>
              <w:left w:w="100" w:type="dxa"/>
              <w:bottom w:w="58" w:type="dxa"/>
              <w:right w:w="100" w:type="dxa"/>
            </w:tcMar>
          </w:tcPr>
          <w:p w14:paraId="547DFA5C" w14:textId="77777777" w:rsidR="005D3F0E" w:rsidRDefault="00000000">
            <w:pPr>
              <w:spacing w:line="228" w:lineRule="auto"/>
            </w:pPr>
            <w:r>
              <w:rPr>
                <w:sz w:val="16"/>
                <w:szCs w:val="16"/>
              </w:rPr>
              <w:t>7M users; reminders; caregiver sharing</w:t>
            </w:r>
          </w:p>
        </w:tc>
        <w:tc>
          <w:tcPr>
            <w:tcW w:w="3200" w:type="dxa"/>
            <w:tcBorders>
              <w:top w:val="single" w:sz="1" w:space="0" w:color="AABDD6"/>
              <w:left w:val="single" w:sz="1" w:space="0" w:color="AABDD6"/>
              <w:bottom w:val="single" w:sz="1" w:space="0" w:color="AABDD6"/>
              <w:right w:val="single" w:sz="1" w:space="0" w:color="AABDD6"/>
            </w:tcBorders>
            <w:shd w:val="clear" w:color="auto" w:fill="EDF3FB"/>
            <w:tcMar>
              <w:top w:w="58" w:type="dxa"/>
              <w:left w:w="100" w:type="dxa"/>
              <w:bottom w:w="58" w:type="dxa"/>
              <w:right w:w="100" w:type="dxa"/>
            </w:tcMar>
          </w:tcPr>
          <w:p w14:paraId="7FFA7961" w14:textId="77777777" w:rsidR="005D3F0E" w:rsidRDefault="00000000">
            <w:pPr>
              <w:spacing w:line="228" w:lineRule="auto"/>
            </w:pPr>
            <w:r>
              <w:rPr>
                <w:sz w:val="16"/>
                <w:szCs w:val="16"/>
              </w:rPr>
              <w:t>Built for reminders, not interaction checking; no prescription scanning; not elderly-</w:t>
            </w:r>
            <w:proofErr w:type="spellStart"/>
            <w:r>
              <w:rPr>
                <w:sz w:val="16"/>
                <w:szCs w:val="16"/>
              </w:rPr>
              <w:t>optimised</w:t>
            </w:r>
            <w:proofErr w:type="spellEnd"/>
          </w:p>
        </w:tc>
        <w:tc>
          <w:tcPr>
            <w:tcW w:w="3134" w:type="dxa"/>
            <w:tcBorders>
              <w:top w:val="single" w:sz="1" w:space="0" w:color="AABDD6"/>
              <w:left w:val="single" w:sz="1" w:space="0" w:color="AABDD6"/>
              <w:bottom w:val="single" w:sz="1" w:space="0" w:color="AABDD6"/>
              <w:right w:val="single" w:sz="1" w:space="0" w:color="AABDD6"/>
            </w:tcBorders>
            <w:shd w:val="clear" w:color="auto" w:fill="EDF3FB"/>
            <w:tcMar>
              <w:top w:w="58" w:type="dxa"/>
              <w:left w:w="100" w:type="dxa"/>
              <w:bottom w:w="58" w:type="dxa"/>
              <w:right w:w="100" w:type="dxa"/>
            </w:tcMar>
          </w:tcPr>
          <w:p w14:paraId="470F75E6" w14:textId="77777777" w:rsidR="005D3F0E" w:rsidRDefault="00000000">
            <w:pPr>
              <w:spacing w:line="228" w:lineRule="auto"/>
            </w:pPr>
            <w:r>
              <w:rPr>
                <w:sz w:val="16"/>
                <w:szCs w:val="16"/>
              </w:rPr>
              <w:t>Interaction-first; plain-language alerts for non-clinical users</w:t>
            </w:r>
          </w:p>
        </w:tc>
      </w:tr>
      <w:tr w:rsidR="005D3F0E" w14:paraId="6AA7AECA" w14:textId="77777777">
        <w:tblPrEx>
          <w:tblCellMar>
            <w:top w:w="0" w:type="dxa"/>
            <w:bottom w:w="0" w:type="dxa"/>
          </w:tblCellMar>
        </w:tblPrEx>
        <w:tc>
          <w:tcPr>
            <w:tcW w:w="2000" w:type="dxa"/>
            <w:tcBorders>
              <w:top w:val="single" w:sz="1" w:space="0" w:color="AABDD6"/>
              <w:left w:val="single" w:sz="1" w:space="0" w:color="AABDD6"/>
              <w:bottom w:val="single" w:sz="1" w:space="0" w:color="AABDD6"/>
              <w:right w:val="single" w:sz="1" w:space="0" w:color="AABDD6"/>
            </w:tcBorders>
            <w:shd w:val="clear" w:color="auto" w:fill="FFFFFF"/>
            <w:tcMar>
              <w:top w:w="58" w:type="dxa"/>
              <w:left w:w="100" w:type="dxa"/>
              <w:bottom w:w="58" w:type="dxa"/>
              <w:right w:w="100" w:type="dxa"/>
            </w:tcMar>
          </w:tcPr>
          <w:p w14:paraId="014EF8F0" w14:textId="77777777" w:rsidR="005D3F0E" w:rsidRDefault="00000000">
            <w:pPr>
              <w:spacing w:line="228" w:lineRule="auto"/>
            </w:pPr>
            <w:r>
              <w:rPr>
                <w:sz w:val="16"/>
                <w:szCs w:val="16"/>
              </w:rPr>
              <w:t xml:space="preserve">Micromedex / </w:t>
            </w:r>
            <w:proofErr w:type="spellStart"/>
            <w:r>
              <w:rPr>
                <w:sz w:val="16"/>
                <w:szCs w:val="16"/>
              </w:rPr>
              <w:t>DrugBank</w:t>
            </w:r>
            <w:proofErr w:type="spellEnd"/>
          </w:p>
        </w:tc>
        <w:tc>
          <w:tcPr>
            <w:tcW w:w="1700" w:type="dxa"/>
            <w:tcBorders>
              <w:top w:val="single" w:sz="1" w:space="0" w:color="AABDD6"/>
              <w:left w:val="single" w:sz="1" w:space="0" w:color="AABDD6"/>
              <w:bottom w:val="single" w:sz="1" w:space="0" w:color="AABDD6"/>
              <w:right w:val="single" w:sz="1" w:space="0" w:color="AABDD6"/>
            </w:tcBorders>
            <w:shd w:val="clear" w:color="auto" w:fill="FFFFFF"/>
            <w:tcMar>
              <w:top w:w="58" w:type="dxa"/>
              <w:left w:w="100" w:type="dxa"/>
              <w:bottom w:w="58" w:type="dxa"/>
              <w:right w:w="100" w:type="dxa"/>
            </w:tcMar>
          </w:tcPr>
          <w:p w14:paraId="4DB0AE95" w14:textId="77777777" w:rsidR="005D3F0E" w:rsidRDefault="00000000">
            <w:pPr>
              <w:spacing w:line="228" w:lineRule="auto"/>
            </w:pPr>
            <w:r>
              <w:rPr>
                <w:sz w:val="16"/>
                <w:szCs w:val="16"/>
              </w:rPr>
              <w:t>Clinical-grade accuracy</w:t>
            </w:r>
          </w:p>
        </w:tc>
        <w:tc>
          <w:tcPr>
            <w:tcW w:w="3200" w:type="dxa"/>
            <w:tcBorders>
              <w:top w:val="single" w:sz="1" w:space="0" w:color="AABDD6"/>
              <w:left w:val="single" w:sz="1" w:space="0" w:color="AABDD6"/>
              <w:bottom w:val="single" w:sz="1" w:space="0" w:color="AABDD6"/>
              <w:right w:val="single" w:sz="1" w:space="0" w:color="AABDD6"/>
            </w:tcBorders>
            <w:shd w:val="clear" w:color="auto" w:fill="FFFFFF"/>
            <w:tcMar>
              <w:top w:w="58" w:type="dxa"/>
              <w:left w:w="100" w:type="dxa"/>
              <w:bottom w:w="58" w:type="dxa"/>
              <w:right w:w="100" w:type="dxa"/>
            </w:tcMar>
          </w:tcPr>
          <w:p w14:paraId="0E266818" w14:textId="77777777" w:rsidR="005D3F0E" w:rsidRDefault="00000000">
            <w:pPr>
              <w:spacing w:line="228" w:lineRule="auto"/>
            </w:pPr>
            <w:r>
              <w:rPr>
                <w:sz w:val="16"/>
                <w:szCs w:val="16"/>
              </w:rPr>
              <w:t>Clinician-only; no consumer interface; expensive institutional pricing</w:t>
            </w:r>
          </w:p>
        </w:tc>
        <w:tc>
          <w:tcPr>
            <w:tcW w:w="3134" w:type="dxa"/>
            <w:tcBorders>
              <w:top w:val="single" w:sz="1" w:space="0" w:color="AABDD6"/>
              <w:left w:val="single" w:sz="1" w:space="0" w:color="AABDD6"/>
              <w:bottom w:val="single" w:sz="1" w:space="0" w:color="AABDD6"/>
              <w:right w:val="single" w:sz="1" w:space="0" w:color="AABDD6"/>
            </w:tcBorders>
            <w:shd w:val="clear" w:color="auto" w:fill="FFFFFF"/>
            <w:tcMar>
              <w:top w:w="58" w:type="dxa"/>
              <w:left w:w="100" w:type="dxa"/>
              <w:bottom w:w="58" w:type="dxa"/>
              <w:right w:w="100" w:type="dxa"/>
            </w:tcMar>
          </w:tcPr>
          <w:p w14:paraId="7274171D" w14:textId="77777777" w:rsidR="005D3F0E" w:rsidRDefault="00000000">
            <w:pPr>
              <w:spacing w:line="228" w:lineRule="auto"/>
            </w:pPr>
            <w:r>
              <w:rPr>
                <w:sz w:val="16"/>
                <w:szCs w:val="16"/>
              </w:rPr>
              <w:t>Designed for patients and caregivers, not clinical staff</w:t>
            </w:r>
          </w:p>
        </w:tc>
      </w:tr>
      <w:tr w:rsidR="005D3F0E" w14:paraId="4655BE85" w14:textId="77777777">
        <w:tblPrEx>
          <w:tblCellMar>
            <w:top w:w="0" w:type="dxa"/>
            <w:bottom w:w="0" w:type="dxa"/>
          </w:tblCellMar>
        </w:tblPrEx>
        <w:tc>
          <w:tcPr>
            <w:tcW w:w="2000" w:type="dxa"/>
            <w:tcBorders>
              <w:top w:val="single" w:sz="1" w:space="0" w:color="AABDD6"/>
              <w:left w:val="single" w:sz="1" w:space="0" w:color="AABDD6"/>
              <w:bottom w:val="single" w:sz="1" w:space="0" w:color="AABDD6"/>
              <w:right w:val="single" w:sz="1" w:space="0" w:color="AABDD6"/>
            </w:tcBorders>
            <w:shd w:val="clear" w:color="auto" w:fill="EDF3FB"/>
            <w:tcMar>
              <w:top w:w="58" w:type="dxa"/>
              <w:left w:w="100" w:type="dxa"/>
              <w:bottom w:w="58" w:type="dxa"/>
              <w:right w:w="100" w:type="dxa"/>
            </w:tcMar>
          </w:tcPr>
          <w:p w14:paraId="3DE973F1" w14:textId="77777777" w:rsidR="005D3F0E" w:rsidRDefault="00000000">
            <w:pPr>
              <w:spacing w:line="228" w:lineRule="auto"/>
            </w:pPr>
            <w:r>
              <w:rPr>
                <w:sz w:val="16"/>
                <w:szCs w:val="16"/>
              </w:rPr>
              <w:t>Pharmacist consultation</w:t>
            </w:r>
          </w:p>
        </w:tc>
        <w:tc>
          <w:tcPr>
            <w:tcW w:w="1700" w:type="dxa"/>
            <w:tcBorders>
              <w:top w:val="single" w:sz="1" w:space="0" w:color="AABDD6"/>
              <w:left w:val="single" w:sz="1" w:space="0" w:color="AABDD6"/>
              <w:bottom w:val="single" w:sz="1" w:space="0" w:color="AABDD6"/>
              <w:right w:val="single" w:sz="1" w:space="0" w:color="AABDD6"/>
            </w:tcBorders>
            <w:shd w:val="clear" w:color="auto" w:fill="EDF3FB"/>
            <w:tcMar>
              <w:top w:w="58" w:type="dxa"/>
              <w:left w:w="100" w:type="dxa"/>
              <w:bottom w:w="58" w:type="dxa"/>
              <w:right w:w="100" w:type="dxa"/>
            </w:tcMar>
          </w:tcPr>
          <w:p w14:paraId="4011C85B" w14:textId="77777777" w:rsidR="005D3F0E" w:rsidRDefault="00000000">
            <w:pPr>
              <w:spacing w:line="228" w:lineRule="auto"/>
            </w:pPr>
            <w:r>
              <w:rPr>
                <w:sz w:val="16"/>
                <w:szCs w:val="16"/>
              </w:rPr>
              <w:t>Human judgement; trusted</w:t>
            </w:r>
          </w:p>
        </w:tc>
        <w:tc>
          <w:tcPr>
            <w:tcW w:w="3200" w:type="dxa"/>
            <w:tcBorders>
              <w:top w:val="single" w:sz="1" w:space="0" w:color="AABDD6"/>
              <w:left w:val="single" w:sz="1" w:space="0" w:color="AABDD6"/>
              <w:bottom w:val="single" w:sz="1" w:space="0" w:color="AABDD6"/>
              <w:right w:val="single" w:sz="1" w:space="0" w:color="AABDD6"/>
            </w:tcBorders>
            <w:shd w:val="clear" w:color="auto" w:fill="EDF3FB"/>
            <w:tcMar>
              <w:top w:w="58" w:type="dxa"/>
              <w:left w:w="100" w:type="dxa"/>
              <w:bottom w:w="58" w:type="dxa"/>
              <w:right w:w="100" w:type="dxa"/>
            </w:tcMar>
          </w:tcPr>
          <w:p w14:paraId="054022CE" w14:textId="77777777" w:rsidR="005D3F0E" w:rsidRDefault="00000000">
            <w:pPr>
              <w:spacing w:line="228" w:lineRule="auto"/>
            </w:pPr>
            <w:r>
              <w:rPr>
                <w:sz w:val="16"/>
                <w:szCs w:val="16"/>
              </w:rPr>
              <w:t>Time-limited; not available outside dispensing hours; no lasting record</w:t>
            </w:r>
          </w:p>
        </w:tc>
        <w:tc>
          <w:tcPr>
            <w:tcW w:w="3134" w:type="dxa"/>
            <w:tcBorders>
              <w:top w:val="single" w:sz="1" w:space="0" w:color="AABDD6"/>
              <w:left w:val="single" w:sz="1" w:space="0" w:color="AABDD6"/>
              <w:bottom w:val="single" w:sz="1" w:space="0" w:color="AABDD6"/>
              <w:right w:val="single" w:sz="1" w:space="0" w:color="AABDD6"/>
            </w:tcBorders>
            <w:shd w:val="clear" w:color="auto" w:fill="EDF3FB"/>
            <w:tcMar>
              <w:top w:w="58" w:type="dxa"/>
              <w:left w:w="100" w:type="dxa"/>
              <w:bottom w:w="58" w:type="dxa"/>
              <w:right w:w="100" w:type="dxa"/>
            </w:tcMar>
          </w:tcPr>
          <w:p w14:paraId="0883E0DA" w14:textId="77777777" w:rsidR="005D3F0E" w:rsidRDefault="00000000">
            <w:pPr>
              <w:spacing w:line="228" w:lineRule="auto"/>
            </w:pPr>
            <w:r>
              <w:rPr>
                <w:sz w:val="16"/>
                <w:szCs w:val="16"/>
              </w:rPr>
              <w:t>Available at any time; maintains a permanent medication profile</w:t>
            </w:r>
          </w:p>
        </w:tc>
      </w:tr>
    </w:tbl>
    <w:p w14:paraId="627ADE6A" w14:textId="77777777" w:rsidR="005D3F0E" w:rsidRDefault="005D3F0E">
      <w:pPr>
        <w:spacing w:before="15" w:line="228" w:lineRule="auto"/>
      </w:pPr>
    </w:p>
    <w:p w14:paraId="1EB36A24" w14:textId="77777777" w:rsidR="005D3F0E" w:rsidRDefault="00000000">
      <w:pPr>
        <w:spacing w:before="35" w:after="28" w:line="228" w:lineRule="auto"/>
      </w:pPr>
      <w:r>
        <w:rPr>
          <w:b/>
          <w:bCs/>
        </w:rPr>
        <w:t xml:space="preserve">The gap. </w:t>
      </w:r>
      <w:r>
        <w:t>None of these tools do all three things together: read a prescription automatically, store medications from multiple doctors in one place, and explain interaction risks in language a non-expert can act on.</w:t>
      </w:r>
    </w:p>
    <w:p w14:paraId="63FBB48D" w14:textId="77777777" w:rsidR="005D3F0E" w:rsidRDefault="005D3F0E">
      <w:pPr>
        <w:spacing w:before="20" w:line="228" w:lineRule="auto"/>
      </w:pPr>
    </w:p>
    <w:p w14:paraId="4A4A7E62" w14:textId="77777777" w:rsidR="005D3F0E" w:rsidRDefault="00000000">
      <w:pPr>
        <w:spacing w:before="110" w:after="50" w:line="228" w:lineRule="auto"/>
      </w:pPr>
      <w:r>
        <w:rPr>
          <w:b/>
          <w:bCs/>
          <w:color w:val="2C5F9E"/>
          <w:sz w:val="21"/>
          <w:szCs w:val="21"/>
        </w:rPr>
        <w:t>1C. Product Scope &amp; Differentiation</w:t>
      </w:r>
    </w:p>
    <w:p w14:paraId="26DF446E" w14:textId="77777777" w:rsidR="005D3F0E" w:rsidRDefault="00000000">
      <w:pPr>
        <w:spacing w:before="35" w:after="28" w:line="228" w:lineRule="auto"/>
      </w:pPr>
      <w:r>
        <w:rPr>
          <w:b/>
          <w:bCs/>
        </w:rPr>
        <w:t xml:space="preserve">What </w:t>
      </w:r>
      <w:proofErr w:type="spellStart"/>
      <w:r>
        <w:rPr>
          <w:b/>
          <w:bCs/>
        </w:rPr>
        <w:t>PolySafe</w:t>
      </w:r>
      <w:proofErr w:type="spellEnd"/>
      <w:r>
        <w:rPr>
          <w:b/>
          <w:bCs/>
        </w:rPr>
        <w:t xml:space="preserve"> must deliver. </w:t>
      </w:r>
      <w:r>
        <w:t xml:space="preserve">The product needs to do four things. Scan digital prescriptions using OCR and ask the user to confirm the drug names extracted, so silent errors do not go unnoticed. Keep an up-to-date medication profile that covers all active prescriptions regardless of which doctor issued them. Check that profile against a verified interaction database (FDA </w:t>
      </w:r>
      <w:proofErr w:type="spellStart"/>
      <w:r>
        <w:t>OpenFDA</w:t>
      </w:r>
      <w:proofErr w:type="spellEnd"/>
      <w:r>
        <w:t xml:space="preserve"> or </w:t>
      </w:r>
      <w:proofErr w:type="spellStart"/>
      <w:r>
        <w:t>DrugBank</w:t>
      </w:r>
      <w:proofErr w:type="spellEnd"/>
      <w:r>
        <w:t>) and flag risks in plain language. After flagging a risk, direct the user to their pharmacist or doctor rather than leaving them to decide what to do alone.</w:t>
      </w:r>
    </w:p>
    <w:p w14:paraId="5E50E6BB" w14:textId="77777777" w:rsidR="005D3F0E" w:rsidRDefault="005D3F0E">
      <w:pPr>
        <w:spacing w:before="10" w:line="228" w:lineRule="auto"/>
      </w:pPr>
    </w:p>
    <w:p w14:paraId="60B08BAB" w14:textId="77777777" w:rsidR="005D3F0E" w:rsidRDefault="00000000">
      <w:pPr>
        <w:spacing w:before="35" w:after="28" w:line="228" w:lineRule="auto"/>
      </w:pPr>
      <w:r>
        <w:rPr>
          <w:b/>
          <w:bCs/>
        </w:rPr>
        <w:t xml:space="preserve">Out of scope for Phase 3. </w:t>
      </w:r>
      <w:r>
        <w:t>No EHR connectivity, no dosage advice, no scanning of handwritten prescriptions (accuracy is too variable), no OTC or supplement checks, and no generative AI producing its own clinical judgements.</w:t>
      </w:r>
    </w:p>
    <w:p w14:paraId="6FEB02FF" w14:textId="77777777" w:rsidR="005D3F0E" w:rsidRDefault="005D3F0E">
      <w:pPr>
        <w:spacing w:before="20" w:line="228" w:lineRule="auto"/>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5D3F0E" w14:paraId="7585115E" w14:textId="77777777">
        <w:tblPrEx>
          <w:tblCellMar>
            <w:top w:w="0" w:type="dxa"/>
            <w:bottom w:w="0" w:type="dxa"/>
          </w:tblCellMar>
        </w:tblPrEx>
        <w:tc>
          <w:tcPr>
            <w:tcW w:w="10034" w:type="dxa"/>
            <w:tcBorders>
              <w:top w:val="single" w:sz="2" w:space="0" w:color="2C5F9E"/>
              <w:left w:val="single" w:sz="10" w:space="0" w:color="2C5F9E"/>
              <w:bottom w:val="single" w:sz="2" w:space="0" w:color="2C5F9E"/>
              <w:right w:val="none" w:sz="0" w:space="0" w:color="FFFFFF"/>
            </w:tcBorders>
            <w:shd w:val="clear" w:color="auto" w:fill="DCE9F8"/>
            <w:tcMar>
              <w:top w:w="65" w:type="dxa"/>
              <w:left w:w="150" w:type="dxa"/>
              <w:bottom w:w="65" w:type="dxa"/>
              <w:right w:w="110" w:type="dxa"/>
            </w:tcMar>
          </w:tcPr>
          <w:p w14:paraId="25DEF5B6" w14:textId="77777777" w:rsidR="005D3F0E" w:rsidRDefault="00000000">
            <w:pPr>
              <w:spacing w:line="228" w:lineRule="auto"/>
            </w:pPr>
            <w:r>
              <w:rPr>
                <w:b/>
                <w:bCs/>
                <w:color w:val="2C5F9E"/>
                <w:sz w:val="17"/>
                <w:szCs w:val="17"/>
              </w:rPr>
              <w:t xml:space="preserve">ASSUMPTION — HIGH RISK: </w:t>
            </w:r>
            <w:r>
              <w:rPr>
                <w:sz w:val="17"/>
                <w:szCs w:val="17"/>
              </w:rPr>
              <w:t>OCR reads digital prescriptions accurately across different fonts and layouts. Handwritten script scanning has been removed from the MVP because the error rate is too unpredictable. A manual correction step for extracted drug names is a safety requirement, not a feature.</w:t>
            </w:r>
          </w:p>
        </w:tc>
      </w:tr>
    </w:tbl>
    <w:p w14:paraId="0CF84394" w14:textId="77777777" w:rsidR="005D3F0E" w:rsidRDefault="00000000">
      <w:r>
        <w:br w:type="page"/>
      </w:r>
    </w:p>
    <w:p w14:paraId="2B454521" w14:textId="77777777" w:rsidR="005D3F0E" w:rsidRDefault="00000000">
      <w:pPr>
        <w:pBdr>
          <w:bottom w:val="single" w:sz="4" w:space="3" w:color="2C5F9E"/>
        </w:pBdr>
        <w:spacing w:before="140" w:after="70" w:line="228" w:lineRule="auto"/>
      </w:pPr>
      <w:r>
        <w:rPr>
          <w:b/>
          <w:bCs/>
          <w:color w:val="1B3A6B"/>
          <w:sz w:val="24"/>
          <w:szCs w:val="24"/>
        </w:rPr>
        <w:lastRenderedPageBreak/>
        <w:t>2. Business Research</w:t>
      </w:r>
    </w:p>
    <w:p w14:paraId="1B79DDF4" w14:textId="77777777" w:rsidR="005D3F0E" w:rsidRDefault="00000000">
      <w:pPr>
        <w:spacing w:before="110" w:after="50" w:line="228" w:lineRule="auto"/>
      </w:pPr>
      <w:r>
        <w:rPr>
          <w:b/>
          <w:bCs/>
          <w:color w:val="2C5F9E"/>
          <w:sz w:val="21"/>
          <w:szCs w:val="21"/>
        </w:rPr>
        <w:t>2A. Customer &amp; Buyer Dynamics</w:t>
      </w:r>
    </w:p>
    <w:p w14:paraId="2D44A0C0" w14:textId="77777777" w:rsidR="005D3F0E" w:rsidRDefault="00000000">
      <w:pPr>
        <w:spacing w:before="35" w:after="28" w:line="228" w:lineRule="auto"/>
      </w:pPr>
      <w:r>
        <w:rPr>
          <w:b/>
          <w:bCs/>
        </w:rPr>
        <w:t xml:space="preserve">Who uses it versus who pays. </w:t>
      </w:r>
      <w:r>
        <w:t>On the consumer side, the user and payer are usually the same person or a family member paying on a relative’s behalf. On the institutional side, patients and clinical staff use the product but the payment decision sits with a hospital procurement team, a Chief Pharmacy Officer, or an insurer. These two buyer types have different timelines and motivations, and need to be treated as separate sales channels.</w:t>
      </w:r>
    </w:p>
    <w:p w14:paraId="3CD7A7B0" w14:textId="77777777" w:rsidR="005D3F0E" w:rsidRDefault="005D3F0E">
      <w:pPr>
        <w:spacing w:before="10" w:line="228" w:lineRule="auto"/>
      </w:pPr>
    </w:p>
    <w:p w14:paraId="3848DEC8" w14:textId="77777777" w:rsidR="005D3F0E" w:rsidRDefault="00000000">
      <w:pPr>
        <w:spacing w:before="35" w:after="28" w:line="228" w:lineRule="auto"/>
      </w:pPr>
      <w:r>
        <w:rPr>
          <w:b/>
          <w:bCs/>
        </w:rPr>
        <w:t xml:space="preserve">Consumer adoption path. </w:t>
      </w:r>
      <w:r>
        <w:t>Elderly patients are unlikely to discover and set up a new health app independently. The most realistic path to consumer adoption is recommendation at the point of dispensing or at hospital discharge. Caregivers, who are generally more digitally comfortable and more motivated by safety concerns, are the people most likely to install and maintain the app.</w:t>
      </w:r>
    </w:p>
    <w:p w14:paraId="5E97824F" w14:textId="77777777" w:rsidR="005D3F0E" w:rsidRDefault="005D3F0E">
      <w:pPr>
        <w:spacing w:before="10" w:line="228" w:lineRule="auto"/>
      </w:pPr>
    </w:p>
    <w:p w14:paraId="756F00DD" w14:textId="77777777" w:rsidR="005D3F0E" w:rsidRDefault="00000000">
      <w:pPr>
        <w:spacing w:before="35" w:after="28" w:line="228" w:lineRule="auto"/>
      </w:pPr>
      <w:r>
        <w:rPr>
          <w:b/>
          <w:bCs/>
        </w:rPr>
        <w:t xml:space="preserve">Institutional procurement. </w:t>
      </w:r>
      <w:r>
        <w:t>Hospitals buy software slowly. A procurement cycle involving clinical leadership sign-off, IT security review, and compliance assessment typically takes three to twelve months. Getting in the door requires a pilot agreement and, eventually, data showing the product reduced medication errors. Insurers are worth pursuing as a third segment, since they carry the financial exposure for ADE-related readmissions across entire patient populations.</w:t>
      </w:r>
    </w:p>
    <w:p w14:paraId="3E811B44" w14:textId="77777777" w:rsidR="005D3F0E" w:rsidRDefault="005D3F0E">
      <w:pPr>
        <w:spacing w:before="20" w:line="228" w:lineRule="auto"/>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5D3F0E" w14:paraId="6726FCB8" w14:textId="77777777">
        <w:tblPrEx>
          <w:tblCellMar>
            <w:top w:w="0" w:type="dxa"/>
            <w:bottom w:w="0" w:type="dxa"/>
          </w:tblCellMar>
        </w:tblPrEx>
        <w:tc>
          <w:tcPr>
            <w:tcW w:w="10034" w:type="dxa"/>
            <w:tcBorders>
              <w:top w:val="single" w:sz="2" w:space="0" w:color="2C5F9E"/>
              <w:left w:val="single" w:sz="10" w:space="0" w:color="2C5F9E"/>
              <w:bottom w:val="single" w:sz="2" w:space="0" w:color="2C5F9E"/>
              <w:right w:val="none" w:sz="0" w:space="0" w:color="FFFFFF"/>
            </w:tcBorders>
            <w:shd w:val="clear" w:color="auto" w:fill="DCE9F8"/>
            <w:tcMar>
              <w:top w:w="65" w:type="dxa"/>
              <w:left w:w="150" w:type="dxa"/>
              <w:bottom w:w="65" w:type="dxa"/>
              <w:right w:w="110" w:type="dxa"/>
            </w:tcMar>
          </w:tcPr>
          <w:p w14:paraId="79FFD8A4" w14:textId="77777777" w:rsidR="005D3F0E" w:rsidRDefault="00000000">
            <w:pPr>
              <w:spacing w:line="228" w:lineRule="auto"/>
            </w:pPr>
            <w:r>
              <w:rPr>
                <w:b/>
                <w:bCs/>
                <w:color w:val="2C5F9E"/>
                <w:sz w:val="17"/>
                <w:szCs w:val="17"/>
              </w:rPr>
              <w:t xml:space="preserve">ASSUMPTION — Validated (from LMC): </w:t>
            </w:r>
            <w:r>
              <w:rPr>
                <w:sz w:val="17"/>
                <w:szCs w:val="17"/>
              </w:rPr>
              <w:t>B2B licensing is the primary revenue source; B2C subscriptions are secondary. Comparable clinical decision support tools (Micromedex, Epic CDS modules) all rely on institutional contracts. Elderly patients on fixed incomes are not a dependable subscription base.</w:t>
            </w:r>
          </w:p>
        </w:tc>
      </w:tr>
    </w:tbl>
    <w:p w14:paraId="5DBA0379" w14:textId="77777777" w:rsidR="005D3F0E" w:rsidRDefault="005D3F0E">
      <w:pPr>
        <w:spacing w:before="20" w:line="228" w:lineRule="auto"/>
      </w:pPr>
    </w:p>
    <w:p w14:paraId="442410A0" w14:textId="77777777" w:rsidR="005D3F0E" w:rsidRDefault="00000000">
      <w:pPr>
        <w:spacing w:before="110" w:after="50" w:line="228" w:lineRule="auto"/>
      </w:pPr>
      <w:r>
        <w:rPr>
          <w:b/>
          <w:bCs/>
          <w:color w:val="2C5F9E"/>
          <w:sz w:val="21"/>
          <w:szCs w:val="21"/>
        </w:rPr>
        <w:t>2B. Revenue &amp; Cost Logic</w:t>
      </w:r>
    </w:p>
    <w:p w14:paraId="369E9188" w14:textId="77777777" w:rsidR="005D3F0E" w:rsidRDefault="00000000">
      <w:pPr>
        <w:spacing w:before="35" w:after="28" w:line="228" w:lineRule="auto"/>
      </w:pPr>
      <w:r>
        <w:rPr>
          <w:b/>
          <w:bCs/>
        </w:rPr>
        <w:t xml:space="preserve">What comparable products charge. </w:t>
      </w:r>
      <w:r>
        <w:t>Consumer medication apps typically sit in the $3–6/month range (</w:t>
      </w:r>
      <w:proofErr w:type="spellStart"/>
      <w:r>
        <w:t>Medisafe</w:t>
      </w:r>
      <w:proofErr w:type="spellEnd"/>
      <w:r>
        <w:t xml:space="preserve"> Pro is $4.99). Clinical drug database APIs are licensed to institutions at $10,000–$100,000+ per year. Hospital-facing clinical decision support software ranges from $50,000 to $500,000 per year once EHR integration is included. </w:t>
      </w:r>
      <w:proofErr w:type="spellStart"/>
      <w:r>
        <w:t>PolySafe’s</w:t>
      </w:r>
      <w:proofErr w:type="spellEnd"/>
      <w:r>
        <w:t xml:space="preserve"> realistic B2B entry point is $10,000–50,000/year for mid-size pharmacy chains or hospitals, without EHR integration.</w:t>
      </w:r>
    </w:p>
    <w:p w14:paraId="7C41EC37" w14:textId="77777777" w:rsidR="005D3F0E" w:rsidRDefault="005D3F0E">
      <w:pPr>
        <w:spacing w:before="10" w:line="228" w:lineRule="auto"/>
      </w:pPr>
    </w:p>
    <w:p w14:paraId="080FE3B5" w14:textId="77777777" w:rsidR="005D3F0E" w:rsidRDefault="00000000">
      <w:pPr>
        <w:spacing w:before="35" w:after="28" w:line="228" w:lineRule="auto"/>
      </w:pPr>
      <w:r>
        <w:rPr>
          <w:b/>
          <w:bCs/>
        </w:rPr>
        <w:t xml:space="preserve">Why institutions would pay. </w:t>
      </w:r>
      <w:r>
        <w:t>One preventable ADE adds an average of 3.1 days to a hospital stay and more than $3,000 in direct costs (AHRQ, 2024). A hospital preventing 50 such events per year saves over $150,000 — substantially more than the annual licensing cost. That ROI case is concrete and straightforward to make. Insurers face the same logic at greater scale.</w:t>
      </w:r>
    </w:p>
    <w:p w14:paraId="649F559E" w14:textId="77777777" w:rsidR="005D3F0E" w:rsidRDefault="005D3F0E">
      <w:pPr>
        <w:spacing w:before="10" w:line="228" w:lineRule="auto"/>
      </w:pPr>
    </w:p>
    <w:p w14:paraId="4FA47773" w14:textId="77777777" w:rsidR="005D3F0E" w:rsidRDefault="00000000">
      <w:pPr>
        <w:spacing w:before="35" w:after="28" w:line="228" w:lineRule="auto"/>
      </w:pPr>
      <w:r>
        <w:rPr>
          <w:b/>
          <w:bCs/>
        </w:rPr>
        <w:t xml:space="preserve">Main cost drivers. </w:t>
      </w:r>
      <w:r>
        <w:t xml:space="preserve">Building and training the OCR model is the largest upfront cost. Drug database licensing is the key ongoing variable: FDA </w:t>
      </w:r>
      <w:proofErr w:type="spellStart"/>
      <w:r>
        <w:t>OpenFDA</w:t>
      </w:r>
      <w:proofErr w:type="spellEnd"/>
      <w:r>
        <w:t xml:space="preserve"> is free, while </w:t>
      </w:r>
      <w:proofErr w:type="spellStart"/>
      <w:r>
        <w:t>DrugBank’s</w:t>
      </w:r>
      <w:proofErr w:type="spellEnd"/>
      <w:r>
        <w:t xml:space="preserve"> commercial API is not. Regulatory compliance (HIPAA, GDPR, and local equivalents) adds legal and engineering overhead throughout. Cloud infrastructure, security audits, and cross-platform mobile maintenance follow from there.</w:t>
      </w:r>
    </w:p>
    <w:p w14:paraId="73874393" w14:textId="77777777" w:rsidR="005D3F0E" w:rsidRDefault="005D3F0E">
      <w:pPr>
        <w:spacing w:before="20" w:line="228" w:lineRule="auto"/>
      </w:pPr>
    </w:p>
    <w:p w14:paraId="27386593" w14:textId="77777777" w:rsidR="005D3F0E" w:rsidRDefault="00000000">
      <w:pPr>
        <w:spacing w:before="110" w:after="50" w:line="228" w:lineRule="auto"/>
      </w:pPr>
      <w:r>
        <w:rPr>
          <w:b/>
          <w:bCs/>
          <w:color w:val="2C5F9E"/>
          <w:sz w:val="21"/>
          <w:szCs w:val="21"/>
        </w:rPr>
        <w:t>2C. Business Risks &amp; Constraints</w:t>
      </w:r>
    </w:p>
    <w:p w14:paraId="399D85F4" w14:textId="77777777" w:rsidR="005D3F0E" w:rsidRDefault="00000000">
      <w:pPr>
        <w:pStyle w:val="ListParagraph"/>
        <w:numPr>
          <w:ilvl w:val="0"/>
          <w:numId w:val="2"/>
        </w:numPr>
        <w:spacing w:before="25" w:after="22" w:line="228" w:lineRule="auto"/>
      </w:pPr>
      <w:r>
        <w:rPr>
          <w:b/>
          <w:bCs/>
        </w:rPr>
        <w:t xml:space="preserve">Operational risk: </w:t>
      </w:r>
      <w:r>
        <w:t>OCR extraction errors create the most dangerous failure mode. A missed interaction because a drug name was misread gives the user false reassurance, which is worse than no check at all. Manual confirmation of extracted names cannot be removed from the product.</w:t>
      </w:r>
    </w:p>
    <w:p w14:paraId="6B28BB67" w14:textId="77777777" w:rsidR="005D3F0E" w:rsidRDefault="00000000">
      <w:pPr>
        <w:pStyle w:val="ListParagraph"/>
        <w:numPr>
          <w:ilvl w:val="0"/>
          <w:numId w:val="2"/>
        </w:numPr>
        <w:spacing w:before="25" w:after="22" w:line="228" w:lineRule="auto"/>
      </w:pPr>
      <w:r>
        <w:rPr>
          <w:b/>
          <w:bCs/>
        </w:rPr>
        <w:t xml:space="preserve">Data coverage: </w:t>
      </w:r>
      <w:r>
        <w:t>No single drug database covers every generic name, regional brand, and OTC medicine globally. Interaction blind spots are unavoidable until a multi-source database strategy is in place.</w:t>
      </w:r>
    </w:p>
    <w:p w14:paraId="14AA4F7D" w14:textId="77777777" w:rsidR="005D3F0E" w:rsidRDefault="00000000">
      <w:pPr>
        <w:pStyle w:val="ListParagraph"/>
        <w:numPr>
          <w:ilvl w:val="0"/>
          <w:numId w:val="2"/>
        </w:numPr>
        <w:spacing w:before="25" w:after="22" w:line="228" w:lineRule="auto"/>
      </w:pPr>
      <w:r>
        <w:rPr>
          <w:b/>
          <w:bCs/>
        </w:rPr>
        <w:t xml:space="preserve">Liability: </w:t>
      </w:r>
      <w:r>
        <w:t>Users may treat alerts as a substitute for professional advice. All outputs need a clear instruction to speak to a pharmacist alongside the risk flag.</w:t>
      </w:r>
    </w:p>
    <w:p w14:paraId="64B825A1" w14:textId="77777777" w:rsidR="005D3F0E" w:rsidRDefault="00000000">
      <w:pPr>
        <w:pStyle w:val="ListParagraph"/>
        <w:numPr>
          <w:ilvl w:val="0"/>
          <w:numId w:val="2"/>
        </w:numPr>
        <w:spacing w:before="25" w:after="22" w:line="228" w:lineRule="auto"/>
      </w:pPr>
      <w:r>
        <w:rPr>
          <w:b/>
          <w:bCs/>
        </w:rPr>
        <w:t xml:space="preserve">Regulatory: </w:t>
      </w:r>
      <w:r>
        <w:t xml:space="preserve">If outputs start to resemble clinical recommendations, </w:t>
      </w:r>
      <w:proofErr w:type="spellStart"/>
      <w:r>
        <w:t>PolySafe</w:t>
      </w:r>
      <w:proofErr w:type="spellEnd"/>
      <w:r>
        <w:t xml:space="preserve"> risks being classified as a Software as a Medical Device (SaMD) under FDA rules (2025 AI/ML draft guidance), EU CE marking, or equivalent frameworks, triggering an expensive regulatory pathway.</w:t>
      </w:r>
    </w:p>
    <w:p w14:paraId="07888CAD" w14:textId="77777777" w:rsidR="005D3F0E" w:rsidRDefault="00000000">
      <w:pPr>
        <w:pStyle w:val="ListParagraph"/>
        <w:numPr>
          <w:ilvl w:val="0"/>
          <w:numId w:val="2"/>
        </w:numPr>
        <w:spacing w:before="25" w:after="22" w:line="228" w:lineRule="auto"/>
      </w:pPr>
      <w:r>
        <w:rPr>
          <w:b/>
          <w:bCs/>
        </w:rPr>
        <w:t xml:space="preserve">Data privacy: </w:t>
      </w:r>
      <w:r>
        <w:t>Medication data is among the most sensitive personal information. HIPAA, GDPR, PDPA, and local equivalents all apply. Some markets may require data to be stored locally.</w:t>
      </w:r>
    </w:p>
    <w:p w14:paraId="1C896DA4" w14:textId="77777777" w:rsidR="005D3F0E" w:rsidRDefault="005D3F0E">
      <w:pPr>
        <w:spacing w:before="20" w:line="228" w:lineRule="auto"/>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5D3F0E" w14:paraId="31945E79" w14:textId="77777777">
        <w:tblPrEx>
          <w:tblCellMar>
            <w:top w:w="0" w:type="dxa"/>
            <w:bottom w:w="0" w:type="dxa"/>
          </w:tblCellMar>
        </w:tblPrEx>
        <w:tc>
          <w:tcPr>
            <w:tcW w:w="10034" w:type="dxa"/>
            <w:tcBorders>
              <w:top w:val="single" w:sz="2" w:space="0" w:color="2C5F9E"/>
              <w:left w:val="single" w:sz="10" w:space="0" w:color="2C5F9E"/>
              <w:bottom w:val="single" w:sz="2" w:space="0" w:color="2C5F9E"/>
              <w:right w:val="none" w:sz="0" w:space="0" w:color="FFFFFF"/>
            </w:tcBorders>
            <w:shd w:val="clear" w:color="auto" w:fill="DCE9F8"/>
            <w:tcMar>
              <w:top w:w="65" w:type="dxa"/>
              <w:left w:w="150" w:type="dxa"/>
              <w:bottom w:w="65" w:type="dxa"/>
              <w:right w:w="110" w:type="dxa"/>
            </w:tcMar>
          </w:tcPr>
          <w:p w14:paraId="5F3FE72C" w14:textId="77777777" w:rsidR="005D3F0E" w:rsidRDefault="00000000">
            <w:pPr>
              <w:spacing w:line="228" w:lineRule="auto"/>
            </w:pPr>
            <w:r>
              <w:rPr>
                <w:b/>
                <w:bCs/>
                <w:color w:val="2C5F9E"/>
                <w:sz w:val="17"/>
                <w:szCs w:val="17"/>
              </w:rPr>
              <w:t xml:space="preserve">ASSUMPTION — HIGH RISK: </w:t>
            </w:r>
            <w:r>
              <w:rPr>
                <w:sz w:val="17"/>
                <w:szCs w:val="17"/>
              </w:rPr>
              <w:t>Describing the product as a wellness tool will keep it outside SaMD classification in all target markets. This is plausible but not guaranteed. Rules differ by country and are actively changing (EU AI Act 2024; FDA draft 2025). A legal review is required before any public-facing claims are made.</w:t>
            </w:r>
          </w:p>
        </w:tc>
      </w:tr>
    </w:tbl>
    <w:p w14:paraId="23F9197B" w14:textId="77777777" w:rsidR="005D3F0E" w:rsidRDefault="00000000">
      <w:r>
        <w:br w:type="page"/>
      </w:r>
    </w:p>
    <w:p w14:paraId="26534F23" w14:textId="77777777" w:rsidR="005D3F0E" w:rsidRDefault="00000000">
      <w:pPr>
        <w:pBdr>
          <w:bottom w:val="single" w:sz="4" w:space="3" w:color="2C5F9E"/>
        </w:pBdr>
        <w:spacing w:before="140" w:after="70" w:line="228" w:lineRule="auto"/>
      </w:pPr>
      <w:r>
        <w:rPr>
          <w:b/>
          <w:bCs/>
          <w:color w:val="1B3A6B"/>
          <w:sz w:val="24"/>
          <w:szCs w:val="24"/>
        </w:rPr>
        <w:lastRenderedPageBreak/>
        <w:t>3. Market / Industry Research</w:t>
      </w:r>
    </w:p>
    <w:p w14:paraId="650FC82E" w14:textId="77777777" w:rsidR="005D3F0E" w:rsidRDefault="00000000">
      <w:pPr>
        <w:spacing w:before="110" w:after="50" w:line="228" w:lineRule="auto"/>
      </w:pPr>
      <w:r>
        <w:rPr>
          <w:b/>
          <w:bCs/>
          <w:color w:val="2C5F9E"/>
          <w:sz w:val="21"/>
          <w:szCs w:val="21"/>
        </w:rPr>
        <w:t>3A. Market Context</w:t>
      </w:r>
    </w:p>
    <w:p w14:paraId="297F7E14" w14:textId="77777777" w:rsidR="005D3F0E" w:rsidRDefault="00000000">
      <w:pPr>
        <w:spacing w:before="35" w:after="28" w:line="228" w:lineRule="auto"/>
      </w:pPr>
      <w:r>
        <w:rPr>
          <w:b/>
          <w:bCs/>
        </w:rPr>
        <w:t xml:space="preserve">Who this market covers. </w:t>
      </w:r>
      <w:r>
        <w:t>The addressable population starts with people who already take five or more medications daily: 37% of the general population and around 45% of adults over 65. That age group numbered 703 million in 2019 and is projected to reach 1.5 billion by 2050 (WHO). On the institutional side, the buyers are hospitals, pharmacy chains, and health insurers across North America, Europe, and Asia-Pacific, all of whom bear financial and clinical exposure to preventable medication errors.</w:t>
      </w:r>
    </w:p>
    <w:p w14:paraId="1B14984A" w14:textId="77777777" w:rsidR="005D3F0E" w:rsidRDefault="005D3F0E">
      <w:pPr>
        <w:spacing w:before="10" w:line="228" w:lineRule="auto"/>
      </w:pPr>
    </w:p>
    <w:p w14:paraId="00230C41" w14:textId="77777777" w:rsidR="005D3F0E" w:rsidRDefault="00000000">
      <w:pPr>
        <w:spacing w:before="35" w:after="28" w:line="228" w:lineRule="auto"/>
      </w:pPr>
      <w:r>
        <w:rPr>
          <w:b/>
          <w:bCs/>
        </w:rPr>
        <w:t xml:space="preserve">Market size. </w:t>
      </w:r>
      <w:r>
        <w:t xml:space="preserve">The global Medication Management System market was valued at USD 7.70 billion in 2024, forecast at USD 12.79 billion by 2030 at 8.8% annual growth (Grand View Research, 2024). Consumer medication apps are growing faster, projected to reach USD 4.2 billion by 2030 at 17.8% per year (Verified Market Reports, 2025). The drug reference app category, </w:t>
      </w:r>
      <w:proofErr w:type="spellStart"/>
      <w:r>
        <w:t>PolySafe’s</w:t>
      </w:r>
      <w:proofErr w:type="spellEnd"/>
      <w:r>
        <w:t xml:space="preserve"> closest analogue, stood at USD 1.30 billion in 2024 and is forecast at USD 2.84 billion by 2033; the drug-interaction sub-segment within it is growing at the fastest rate (Grand View Research, 2025).</w:t>
      </w:r>
    </w:p>
    <w:p w14:paraId="5B99C405" w14:textId="77777777" w:rsidR="005D3F0E" w:rsidRDefault="005D3F0E">
      <w:pPr>
        <w:spacing w:before="10" w:line="228" w:lineRule="auto"/>
      </w:pPr>
    </w:p>
    <w:p w14:paraId="3501ECAE" w14:textId="77777777" w:rsidR="005D3F0E" w:rsidRDefault="00000000">
      <w:pPr>
        <w:spacing w:before="35" w:after="28" w:line="228" w:lineRule="auto"/>
      </w:pPr>
      <w:r>
        <w:rPr>
          <w:b/>
          <w:bCs/>
        </w:rPr>
        <w:t xml:space="preserve">Why now. </w:t>
      </w:r>
      <w:r>
        <w:t xml:space="preserve">AI investment in medication safety accelerated in 2024: SmithRx raised $60M Series C and NVIDIA launched purpose-built healthcare AI microservices. Post-pandemic, digital health adoption among older users is measurably higher than in 2019. The WHO’s Medication Without Harm </w:t>
      </w:r>
      <w:proofErr w:type="spellStart"/>
      <w:r>
        <w:t>programme</w:t>
      </w:r>
      <w:proofErr w:type="spellEnd"/>
      <w:r>
        <w:t xml:space="preserve"> has made polypharmacy safety a formal policy priority. The demographic and regulatory conditions are well-aligned.</w:t>
      </w:r>
    </w:p>
    <w:p w14:paraId="25E1908D" w14:textId="77777777" w:rsidR="005D3F0E" w:rsidRDefault="005D3F0E">
      <w:pPr>
        <w:spacing w:before="20" w:line="228" w:lineRule="auto"/>
      </w:pPr>
    </w:p>
    <w:p w14:paraId="597333AF" w14:textId="77777777" w:rsidR="005D3F0E" w:rsidRDefault="00000000">
      <w:pPr>
        <w:spacing w:before="110" w:after="50" w:line="228" w:lineRule="auto"/>
      </w:pPr>
      <w:r>
        <w:rPr>
          <w:b/>
          <w:bCs/>
          <w:color w:val="2C5F9E"/>
          <w:sz w:val="21"/>
          <w:szCs w:val="21"/>
        </w:rPr>
        <w:t>3B. Competitive Landscape</w:t>
      </w:r>
    </w:p>
    <w:p w14:paraId="33929ED6" w14:textId="77777777" w:rsidR="005D3F0E" w:rsidRDefault="00000000">
      <w:pPr>
        <w:spacing w:before="35" w:after="28" w:line="228" w:lineRule="auto"/>
      </w:pPr>
      <w:r>
        <w:rPr>
          <w:b/>
          <w:bCs/>
        </w:rPr>
        <w:t xml:space="preserve">Who wins today and why. </w:t>
      </w:r>
      <w:r>
        <w:t xml:space="preserve">Drugs.com and WebMD own the browser-based drug lookup market through first-mover advantage, large databases, and a free service. </w:t>
      </w:r>
      <w:proofErr w:type="spellStart"/>
      <w:r>
        <w:t>Medisafe</w:t>
      </w:r>
      <w:proofErr w:type="spellEnd"/>
      <w:r>
        <w:t xml:space="preserve"> leads for patients who want reminders rather than interaction analysis. Pharmacists remain the most trusted source of medication advice, though only as complete as the list the patient brings in. EHR-embedded decision tools like Epic’s CDS module serve clinicians well, but patients see none of that output. The elderly patient holding prescriptions from four different doctors, with no idea whether those medications work safely together, is not served by any of these.</w:t>
      </w:r>
    </w:p>
    <w:p w14:paraId="1AE43E8D" w14:textId="77777777" w:rsidR="005D3F0E" w:rsidRDefault="005D3F0E">
      <w:pPr>
        <w:spacing w:before="10" w:line="228" w:lineRule="auto"/>
      </w:pPr>
    </w:p>
    <w:p w14:paraId="414073A6" w14:textId="77777777" w:rsidR="005D3F0E" w:rsidRDefault="00000000">
      <w:pPr>
        <w:spacing w:before="35" w:after="28" w:line="228" w:lineRule="auto"/>
      </w:pPr>
      <w:r>
        <w:rPr>
          <w:b/>
          <w:bCs/>
        </w:rPr>
        <w:t xml:space="preserve">Where the gaps are. </w:t>
      </w:r>
      <w:r>
        <w:t xml:space="preserve">The biggest competitor </w:t>
      </w:r>
      <w:proofErr w:type="spellStart"/>
      <w:r>
        <w:t>PolySafe</w:t>
      </w:r>
      <w:proofErr w:type="spellEnd"/>
      <w:r>
        <w:t xml:space="preserve"> faces is not a product. Most of the target population does nothing, keeping a paper list or relying on memory. No existing tool reads prescriptions automatically, holds them together in one profile, and explains the risks in language that does not require a pharmacy degree. That is a fundamentally different starting point, not a minor feature gap. General AI assistants (ChatGPT, Gemini) are also an emerging substitute: people already ask them about drug interactions. These tools disclaim all clinical responsibility and can produce inaccurate answers, but their adoption confirms both the demand and the appetite for an AI-based interface.</w:t>
      </w:r>
    </w:p>
    <w:p w14:paraId="60A18BA2" w14:textId="77777777" w:rsidR="005D3F0E" w:rsidRDefault="005D3F0E">
      <w:pPr>
        <w:spacing w:before="20" w:line="228" w:lineRule="auto"/>
      </w:pPr>
    </w:p>
    <w:p w14:paraId="3076A802" w14:textId="77777777" w:rsidR="005D3F0E" w:rsidRDefault="00000000">
      <w:pPr>
        <w:spacing w:before="110" w:after="50" w:line="228" w:lineRule="auto"/>
      </w:pPr>
      <w:r>
        <w:rPr>
          <w:b/>
          <w:bCs/>
          <w:color w:val="2C5F9E"/>
          <w:sz w:val="21"/>
          <w:szCs w:val="21"/>
        </w:rPr>
        <w:t>3C. Structural Barriers</w:t>
      </w:r>
    </w:p>
    <w:p w14:paraId="53182C9E" w14:textId="77777777" w:rsidR="005D3F0E" w:rsidRDefault="00000000">
      <w:pPr>
        <w:spacing w:before="35" w:after="28" w:line="228" w:lineRule="auto"/>
      </w:pPr>
      <w:r>
        <w:rPr>
          <w:b/>
          <w:bCs/>
        </w:rPr>
        <w:t xml:space="preserve">Switching costs. </w:t>
      </w:r>
      <w:r>
        <w:t>For individual users, switching apps takes minutes. For hospitals and pharmacies, switching a clinical workflow tool involves data migration, clinical revalidation, and procurement cycles, which means a long initial sales process but a stable relationship once established.</w:t>
      </w:r>
    </w:p>
    <w:p w14:paraId="617485B5" w14:textId="77777777" w:rsidR="005D3F0E" w:rsidRDefault="005D3F0E">
      <w:pPr>
        <w:spacing w:before="10" w:line="228" w:lineRule="auto"/>
      </w:pPr>
    </w:p>
    <w:p w14:paraId="4E3A6890" w14:textId="77777777" w:rsidR="005D3F0E" w:rsidRDefault="00000000">
      <w:pPr>
        <w:spacing w:before="35" w:after="28" w:line="228" w:lineRule="auto"/>
      </w:pPr>
      <w:r>
        <w:rPr>
          <w:b/>
          <w:bCs/>
        </w:rPr>
        <w:t xml:space="preserve">Regulatory barriers. </w:t>
      </w:r>
      <w:r>
        <w:t xml:space="preserve">HIPAA, GDPR, and the SaMD classification frameworks create compliance costs that are prohibitive for small underfunded competitors. These same requirements apply to </w:t>
      </w:r>
      <w:proofErr w:type="spellStart"/>
      <w:r>
        <w:t>PolySafe</w:t>
      </w:r>
      <w:proofErr w:type="spellEnd"/>
      <w:r>
        <w:t xml:space="preserve">, but meeting them early creates a defensible barrier once achieved. Data </w:t>
      </w:r>
      <w:proofErr w:type="spellStart"/>
      <w:r>
        <w:t>localisation</w:t>
      </w:r>
      <w:proofErr w:type="spellEnd"/>
      <w:r>
        <w:t xml:space="preserve"> requirements in the EU, Southeast Asia, and China may require separate infrastructure per region.</w:t>
      </w:r>
    </w:p>
    <w:p w14:paraId="31CA4729" w14:textId="77777777" w:rsidR="005D3F0E" w:rsidRDefault="005D3F0E">
      <w:pPr>
        <w:spacing w:before="10" w:line="228" w:lineRule="auto"/>
      </w:pPr>
    </w:p>
    <w:p w14:paraId="3818CA7C" w14:textId="77777777" w:rsidR="005D3F0E" w:rsidRDefault="00000000">
      <w:pPr>
        <w:spacing w:before="35" w:after="28" w:line="228" w:lineRule="auto"/>
      </w:pPr>
      <w:proofErr w:type="spellStart"/>
      <w:r>
        <w:rPr>
          <w:b/>
          <w:bCs/>
        </w:rPr>
        <w:t>Organisational</w:t>
      </w:r>
      <w:proofErr w:type="spellEnd"/>
      <w:r>
        <w:rPr>
          <w:b/>
          <w:bCs/>
        </w:rPr>
        <w:t xml:space="preserve"> resistance. </w:t>
      </w:r>
      <w:r>
        <w:t>Some doctors will resist a patient-facing tool that flags their prescriptions as a potential risk. Pharmacy chains have existing data partnerships that take time to displace. Patients and caregivers are unlikely to trust an unfamiliar AI safety tool until a clinician they already know recommends it. Getting that endorsement is a go-to-market challenge that sits alongside the product development challenge.</w:t>
      </w:r>
    </w:p>
    <w:p w14:paraId="2A1CC1AD" w14:textId="77777777" w:rsidR="005D3F0E" w:rsidRDefault="005D3F0E">
      <w:pPr>
        <w:spacing w:before="30" w:line="228" w:lineRule="auto"/>
      </w:pPr>
    </w:p>
    <w:p w14:paraId="2C3EE064" w14:textId="77777777" w:rsidR="005D3F0E" w:rsidRDefault="00000000">
      <w:pPr>
        <w:pBdr>
          <w:bottom w:val="single" w:sz="4" w:space="3" w:color="2C5F9E"/>
        </w:pBdr>
        <w:spacing w:before="140" w:after="70" w:line="228" w:lineRule="auto"/>
      </w:pPr>
      <w:r>
        <w:rPr>
          <w:b/>
          <w:bCs/>
          <w:color w:val="1B3A6B"/>
          <w:sz w:val="24"/>
          <w:szCs w:val="24"/>
        </w:rPr>
        <w:t>4. Economic Research (Macro-Risks)</w:t>
      </w: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3720"/>
        <w:gridCol w:w="4374"/>
      </w:tblGrid>
      <w:tr w:rsidR="005D3F0E" w14:paraId="37A31427" w14:textId="77777777">
        <w:tblPrEx>
          <w:tblCellMar>
            <w:top w:w="0" w:type="dxa"/>
            <w:bottom w:w="0" w:type="dxa"/>
          </w:tblCellMar>
        </w:tblPrEx>
        <w:tc>
          <w:tcPr>
            <w:tcW w:w="1940" w:type="dxa"/>
            <w:tcBorders>
              <w:top w:val="single" w:sz="1" w:space="0" w:color="AABDD6"/>
              <w:left w:val="single" w:sz="1" w:space="0" w:color="AABDD6"/>
              <w:bottom w:val="single" w:sz="1" w:space="0" w:color="AABDD6"/>
              <w:right w:val="single" w:sz="1" w:space="0" w:color="AABDD6"/>
            </w:tcBorders>
            <w:shd w:val="clear" w:color="auto" w:fill="1B3A6B"/>
            <w:tcMar>
              <w:top w:w="48" w:type="dxa"/>
              <w:left w:w="95" w:type="dxa"/>
              <w:bottom w:w="48" w:type="dxa"/>
              <w:right w:w="95" w:type="dxa"/>
            </w:tcMar>
          </w:tcPr>
          <w:p w14:paraId="03332E4E" w14:textId="77777777" w:rsidR="005D3F0E" w:rsidRDefault="00000000">
            <w:r>
              <w:rPr>
                <w:b/>
                <w:bCs/>
                <w:color w:val="FFFFFF"/>
                <w:sz w:val="17"/>
                <w:szCs w:val="17"/>
              </w:rPr>
              <w:t>Macro Factor</w:t>
            </w:r>
          </w:p>
        </w:tc>
        <w:tc>
          <w:tcPr>
            <w:tcW w:w="3720" w:type="dxa"/>
            <w:tcBorders>
              <w:top w:val="single" w:sz="1" w:space="0" w:color="AABDD6"/>
              <w:left w:val="single" w:sz="1" w:space="0" w:color="AABDD6"/>
              <w:bottom w:val="single" w:sz="1" w:space="0" w:color="AABDD6"/>
              <w:right w:val="single" w:sz="1" w:space="0" w:color="AABDD6"/>
            </w:tcBorders>
            <w:shd w:val="clear" w:color="auto" w:fill="1B3A6B"/>
            <w:tcMar>
              <w:top w:w="48" w:type="dxa"/>
              <w:left w:w="95" w:type="dxa"/>
              <w:bottom w:w="48" w:type="dxa"/>
              <w:right w:w="95" w:type="dxa"/>
            </w:tcMar>
          </w:tcPr>
          <w:p w14:paraId="5D840EDF" w14:textId="77777777" w:rsidR="005D3F0E" w:rsidRDefault="00000000">
            <w:r>
              <w:rPr>
                <w:b/>
                <w:bCs/>
                <w:color w:val="FFFFFF"/>
                <w:sz w:val="17"/>
                <w:szCs w:val="17"/>
              </w:rPr>
              <w:t xml:space="preserve">Impact on </w:t>
            </w:r>
            <w:proofErr w:type="spellStart"/>
            <w:r>
              <w:rPr>
                <w:b/>
                <w:bCs/>
                <w:color w:val="FFFFFF"/>
                <w:sz w:val="17"/>
                <w:szCs w:val="17"/>
              </w:rPr>
              <w:t>PolySafe</w:t>
            </w:r>
            <w:proofErr w:type="spellEnd"/>
          </w:p>
        </w:tc>
        <w:tc>
          <w:tcPr>
            <w:tcW w:w="4374" w:type="dxa"/>
            <w:tcBorders>
              <w:top w:val="single" w:sz="1" w:space="0" w:color="AABDD6"/>
              <w:left w:val="single" w:sz="1" w:space="0" w:color="AABDD6"/>
              <w:bottom w:val="single" w:sz="1" w:space="0" w:color="AABDD6"/>
              <w:right w:val="single" w:sz="1" w:space="0" w:color="AABDD6"/>
            </w:tcBorders>
            <w:shd w:val="clear" w:color="auto" w:fill="1B3A6B"/>
            <w:tcMar>
              <w:top w:w="48" w:type="dxa"/>
              <w:left w:w="95" w:type="dxa"/>
              <w:bottom w:w="48" w:type="dxa"/>
              <w:right w:w="95" w:type="dxa"/>
            </w:tcMar>
          </w:tcPr>
          <w:p w14:paraId="2E3B651F" w14:textId="77777777" w:rsidR="005D3F0E" w:rsidRDefault="00000000">
            <w:r>
              <w:rPr>
                <w:b/>
                <w:bCs/>
                <w:color w:val="FFFFFF"/>
                <w:sz w:val="17"/>
                <w:szCs w:val="17"/>
              </w:rPr>
              <w:t>Mitigation</w:t>
            </w:r>
          </w:p>
        </w:tc>
      </w:tr>
      <w:tr w:rsidR="005D3F0E" w14:paraId="0CCF3D4B" w14:textId="77777777">
        <w:tblPrEx>
          <w:tblCellMar>
            <w:top w:w="0" w:type="dxa"/>
            <w:bottom w:w="0" w:type="dxa"/>
          </w:tblCellMar>
        </w:tblPrEx>
        <w:tc>
          <w:tcPr>
            <w:tcW w:w="1940" w:type="dxa"/>
            <w:tcBorders>
              <w:top w:val="single" w:sz="1" w:space="0" w:color="AABDD6"/>
              <w:left w:val="single" w:sz="1" w:space="0" w:color="AABDD6"/>
              <w:bottom w:val="single" w:sz="1" w:space="0" w:color="AABDD6"/>
              <w:right w:val="single" w:sz="1" w:space="0" w:color="AABDD6"/>
            </w:tcBorders>
            <w:shd w:val="clear" w:color="auto" w:fill="FFFFFF"/>
            <w:tcMar>
              <w:top w:w="44" w:type="dxa"/>
              <w:left w:w="95" w:type="dxa"/>
              <w:bottom w:w="44" w:type="dxa"/>
              <w:right w:w="95" w:type="dxa"/>
            </w:tcMar>
          </w:tcPr>
          <w:p w14:paraId="0648F75C" w14:textId="77777777" w:rsidR="005D3F0E" w:rsidRDefault="00000000">
            <w:r>
              <w:rPr>
                <w:sz w:val="16"/>
                <w:szCs w:val="16"/>
              </w:rPr>
              <w:t>Aging global population</w:t>
            </w:r>
          </w:p>
        </w:tc>
        <w:tc>
          <w:tcPr>
            <w:tcW w:w="3720" w:type="dxa"/>
            <w:tcBorders>
              <w:top w:val="single" w:sz="1" w:space="0" w:color="AABDD6"/>
              <w:left w:val="single" w:sz="1" w:space="0" w:color="AABDD6"/>
              <w:bottom w:val="single" w:sz="1" w:space="0" w:color="AABDD6"/>
              <w:right w:val="single" w:sz="1" w:space="0" w:color="AABDD6"/>
            </w:tcBorders>
            <w:shd w:val="clear" w:color="auto" w:fill="FFFFFF"/>
            <w:tcMar>
              <w:top w:w="44" w:type="dxa"/>
              <w:left w:w="95" w:type="dxa"/>
              <w:bottom w:w="44" w:type="dxa"/>
              <w:right w:w="95" w:type="dxa"/>
            </w:tcMar>
          </w:tcPr>
          <w:p w14:paraId="38463A12" w14:textId="77777777" w:rsidR="005D3F0E" w:rsidRDefault="00000000">
            <w:r>
              <w:rPr>
                <w:sz w:val="16"/>
                <w:szCs w:val="16"/>
              </w:rPr>
              <w:t>65+ population doubles to 1.5B by 2050; polypharmacy prevalence grows with it</w:t>
            </w:r>
          </w:p>
        </w:tc>
        <w:tc>
          <w:tcPr>
            <w:tcW w:w="4374" w:type="dxa"/>
            <w:tcBorders>
              <w:top w:val="single" w:sz="1" w:space="0" w:color="AABDD6"/>
              <w:left w:val="single" w:sz="1" w:space="0" w:color="AABDD6"/>
              <w:bottom w:val="single" w:sz="1" w:space="0" w:color="AABDD6"/>
              <w:right w:val="single" w:sz="1" w:space="0" w:color="AABDD6"/>
            </w:tcBorders>
            <w:shd w:val="clear" w:color="auto" w:fill="FFFFFF"/>
            <w:tcMar>
              <w:top w:w="44" w:type="dxa"/>
              <w:left w:w="95" w:type="dxa"/>
              <w:bottom w:w="44" w:type="dxa"/>
              <w:right w:w="95" w:type="dxa"/>
            </w:tcMar>
          </w:tcPr>
          <w:p w14:paraId="792EA079" w14:textId="77777777" w:rsidR="005D3F0E" w:rsidRDefault="00000000">
            <w:r>
              <w:rPr>
                <w:sz w:val="16"/>
                <w:szCs w:val="16"/>
              </w:rPr>
              <w:t>Core demand driver; align roadmap to demographic projections</w:t>
            </w:r>
          </w:p>
        </w:tc>
      </w:tr>
      <w:tr w:rsidR="005D3F0E" w14:paraId="0289C298" w14:textId="77777777">
        <w:tblPrEx>
          <w:tblCellMar>
            <w:top w:w="0" w:type="dxa"/>
            <w:bottom w:w="0" w:type="dxa"/>
          </w:tblCellMar>
        </w:tblPrEx>
        <w:tc>
          <w:tcPr>
            <w:tcW w:w="1940" w:type="dxa"/>
            <w:tcBorders>
              <w:top w:val="single" w:sz="1" w:space="0" w:color="AABDD6"/>
              <w:left w:val="single" w:sz="1" w:space="0" w:color="AABDD6"/>
              <w:bottom w:val="single" w:sz="1" w:space="0" w:color="AABDD6"/>
              <w:right w:val="single" w:sz="1" w:space="0" w:color="AABDD6"/>
            </w:tcBorders>
            <w:shd w:val="clear" w:color="auto" w:fill="EDF3FB"/>
            <w:tcMar>
              <w:top w:w="44" w:type="dxa"/>
              <w:left w:w="95" w:type="dxa"/>
              <w:bottom w:w="44" w:type="dxa"/>
              <w:right w:w="95" w:type="dxa"/>
            </w:tcMar>
          </w:tcPr>
          <w:p w14:paraId="056F1920" w14:textId="77777777" w:rsidR="005D3F0E" w:rsidRDefault="00000000">
            <w:r>
              <w:rPr>
                <w:sz w:val="16"/>
                <w:szCs w:val="16"/>
              </w:rPr>
              <w:t>Healthcare spending growth</w:t>
            </w:r>
          </w:p>
        </w:tc>
        <w:tc>
          <w:tcPr>
            <w:tcW w:w="3720" w:type="dxa"/>
            <w:tcBorders>
              <w:top w:val="single" w:sz="1" w:space="0" w:color="AABDD6"/>
              <w:left w:val="single" w:sz="1" w:space="0" w:color="AABDD6"/>
              <w:bottom w:val="single" w:sz="1" w:space="0" w:color="AABDD6"/>
              <w:right w:val="single" w:sz="1" w:space="0" w:color="AABDD6"/>
            </w:tcBorders>
            <w:shd w:val="clear" w:color="auto" w:fill="EDF3FB"/>
            <w:tcMar>
              <w:top w:w="44" w:type="dxa"/>
              <w:left w:w="95" w:type="dxa"/>
              <w:bottom w:w="44" w:type="dxa"/>
              <w:right w:w="95" w:type="dxa"/>
            </w:tcMar>
          </w:tcPr>
          <w:p w14:paraId="1223A0EB" w14:textId="77777777" w:rsidR="005D3F0E" w:rsidRDefault="00000000">
            <w:r>
              <w:rPr>
                <w:sz w:val="16"/>
                <w:szCs w:val="16"/>
              </w:rPr>
              <w:t>Institutions investing more in digital safety; ADE cost reduction is a budget priority</w:t>
            </w:r>
          </w:p>
        </w:tc>
        <w:tc>
          <w:tcPr>
            <w:tcW w:w="4374" w:type="dxa"/>
            <w:tcBorders>
              <w:top w:val="single" w:sz="1" w:space="0" w:color="AABDD6"/>
              <w:left w:val="single" w:sz="1" w:space="0" w:color="AABDD6"/>
              <w:bottom w:val="single" w:sz="1" w:space="0" w:color="AABDD6"/>
              <w:right w:val="single" w:sz="1" w:space="0" w:color="AABDD6"/>
            </w:tcBorders>
            <w:shd w:val="clear" w:color="auto" w:fill="EDF3FB"/>
            <w:tcMar>
              <w:top w:w="44" w:type="dxa"/>
              <w:left w:w="95" w:type="dxa"/>
              <w:bottom w:w="44" w:type="dxa"/>
              <w:right w:w="95" w:type="dxa"/>
            </w:tcMar>
          </w:tcPr>
          <w:p w14:paraId="7BE10500" w14:textId="77777777" w:rsidR="005D3F0E" w:rsidRDefault="00000000">
            <w:r>
              <w:rPr>
                <w:sz w:val="16"/>
                <w:szCs w:val="16"/>
              </w:rPr>
              <w:t>B2B pitch leads with ROI: more than $3,000 saved per prevented ADE</w:t>
            </w:r>
          </w:p>
        </w:tc>
      </w:tr>
      <w:tr w:rsidR="005D3F0E" w14:paraId="3D75515D" w14:textId="77777777">
        <w:tblPrEx>
          <w:tblCellMar>
            <w:top w:w="0" w:type="dxa"/>
            <w:bottom w:w="0" w:type="dxa"/>
          </w:tblCellMar>
        </w:tblPrEx>
        <w:tc>
          <w:tcPr>
            <w:tcW w:w="1940" w:type="dxa"/>
            <w:tcBorders>
              <w:top w:val="single" w:sz="1" w:space="0" w:color="AABDD6"/>
              <w:left w:val="single" w:sz="1" w:space="0" w:color="AABDD6"/>
              <w:bottom w:val="single" w:sz="1" w:space="0" w:color="AABDD6"/>
              <w:right w:val="single" w:sz="1" w:space="0" w:color="AABDD6"/>
            </w:tcBorders>
            <w:shd w:val="clear" w:color="auto" w:fill="FFFFFF"/>
            <w:tcMar>
              <w:top w:w="44" w:type="dxa"/>
              <w:left w:w="95" w:type="dxa"/>
              <w:bottom w:w="44" w:type="dxa"/>
              <w:right w:w="95" w:type="dxa"/>
            </w:tcMar>
          </w:tcPr>
          <w:p w14:paraId="79FB02C7" w14:textId="77777777" w:rsidR="005D3F0E" w:rsidRDefault="00000000">
            <w:r>
              <w:rPr>
                <w:sz w:val="16"/>
                <w:szCs w:val="16"/>
              </w:rPr>
              <w:t>Inflation &amp; consumer spending</w:t>
            </w:r>
          </w:p>
        </w:tc>
        <w:tc>
          <w:tcPr>
            <w:tcW w:w="3720" w:type="dxa"/>
            <w:tcBorders>
              <w:top w:val="single" w:sz="1" w:space="0" w:color="AABDD6"/>
              <w:left w:val="single" w:sz="1" w:space="0" w:color="AABDD6"/>
              <w:bottom w:val="single" w:sz="1" w:space="0" w:color="AABDD6"/>
              <w:right w:val="single" w:sz="1" w:space="0" w:color="AABDD6"/>
            </w:tcBorders>
            <w:shd w:val="clear" w:color="auto" w:fill="FFFFFF"/>
            <w:tcMar>
              <w:top w:w="44" w:type="dxa"/>
              <w:left w:w="95" w:type="dxa"/>
              <w:bottom w:w="44" w:type="dxa"/>
              <w:right w:w="95" w:type="dxa"/>
            </w:tcMar>
          </w:tcPr>
          <w:p w14:paraId="2DA68A07" w14:textId="77777777" w:rsidR="005D3F0E" w:rsidRDefault="00000000">
            <w:r>
              <w:rPr>
                <w:sz w:val="16"/>
                <w:szCs w:val="16"/>
              </w:rPr>
              <w:t>Subscription willingness-to-pay falls; hospital procurement timelines stretch</w:t>
            </w:r>
          </w:p>
        </w:tc>
        <w:tc>
          <w:tcPr>
            <w:tcW w:w="4374" w:type="dxa"/>
            <w:tcBorders>
              <w:top w:val="single" w:sz="1" w:space="0" w:color="AABDD6"/>
              <w:left w:val="single" w:sz="1" w:space="0" w:color="AABDD6"/>
              <w:bottom w:val="single" w:sz="1" w:space="0" w:color="AABDD6"/>
              <w:right w:val="single" w:sz="1" w:space="0" w:color="AABDD6"/>
            </w:tcBorders>
            <w:shd w:val="clear" w:color="auto" w:fill="FFFFFF"/>
            <w:tcMar>
              <w:top w:w="44" w:type="dxa"/>
              <w:left w:w="95" w:type="dxa"/>
              <w:bottom w:w="44" w:type="dxa"/>
              <w:right w:w="95" w:type="dxa"/>
            </w:tcMar>
          </w:tcPr>
          <w:p w14:paraId="6909F127" w14:textId="77777777" w:rsidR="005D3F0E" w:rsidRDefault="00000000">
            <w:r>
              <w:rPr>
                <w:sz w:val="16"/>
                <w:szCs w:val="16"/>
              </w:rPr>
              <w:t xml:space="preserve">Make the free tier genuinely useful; </w:t>
            </w:r>
            <w:proofErr w:type="spellStart"/>
            <w:r>
              <w:rPr>
                <w:sz w:val="16"/>
                <w:szCs w:val="16"/>
              </w:rPr>
              <w:t>prioritise</w:t>
            </w:r>
            <w:proofErr w:type="spellEnd"/>
            <w:r>
              <w:rPr>
                <w:sz w:val="16"/>
                <w:szCs w:val="16"/>
              </w:rPr>
              <w:t xml:space="preserve"> B2B over consumer subscriptions</w:t>
            </w:r>
          </w:p>
        </w:tc>
      </w:tr>
      <w:tr w:rsidR="005D3F0E" w14:paraId="6294AABC" w14:textId="77777777">
        <w:tblPrEx>
          <w:tblCellMar>
            <w:top w:w="0" w:type="dxa"/>
            <w:bottom w:w="0" w:type="dxa"/>
          </w:tblCellMar>
        </w:tblPrEx>
        <w:tc>
          <w:tcPr>
            <w:tcW w:w="1940" w:type="dxa"/>
            <w:tcBorders>
              <w:top w:val="single" w:sz="1" w:space="0" w:color="AABDD6"/>
              <w:left w:val="single" w:sz="1" w:space="0" w:color="AABDD6"/>
              <w:bottom w:val="single" w:sz="1" w:space="0" w:color="AABDD6"/>
              <w:right w:val="single" w:sz="1" w:space="0" w:color="AABDD6"/>
            </w:tcBorders>
            <w:shd w:val="clear" w:color="auto" w:fill="EDF3FB"/>
            <w:tcMar>
              <w:top w:w="44" w:type="dxa"/>
              <w:left w:w="95" w:type="dxa"/>
              <w:bottom w:w="44" w:type="dxa"/>
              <w:right w:w="95" w:type="dxa"/>
            </w:tcMar>
          </w:tcPr>
          <w:p w14:paraId="58BF41B6" w14:textId="77777777" w:rsidR="005D3F0E" w:rsidRDefault="00000000">
            <w:r>
              <w:rPr>
                <w:sz w:val="16"/>
                <w:szCs w:val="16"/>
              </w:rPr>
              <w:t>AI regulation (EU AI Act; FDA SaMD 2025)</w:t>
            </w:r>
          </w:p>
        </w:tc>
        <w:tc>
          <w:tcPr>
            <w:tcW w:w="3720" w:type="dxa"/>
            <w:tcBorders>
              <w:top w:val="single" w:sz="1" w:space="0" w:color="AABDD6"/>
              <w:left w:val="single" w:sz="1" w:space="0" w:color="AABDD6"/>
              <w:bottom w:val="single" w:sz="1" w:space="0" w:color="AABDD6"/>
              <w:right w:val="single" w:sz="1" w:space="0" w:color="AABDD6"/>
            </w:tcBorders>
            <w:shd w:val="clear" w:color="auto" w:fill="EDF3FB"/>
            <w:tcMar>
              <w:top w:w="44" w:type="dxa"/>
              <w:left w:w="95" w:type="dxa"/>
              <w:bottom w:w="44" w:type="dxa"/>
              <w:right w:w="95" w:type="dxa"/>
            </w:tcMar>
          </w:tcPr>
          <w:p w14:paraId="3C48D6A8" w14:textId="77777777" w:rsidR="005D3F0E" w:rsidRDefault="00000000">
            <w:r>
              <w:rPr>
                <w:sz w:val="16"/>
                <w:szCs w:val="16"/>
              </w:rPr>
              <w:t>Compliance costs rise; product could be reclassified as medical device if output language becomes clinical</w:t>
            </w:r>
          </w:p>
        </w:tc>
        <w:tc>
          <w:tcPr>
            <w:tcW w:w="4374" w:type="dxa"/>
            <w:tcBorders>
              <w:top w:val="single" w:sz="1" w:space="0" w:color="AABDD6"/>
              <w:left w:val="single" w:sz="1" w:space="0" w:color="AABDD6"/>
              <w:bottom w:val="single" w:sz="1" w:space="0" w:color="AABDD6"/>
              <w:right w:val="single" w:sz="1" w:space="0" w:color="AABDD6"/>
            </w:tcBorders>
            <w:shd w:val="clear" w:color="auto" w:fill="EDF3FB"/>
            <w:tcMar>
              <w:top w:w="44" w:type="dxa"/>
              <w:left w:w="95" w:type="dxa"/>
              <w:bottom w:w="44" w:type="dxa"/>
              <w:right w:w="95" w:type="dxa"/>
            </w:tcMar>
          </w:tcPr>
          <w:p w14:paraId="515FC851" w14:textId="77777777" w:rsidR="005D3F0E" w:rsidRDefault="00000000">
            <w:r>
              <w:rPr>
                <w:sz w:val="16"/>
                <w:szCs w:val="16"/>
              </w:rPr>
              <w:t>Maintain wellness framing; get legal clearance before launch; form clinical advisory board</w:t>
            </w:r>
          </w:p>
        </w:tc>
      </w:tr>
      <w:tr w:rsidR="005D3F0E" w14:paraId="7890C0E3" w14:textId="77777777">
        <w:tblPrEx>
          <w:tblCellMar>
            <w:top w:w="0" w:type="dxa"/>
            <w:bottom w:w="0" w:type="dxa"/>
          </w:tblCellMar>
        </w:tblPrEx>
        <w:tc>
          <w:tcPr>
            <w:tcW w:w="1940" w:type="dxa"/>
            <w:tcBorders>
              <w:top w:val="single" w:sz="1" w:space="0" w:color="AABDD6"/>
              <w:left w:val="single" w:sz="1" w:space="0" w:color="AABDD6"/>
              <w:bottom w:val="single" w:sz="1" w:space="0" w:color="AABDD6"/>
              <w:right w:val="single" w:sz="1" w:space="0" w:color="AABDD6"/>
            </w:tcBorders>
            <w:shd w:val="clear" w:color="auto" w:fill="FFFFFF"/>
            <w:tcMar>
              <w:top w:w="44" w:type="dxa"/>
              <w:left w:w="95" w:type="dxa"/>
              <w:bottom w:w="44" w:type="dxa"/>
              <w:right w:w="95" w:type="dxa"/>
            </w:tcMar>
          </w:tcPr>
          <w:p w14:paraId="7C66C9EE" w14:textId="77777777" w:rsidR="005D3F0E" w:rsidRDefault="00000000">
            <w:r>
              <w:rPr>
                <w:sz w:val="16"/>
                <w:szCs w:val="16"/>
              </w:rPr>
              <w:t>Regulatory fragmentation</w:t>
            </w:r>
          </w:p>
        </w:tc>
        <w:tc>
          <w:tcPr>
            <w:tcW w:w="3720" w:type="dxa"/>
            <w:tcBorders>
              <w:top w:val="single" w:sz="1" w:space="0" w:color="AABDD6"/>
              <w:left w:val="single" w:sz="1" w:space="0" w:color="AABDD6"/>
              <w:bottom w:val="single" w:sz="1" w:space="0" w:color="AABDD6"/>
              <w:right w:val="single" w:sz="1" w:space="0" w:color="AABDD6"/>
            </w:tcBorders>
            <w:shd w:val="clear" w:color="auto" w:fill="FFFFFF"/>
            <w:tcMar>
              <w:top w:w="44" w:type="dxa"/>
              <w:left w:w="95" w:type="dxa"/>
              <w:bottom w:w="44" w:type="dxa"/>
              <w:right w:w="95" w:type="dxa"/>
            </w:tcMar>
          </w:tcPr>
          <w:p w14:paraId="0E5DB549" w14:textId="77777777" w:rsidR="005D3F0E" w:rsidRDefault="00000000">
            <w:r>
              <w:rPr>
                <w:sz w:val="16"/>
                <w:szCs w:val="16"/>
              </w:rPr>
              <w:t>Drug databases, privacy laws, and data-storage rules differ significantly by country</w:t>
            </w:r>
          </w:p>
        </w:tc>
        <w:tc>
          <w:tcPr>
            <w:tcW w:w="4374" w:type="dxa"/>
            <w:tcBorders>
              <w:top w:val="single" w:sz="1" w:space="0" w:color="AABDD6"/>
              <w:left w:val="single" w:sz="1" w:space="0" w:color="AABDD6"/>
              <w:bottom w:val="single" w:sz="1" w:space="0" w:color="AABDD6"/>
              <w:right w:val="single" w:sz="1" w:space="0" w:color="AABDD6"/>
            </w:tcBorders>
            <w:shd w:val="clear" w:color="auto" w:fill="FFFFFF"/>
            <w:tcMar>
              <w:top w:w="44" w:type="dxa"/>
              <w:left w:w="95" w:type="dxa"/>
              <w:bottom w:w="44" w:type="dxa"/>
              <w:right w:w="95" w:type="dxa"/>
            </w:tcMar>
          </w:tcPr>
          <w:p w14:paraId="3C0074E1" w14:textId="77777777" w:rsidR="005D3F0E" w:rsidRDefault="00000000">
            <w:r>
              <w:rPr>
                <w:sz w:val="16"/>
                <w:szCs w:val="16"/>
              </w:rPr>
              <w:t>Pilot in one market before expanding; build compliance roadmap alongside product</w:t>
            </w:r>
          </w:p>
        </w:tc>
      </w:tr>
      <w:tr w:rsidR="005D3F0E" w14:paraId="7B2C8B22" w14:textId="77777777">
        <w:tblPrEx>
          <w:tblCellMar>
            <w:top w:w="0" w:type="dxa"/>
            <w:bottom w:w="0" w:type="dxa"/>
          </w:tblCellMar>
        </w:tblPrEx>
        <w:tc>
          <w:tcPr>
            <w:tcW w:w="1940" w:type="dxa"/>
            <w:tcBorders>
              <w:top w:val="single" w:sz="1" w:space="0" w:color="AABDD6"/>
              <w:left w:val="single" w:sz="1" w:space="0" w:color="AABDD6"/>
              <w:bottom w:val="single" w:sz="1" w:space="0" w:color="AABDD6"/>
              <w:right w:val="single" w:sz="1" w:space="0" w:color="AABDD6"/>
            </w:tcBorders>
            <w:shd w:val="clear" w:color="auto" w:fill="EDF3FB"/>
            <w:tcMar>
              <w:top w:w="44" w:type="dxa"/>
              <w:left w:w="95" w:type="dxa"/>
              <w:bottom w:w="44" w:type="dxa"/>
              <w:right w:w="95" w:type="dxa"/>
            </w:tcMar>
          </w:tcPr>
          <w:p w14:paraId="6444CCE8" w14:textId="77777777" w:rsidR="005D3F0E" w:rsidRDefault="00000000">
            <w:r>
              <w:rPr>
                <w:sz w:val="16"/>
                <w:szCs w:val="16"/>
              </w:rPr>
              <w:t>AI credibility in healthcare</w:t>
            </w:r>
          </w:p>
        </w:tc>
        <w:tc>
          <w:tcPr>
            <w:tcW w:w="3720" w:type="dxa"/>
            <w:tcBorders>
              <w:top w:val="single" w:sz="1" w:space="0" w:color="AABDD6"/>
              <w:left w:val="single" w:sz="1" w:space="0" w:color="AABDD6"/>
              <w:bottom w:val="single" w:sz="1" w:space="0" w:color="AABDD6"/>
              <w:right w:val="single" w:sz="1" w:space="0" w:color="AABDD6"/>
            </w:tcBorders>
            <w:shd w:val="clear" w:color="auto" w:fill="EDF3FB"/>
            <w:tcMar>
              <w:top w:w="44" w:type="dxa"/>
              <w:left w:w="95" w:type="dxa"/>
              <w:bottom w:w="44" w:type="dxa"/>
              <w:right w:w="95" w:type="dxa"/>
            </w:tcMar>
          </w:tcPr>
          <w:p w14:paraId="3E75D7A4" w14:textId="77777777" w:rsidR="005D3F0E" w:rsidRDefault="00000000">
            <w:r>
              <w:rPr>
                <w:sz w:val="16"/>
                <w:szCs w:val="16"/>
              </w:rPr>
              <w:t xml:space="preserve">Public trust in AI medical tools is low; one </w:t>
            </w:r>
            <w:proofErr w:type="spellStart"/>
            <w:r>
              <w:rPr>
                <w:sz w:val="16"/>
                <w:szCs w:val="16"/>
              </w:rPr>
              <w:t>publicised</w:t>
            </w:r>
            <w:proofErr w:type="spellEnd"/>
            <w:r>
              <w:rPr>
                <w:sz w:val="16"/>
                <w:szCs w:val="16"/>
              </w:rPr>
              <w:t xml:space="preserve"> error could cause lasting reputational damage</w:t>
            </w:r>
          </w:p>
        </w:tc>
        <w:tc>
          <w:tcPr>
            <w:tcW w:w="4374" w:type="dxa"/>
            <w:tcBorders>
              <w:top w:val="single" w:sz="1" w:space="0" w:color="AABDD6"/>
              <w:left w:val="single" w:sz="1" w:space="0" w:color="AABDD6"/>
              <w:bottom w:val="single" w:sz="1" w:space="0" w:color="AABDD6"/>
              <w:right w:val="single" w:sz="1" w:space="0" w:color="AABDD6"/>
            </w:tcBorders>
            <w:shd w:val="clear" w:color="auto" w:fill="EDF3FB"/>
            <w:tcMar>
              <w:top w:w="44" w:type="dxa"/>
              <w:left w:w="95" w:type="dxa"/>
              <w:bottom w:w="44" w:type="dxa"/>
              <w:right w:w="95" w:type="dxa"/>
            </w:tcMar>
          </w:tcPr>
          <w:p w14:paraId="49DE95FB" w14:textId="77777777" w:rsidR="005D3F0E" w:rsidRDefault="00000000">
            <w:r>
              <w:rPr>
                <w:sz w:val="16"/>
                <w:szCs w:val="16"/>
              </w:rPr>
              <w:t>Use database lookups not generative AI; publish accuracy data; secure clinical endorsement early</w:t>
            </w:r>
          </w:p>
        </w:tc>
      </w:tr>
    </w:tbl>
    <w:p w14:paraId="76E28618" w14:textId="77777777" w:rsidR="005D3F0E" w:rsidRDefault="005D3F0E">
      <w:pPr>
        <w:spacing w:before="30" w:line="228" w:lineRule="auto"/>
      </w:pPr>
    </w:p>
    <w:p w14:paraId="6B3F328A" w14:textId="77777777" w:rsidR="005D3F0E" w:rsidRDefault="00000000">
      <w:pPr>
        <w:pBdr>
          <w:bottom w:val="single" w:sz="4" w:space="3" w:color="2C5F9E"/>
        </w:pBdr>
        <w:spacing w:before="140" w:after="70" w:line="228" w:lineRule="auto"/>
      </w:pPr>
      <w:r>
        <w:rPr>
          <w:b/>
          <w:bCs/>
          <w:color w:val="1B3A6B"/>
          <w:sz w:val="24"/>
          <w:szCs w:val="24"/>
        </w:rPr>
        <w:lastRenderedPageBreak/>
        <w:t>Phase 2 Summary</w:t>
      </w:r>
    </w:p>
    <w:p w14:paraId="7282C0A8" w14:textId="77777777" w:rsidR="005D3F0E" w:rsidRDefault="00000000">
      <w:pPr>
        <w:spacing w:before="110" w:after="50" w:line="228" w:lineRule="auto"/>
      </w:pPr>
      <w:r>
        <w:rPr>
          <w:b/>
          <w:bCs/>
          <w:color w:val="2C5F9E"/>
          <w:sz w:val="21"/>
          <w:szCs w:val="21"/>
        </w:rPr>
        <w:t>What Assumptions Were Confirmed?</w:t>
      </w:r>
    </w:p>
    <w:p w14:paraId="1D25D5DC" w14:textId="77777777" w:rsidR="005D3F0E" w:rsidRDefault="00000000">
      <w:pPr>
        <w:pStyle w:val="ListParagraph"/>
        <w:numPr>
          <w:ilvl w:val="0"/>
          <w:numId w:val="2"/>
        </w:numPr>
        <w:spacing w:before="25" w:after="22" w:line="228" w:lineRule="auto"/>
      </w:pPr>
      <w:r>
        <w:rPr>
          <w:b/>
          <w:bCs/>
        </w:rPr>
        <w:t xml:space="preserve">CONFIRMED: </w:t>
      </w:r>
      <w:r>
        <w:t>The scale of the problem is documented, not estimated. Polypharmacy affects over a third of the world’s population. ADEs cause tens of thousands of preventable deaths annually and cost healthcare systems hundreds of billions of dollars. This needed verification before building around it, and it holds.</w:t>
      </w:r>
    </w:p>
    <w:p w14:paraId="4F8A10E5" w14:textId="77777777" w:rsidR="005D3F0E" w:rsidRDefault="00000000">
      <w:pPr>
        <w:pStyle w:val="ListParagraph"/>
        <w:numPr>
          <w:ilvl w:val="0"/>
          <w:numId w:val="2"/>
        </w:numPr>
        <w:spacing w:before="25" w:after="22" w:line="228" w:lineRule="auto"/>
      </w:pPr>
      <w:r>
        <w:rPr>
          <w:b/>
          <w:bCs/>
        </w:rPr>
        <w:t xml:space="preserve">CONFIRMED: </w:t>
      </w:r>
      <w:r>
        <w:t>The market is large and growing fast enough to support this product. The drug-interaction sub-category is the fastest-growing segment in a multi-</w:t>
      </w:r>
      <w:proofErr w:type="gramStart"/>
      <w:r>
        <w:t>billion dollar</w:t>
      </w:r>
      <w:proofErr w:type="gramEnd"/>
      <w:r>
        <w:t xml:space="preserve"> medication management market.</w:t>
      </w:r>
    </w:p>
    <w:p w14:paraId="7EB6EEF7" w14:textId="77777777" w:rsidR="005D3F0E" w:rsidRDefault="00000000">
      <w:pPr>
        <w:pStyle w:val="ListParagraph"/>
        <w:numPr>
          <w:ilvl w:val="0"/>
          <w:numId w:val="2"/>
        </w:numPr>
        <w:spacing w:before="25" w:after="22" w:line="228" w:lineRule="auto"/>
      </w:pPr>
      <w:r>
        <w:rPr>
          <w:b/>
          <w:bCs/>
        </w:rPr>
        <w:t xml:space="preserve">CONFIRMED: </w:t>
      </w:r>
      <w:r>
        <w:t>No current product combines prescription scanning, multi-prescriber profile management, and plain-language alerts for non-clinical users. That combination does not exist.</w:t>
      </w:r>
    </w:p>
    <w:p w14:paraId="4AFA6866" w14:textId="77777777" w:rsidR="005D3F0E" w:rsidRDefault="00000000">
      <w:pPr>
        <w:pStyle w:val="ListParagraph"/>
        <w:numPr>
          <w:ilvl w:val="0"/>
          <w:numId w:val="2"/>
        </w:numPr>
        <w:spacing w:before="25" w:after="22" w:line="228" w:lineRule="auto"/>
      </w:pPr>
      <w:r>
        <w:rPr>
          <w:b/>
          <w:bCs/>
        </w:rPr>
        <w:t xml:space="preserve">CONFIRMED: </w:t>
      </w:r>
      <w:r>
        <w:t>Hospitals and pharmacies have a clear financial reason to pay. The ROI calculation is direct: the cost of one prevented ADE exceeds a full year of software licensing.</w:t>
      </w:r>
    </w:p>
    <w:p w14:paraId="0383F5D6" w14:textId="77777777" w:rsidR="005D3F0E" w:rsidRDefault="00000000">
      <w:pPr>
        <w:pStyle w:val="ListParagraph"/>
        <w:numPr>
          <w:ilvl w:val="0"/>
          <w:numId w:val="2"/>
        </w:numPr>
        <w:spacing w:before="25" w:after="22" w:line="228" w:lineRule="auto"/>
      </w:pPr>
      <w:r>
        <w:rPr>
          <w:b/>
          <w:bCs/>
        </w:rPr>
        <w:t xml:space="preserve">CONFIRMED: </w:t>
      </w:r>
      <w:r>
        <w:t xml:space="preserve">Consumer adoption through caregivers is achievable. </w:t>
      </w:r>
      <w:proofErr w:type="spellStart"/>
      <w:r>
        <w:t>Medisafe’s</w:t>
      </w:r>
      <w:proofErr w:type="spellEnd"/>
      <w:r>
        <w:t xml:space="preserve"> user base confirms appetite for this category. Caregiver-led onboarding is more realistic than expecting elderly patients to self-</w:t>
      </w:r>
      <w:proofErr w:type="spellStart"/>
      <w:r>
        <w:t>enrol</w:t>
      </w:r>
      <w:proofErr w:type="spellEnd"/>
      <w:r>
        <w:t>.</w:t>
      </w:r>
    </w:p>
    <w:p w14:paraId="787AD1FB" w14:textId="77777777" w:rsidR="005D3F0E" w:rsidRDefault="005D3F0E">
      <w:pPr>
        <w:spacing w:before="25" w:line="228" w:lineRule="auto"/>
      </w:pPr>
    </w:p>
    <w:p w14:paraId="1AD66FB7" w14:textId="77777777" w:rsidR="005D3F0E" w:rsidRDefault="00000000">
      <w:pPr>
        <w:spacing w:before="110" w:after="50" w:line="228" w:lineRule="auto"/>
      </w:pPr>
      <w:r>
        <w:rPr>
          <w:b/>
          <w:bCs/>
          <w:color w:val="2C5F9E"/>
          <w:sz w:val="21"/>
          <w:szCs w:val="21"/>
        </w:rPr>
        <w:t>What Assumptions Remain Risky?</w:t>
      </w:r>
    </w:p>
    <w:p w14:paraId="2F8877C1" w14:textId="77777777" w:rsidR="005D3F0E" w:rsidRDefault="00000000">
      <w:pPr>
        <w:pStyle w:val="ListParagraph"/>
        <w:numPr>
          <w:ilvl w:val="0"/>
          <w:numId w:val="2"/>
        </w:numPr>
        <w:spacing w:before="25" w:after="22" w:line="228" w:lineRule="auto"/>
      </w:pPr>
      <w:r>
        <w:rPr>
          <w:b/>
          <w:bCs/>
        </w:rPr>
        <w:t xml:space="preserve">HIGH RISK: </w:t>
      </w:r>
      <w:r>
        <w:t xml:space="preserve">OCR accuracy on real prescriptions across different printers, formats, and clinics is unknown until tested. Getting </w:t>
      </w:r>
      <w:proofErr w:type="gramStart"/>
      <w:r>
        <w:t>this wrong produces</w:t>
      </w:r>
      <w:proofErr w:type="gramEnd"/>
      <w:r>
        <w:t xml:space="preserve"> false reassurance, which is the worst possible outcome for a safety product.</w:t>
      </w:r>
    </w:p>
    <w:p w14:paraId="2166EA67" w14:textId="77777777" w:rsidR="005D3F0E" w:rsidRDefault="00000000">
      <w:pPr>
        <w:pStyle w:val="ListParagraph"/>
        <w:numPr>
          <w:ilvl w:val="0"/>
          <w:numId w:val="2"/>
        </w:numPr>
        <w:spacing w:before="25" w:after="22" w:line="228" w:lineRule="auto"/>
      </w:pPr>
      <w:r>
        <w:rPr>
          <w:b/>
          <w:bCs/>
        </w:rPr>
        <w:t xml:space="preserve">HIGH RISK: </w:t>
      </w:r>
      <w:r>
        <w:t xml:space="preserve">Whether a wellness-tool description keeps </w:t>
      </w:r>
      <w:proofErr w:type="spellStart"/>
      <w:r>
        <w:t>PolySafe</w:t>
      </w:r>
      <w:proofErr w:type="spellEnd"/>
      <w:r>
        <w:t xml:space="preserve"> outside SaMD classification depends on jurisdiction-specific rules that are actively being revised. A legal opinion is required before any commercial claims are published.</w:t>
      </w:r>
    </w:p>
    <w:p w14:paraId="043B293E" w14:textId="77777777" w:rsidR="005D3F0E" w:rsidRDefault="00000000">
      <w:pPr>
        <w:pStyle w:val="ListParagraph"/>
        <w:numPr>
          <w:ilvl w:val="0"/>
          <w:numId w:val="2"/>
        </w:numPr>
        <w:spacing w:before="25" w:after="22" w:line="228" w:lineRule="auto"/>
      </w:pPr>
      <w:r>
        <w:rPr>
          <w:b/>
          <w:bCs/>
        </w:rPr>
        <w:t xml:space="preserve">MEDIUM RISK: </w:t>
      </w:r>
      <w:r>
        <w:t>Elderly users reaching the app without a pharmacist or hospital recommending it is unlikely. Without intermediary channel partnerships signed up early, the core user group remains hard to reach.</w:t>
      </w:r>
    </w:p>
    <w:p w14:paraId="6CA9EF5C" w14:textId="77777777" w:rsidR="005D3F0E" w:rsidRDefault="00000000">
      <w:pPr>
        <w:pStyle w:val="ListParagraph"/>
        <w:numPr>
          <w:ilvl w:val="0"/>
          <w:numId w:val="2"/>
        </w:numPr>
        <w:spacing w:before="25" w:after="22" w:line="228" w:lineRule="auto"/>
      </w:pPr>
      <w:r>
        <w:rPr>
          <w:b/>
          <w:bCs/>
        </w:rPr>
        <w:t xml:space="preserve">MEDIUM RISK: </w:t>
      </w:r>
      <w:r>
        <w:t>A single drug database will leave interaction gaps, particularly for generic medications in developing markets. Comprehensive checking requires a multi-source data strategy.</w:t>
      </w:r>
    </w:p>
    <w:p w14:paraId="4E509355" w14:textId="77777777" w:rsidR="005D3F0E" w:rsidRDefault="005D3F0E">
      <w:pPr>
        <w:spacing w:before="25" w:line="228" w:lineRule="auto"/>
      </w:pPr>
    </w:p>
    <w:p w14:paraId="043107EA" w14:textId="77777777" w:rsidR="005D3F0E" w:rsidRDefault="00000000">
      <w:pPr>
        <w:spacing w:before="110" w:after="50" w:line="228" w:lineRule="auto"/>
      </w:pPr>
      <w:r>
        <w:rPr>
          <w:b/>
          <w:bCs/>
          <w:color w:val="2C5F9E"/>
          <w:sz w:val="21"/>
          <w:szCs w:val="21"/>
        </w:rPr>
        <w:t>How Has the Product Scope Changed?</w:t>
      </w:r>
    </w:p>
    <w:p w14:paraId="68093BED" w14:textId="77777777" w:rsidR="005D3F0E" w:rsidRDefault="00000000">
      <w:pPr>
        <w:spacing w:before="35" w:after="28" w:line="228" w:lineRule="auto"/>
      </w:pPr>
      <w:r>
        <w:t>Three things shifted as a result of this research. Handwritten prescription scanning has been removed from Phase 3 — the accuracy problem is real and validating it properly takes longer than Phase 3 allows. EHR integration has been deferred to Phase 4 or later because it lengthens sales cycles and introduces serious compliance complexity that is not needed to test the core product value. Manual confirmation of OCR-extracted drug names moved from a nice-to-have to a required feature, because a silent extraction error carries too much risk. Geographic scope for Phase 3 is narrowed to a single pilot market — Pakistan for the university context — with a documented compliance roadmap for US and UK expansion.</w:t>
      </w:r>
    </w:p>
    <w:p w14:paraId="454CDB79" w14:textId="77777777" w:rsidR="005D3F0E" w:rsidRDefault="005D3F0E">
      <w:pPr>
        <w:spacing w:before="25" w:line="228" w:lineRule="auto"/>
      </w:pPr>
    </w:p>
    <w:p w14:paraId="308C8BC5" w14:textId="77777777" w:rsidR="005D3F0E" w:rsidRDefault="00000000">
      <w:pPr>
        <w:spacing w:before="110" w:after="50" w:line="228" w:lineRule="auto"/>
      </w:pPr>
      <w:r>
        <w:rPr>
          <w:b/>
          <w:bCs/>
          <w:color w:val="2C5F9E"/>
          <w:sz w:val="21"/>
          <w:szCs w:val="21"/>
        </w:rPr>
        <w:t xml:space="preserve">What Will the MVP in Phase 3 Focus on and </w:t>
      </w:r>
      <w:proofErr w:type="gramStart"/>
      <w:r>
        <w:rPr>
          <w:b/>
          <w:bCs/>
          <w:color w:val="2C5F9E"/>
          <w:sz w:val="21"/>
          <w:szCs w:val="21"/>
        </w:rPr>
        <w:t>Exclude</w:t>
      </w:r>
      <w:proofErr w:type="gramEnd"/>
      <w:r>
        <w:rPr>
          <w:b/>
          <w:bCs/>
          <w:color w:val="2C5F9E"/>
          <w:sz w:val="21"/>
          <w:szCs w:val="21"/>
        </w:rPr>
        <w:t>?</w:t>
      </w:r>
    </w:p>
    <w:p w14:paraId="1ADAE41A" w14:textId="77777777" w:rsidR="005D3F0E" w:rsidRDefault="00000000">
      <w:pPr>
        <w:spacing w:before="35" w:after="28" w:line="228" w:lineRule="auto"/>
      </w:pPr>
      <w:r>
        <w:rPr>
          <w:b/>
          <w:bCs/>
        </w:rPr>
        <w:t xml:space="preserve">Focus (four features): </w:t>
      </w:r>
      <w:r>
        <w:t xml:space="preserve">Scanning a digital prescription and asking the user to verify the extracted names. Storing all active medications in one profile regardless of prescriber. Checking that profile against FDA </w:t>
      </w:r>
      <w:proofErr w:type="spellStart"/>
      <w:r>
        <w:t>OpenFDA</w:t>
      </w:r>
      <w:proofErr w:type="spellEnd"/>
      <w:r>
        <w:t xml:space="preserve"> or </w:t>
      </w:r>
      <w:proofErr w:type="spellStart"/>
      <w:r>
        <w:t>DrugBank</w:t>
      </w:r>
      <w:proofErr w:type="spellEnd"/>
      <w:r>
        <w:t xml:space="preserve"> and showing flagged interactions in plain language. Directing the user to their pharmacist or doctor clearly and consistently after every flag.</w:t>
      </w:r>
    </w:p>
    <w:p w14:paraId="5A6D839F" w14:textId="77777777" w:rsidR="005D3F0E" w:rsidRDefault="005D3F0E">
      <w:pPr>
        <w:spacing w:before="10" w:line="228" w:lineRule="auto"/>
      </w:pPr>
    </w:p>
    <w:p w14:paraId="365F6439" w14:textId="77777777" w:rsidR="005D3F0E" w:rsidRDefault="00000000">
      <w:pPr>
        <w:spacing w:before="35" w:after="28" w:line="228" w:lineRule="auto"/>
      </w:pPr>
      <w:r>
        <w:rPr>
          <w:b/>
          <w:bCs/>
        </w:rPr>
        <w:t xml:space="preserve">SMART goals: </w:t>
      </w:r>
      <w:r>
        <w:t>500 registered users within six months of the university pilot launch. At least ten unique medication profiles processed during prototype testing. Hospital or pharmacy partner feedback rating alert clarity at 7/10 or above in pilot evaluation.</w:t>
      </w:r>
    </w:p>
    <w:p w14:paraId="0494A30C" w14:textId="77777777" w:rsidR="005D3F0E" w:rsidRDefault="005D3F0E">
      <w:pPr>
        <w:spacing w:before="10" w:line="228" w:lineRule="auto"/>
      </w:pPr>
    </w:p>
    <w:p w14:paraId="553FA9A6" w14:textId="77777777" w:rsidR="005D3F0E" w:rsidRDefault="00000000">
      <w:pPr>
        <w:spacing w:before="35" w:after="28" w:line="228" w:lineRule="auto"/>
      </w:pPr>
      <w:r>
        <w:rPr>
          <w:b/>
          <w:bCs/>
        </w:rPr>
        <w:t xml:space="preserve">Excluded from MVP: </w:t>
      </w:r>
      <w:r>
        <w:t>Handwritten prescription OCR; EHR or EMR connections; institutional admin dashboards; language support beyond English and Urdu; generative AI clinical advice; OTC medication and supplement interaction checking.</w:t>
      </w:r>
    </w:p>
    <w:p w14:paraId="065C182E" w14:textId="77777777" w:rsidR="005D3F0E" w:rsidRDefault="005D3F0E">
      <w:pPr>
        <w:spacing w:before="60" w:line="228" w:lineRule="auto"/>
      </w:pPr>
    </w:p>
    <w:p w14:paraId="16184C25" w14:textId="77777777" w:rsidR="005D3F0E" w:rsidRDefault="00000000">
      <w:pPr>
        <w:pBdr>
          <w:bottom w:val="single" w:sz="4" w:space="3" w:color="2C5F9E"/>
        </w:pBdr>
        <w:spacing w:before="140" w:after="70" w:line="228" w:lineRule="auto"/>
      </w:pPr>
      <w:r>
        <w:rPr>
          <w:b/>
          <w:bCs/>
          <w:color w:val="1B3A6B"/>
          <w:sz w:val="24"/>
          <w:szCs w:val="24"/>
        </w:rPr>
        <w:t>References</w:t>
      </w:r>
    </w:p>
    <w:p w14:paraId="18C68CBF" w14:textId="77777777" w:rsidR="00CD2A73" w:rsidRDefault="00CD2A73" w:rsidP="00CD2A73">
      <w:pPr>
        <w:spacing w:before="60" w:after="60" w:line="276" w:lineRule="auto"/>
        <w:rPr>
          <w:color w:val="555555"/>
        </w:rPr>
      </w:pPr>
    </w:p>
    <w:p w14:paraId="2D9B62CE" w14:textId="62EC27FA" w:rsidR="00CD2A73" w:rsidRDefault="00CD2A73" w:rsidP="00CD2A73">
      <w:pPr>
        <w:spacing w:before="60" w:after="60" w:line="276" w:lineRule="auto"/>
      </w:pPr>
      <w:r>
        <w:rPr>
          <w:color w:val="555555"/>
        </w:rPr>
        <w:t>Kim, S. et al. (2024). Global and regional prevalence of polypharmacy and related factors, 1997–2022: An umbrella review. Archives of Gerontology and Geriatrics, 124, 105465.</w:t>
      </w:r>
    </w:p>
    <w:p w14:paraId="3D2A3694" w14:textId="77777777" w:rsidR="00CD2A73" w:rsidRDefault="00CD2A73" w:rsidP="00CD2A73">
      <w:pPr>
        <w:spacing w:before="30"/>
      </w:pPr>
    </w:p>
    <w:p w14:paraId="177C9905" w14:textId="77777777" w:rsidR="00CD2A73" w:rsidRDefault="00CD2A73" w:rsidP="00CD2A73">
      <w:pPr>
        <w:spacing w:before="60" w:after="60" w:line="276" w:lineRule="auto"/>
      </w:pPr>
      <w:r>
        <w:rPr>
          <w:color w:val="555555"/>
        </w:rPr>
        <w:t>Wang, Z. et al. (2024). Prevalence of polypharmacy in elderly population worldwide: A systematic review and meta-analysis. Pharmacoepidemiology and Drug Safety, 33(8), e5880.</w:t>
      </w:r>
    </w:p>
    <w:p w14:paraId="220712B6" w14:textId="77777777" w:rsidR="00CD2A73" w:rsidRDefault="00CD2A73" w:rsidP="00CD2A73">
      <w:pPr>
        <w:spacing w:before="30"/>
      </w:pPr>
    </w:p>
    <w:p w14:paraId="046584F2" w14:textId="77777777" w:rsidR="00CD2A73" w:rsidRDefault="00CD2A73" w:rsidP="00CD2A73">
      <w:pPr>
        <w:spacing w:before="60" w:after="60" w:line="276" w:lineRule="auto"/>
      </w:pPr>
      <w:r>
        <w:rPr>
          <w:color w:val="555555"/>
        </w:rPr>
        <w:t>Grand View Research (2024). Medication Management System Market. Retrieved from grandviewresearch.com</w:t>
      </w:r>
    </w:p>
    <w:p w14:paraId="45A9ED90" w14:textId="77777777" w:rsidR="00CD2A73" w:rsidRDefault="00CD2A73" w:rsidP="00CD2A73">
      <w:pPr>
        <w:spacing w:before="30"/>
      </w:pPr>
    </w:p>
    <w:p w14:paraId="230B8940" w14:textId="77777777" w:rsidR="00CD2A73" w:rsidRDefault="00CD2A73" w:rsidP="00CD2A73">
      <w:pPr>
        <w:spacing w:before="60" w:after="60" w:line="276" w:lineRule="auto"/>
      </w:pPr>
      <w:r>
        <w:rPr>
          <w:color w:val="555555"/>
        </w:rPr>
        <w:t>Verified Market Reports (2025). Medication Management App Market Size, Global Trends | Forecast 2023–2030.</w:t>
      </w:r>
    </w:p>
    <w:p w14:paraId="0C9D3139" w14:textId="77777777" w:rsidR="00CD2A73" w:rsidRDefault="00CD2A73" w:rsidP="00CD2A73">
      <w:pPr>
        <w:spacing w:before="30"/>
      </w:pPr>
    </w:p>
    <w:p w14:paraId="05760A70" w14:textId="77777777" w:rsidR="00CD2A73" w:rsidRDefault="00CD2A73" w:rsidP="00CD2A73">
      <w:pPr>
        <w:spacing w:before="60" w:after="60" w:line="276" w:lineRule="auto"/>
      </w:pPr>
      <w:r>
        <w:rPr>
          <w:color w:val="555555"/>
        </w:rPr>
        <w:t>Grand View Research (2025). Drug Reference Apps Market Size | Industry Report, 2033.</w:t>
      </w:r>
    </w:p>
    <w:p w14:paraId="1C7B1D0B" w14:textId="77777777" w:rsidR="00CD2A73" w:rsidRDefault="00CD2A73" w:rsidP="00CD2A73">
      <w:pPr>
        <w:spacing w:before="30"/>
      </w:pPr>
    </w:p>
    <w:p w14:paraId="3A15E4DF" w14:textId="77777777" w:rsidR="00CD2A73" w:rsidRDefault="00CD2A73" w:rsidP="00CD2A73">
      <w:pPr>
        <w:spacing w:before="60" w:after="60" w:line="276" w:lineRule="auto"/>
      </w:pPr>
      <w:r>
        <w:rPr>
          <w:color w:val="555555"/>
        </w:rPr>
        <w:t>MDPI (2023). Cost Estimations of Managing Adverse Drug Reactions in Hospitalized Patients: A Systematic Review. Healthcare Economics Journal.</w:t>
      </w:r>
    </w:p>
    <w:p w14:paraId="74FA097D" w14:textId="77777777" w:rsidR="00CD2A73" w:rsidRDefault="00CD2A73" w:rsidP="00CD2A73">
      <w:pPr>
        <w:spacing w:before="30"/>
      </w:pPr>
    </w:p>
    <w:p w14:paraId="374AEF61" w14:textId="77777777" w:rsidR="00CD2A73" w:rsidRDefault="00CD2A73" w:rsidP="00CD2A73">
      <w:pPr>
        <w:spacing w:before="60" w:after="60" w:line="276" w:lineRule="auto"/>
      </w:pPr>
      <w:r>
        <w:rPr>
          <w:color w:val="555555"/>
        </w:rPr>
        <w:lastRenderedPageBreak/>
        <w:t>FDA (2024). Artificial Intelligence and Medical Products: How CBER, CDER, CDRH, and OCP are Working Together. FDA.gov.</w:t>
      </w:r>
    </w:p>
    <w:p w14:paraId="50CE3687" w14:textId="77777777" w:rsidR="00CD2A73" w:rsidRDefault="00CD2A73" w:rsidP="00CD2A73">
      <w:pPr>
        <w:spacing w:before="30"/>
      </w:pPr>
    </w:p>
    <w:p w14:paraId="120EAE2A" w14:textId="77777777" w:rsidR="00CD2A73" w:rsidRDefault="00CD2A73" w:rsidP="00CD2A73">
      <w:pPr>
        <w:spacing w:before="60" w:after="60" w:line="276" w:lineRule="auto"/>
      </w:pPr>
      <w:r>
        <w:rPr>
          <w:color w:val="555555"/>
        </w:rPr>
        <w:t>FDA (2025). Draft Guidance: Artificial Intelligence-Enabled Device Software Functions: Lifecycle Management and Marketing Submission Recommendations.</w:t>
      </w:r>
    </w:p>
    <w:p w14:paraId="583C41EB" w14:textId="77777777" w:rsidR="00CD2A73" w:rsidRDefault="00CD2A73" w:rsidP="00CD2A73">
      <w:pPr>
        <w:spacing w:before="30"/>
      </w:pPr>
    </w:p>
    <w:p w14:paraId="1AB9CB36" w14:textId="77777777" w:rsidR="00CD2A73" w:rsidRDefault="00CD2A73" w:rsidP="00CD2A73">
      <w:pPr>
        <w:spacing w:before="60" w:after="60" w:line="276" w:lineRule="auto"/>
      </w:pPr>
      <w:r>
        <w:rPr>
          <w:color w:val="555555"/>
        </w:rPr>
        <w:t xml:space="preserve">AHRQ / </w:t>
      </w:r>
      <w:proofErr w:type="spellStart"/>
      <w:r>
        <w:rPr>
          <w:color w:val="555555"/>
        </w:rPr>
        <w:t>PSNet</w:t>
      </w:r>
      <w:proofErr w:type="spellEnd"/>
      <w:r>
        <w:rPr>
          <w:color w:val="555555"/>
        </w:rPr>
        <w:t>. The costs associated with adverse drug events among older adults in the ambulatory setting.</w:t>
      </w:r>
    </w:p>
    <w:p w14:paraId="64B58D3D" w14:textId="77777777" w:rsidR="00CD2A73" w:rsidRDefault="00CD2A73" w:rsidP="00CD2A73">
      <w:pPr>
        <w:spacing w:before="30"/>
      </w:pPr>
    </w:p>
    <w:p w14:paraId="23F846F6" w14:textId="77777777" w:rsidR="00CD2A73" w:rsidRDefault="00CD2A73" w:rsidP="00CD2A73">
      <w:pPr>
        <w:spacing w:before="60" w:after="60" w:line="276" w:lineRule="auto"/>
      </w:pPr>
      <w:proofErr w:type="spellStart"/>
      <w:r>
        <w:rPr>
          <w:color w:val="555555"/>
        </w:rPr>
        <w:t>SingleCare</w:t>
      </w:r>
      <w:proofErr w:type="spellEnd"/>
      <w:r>
        <w:rPr>
          <w:color w:val="555555"/>
        </w:rPr>
        <w:t xml:space="preserve"> (2025). Medication errors statistics. Retrieved from singlecare.com</w:t>
      </w:r>
    </w:p>
    <w:p w14:paraId="06C71121" w14:textId="77777777" w:rsidR="00CD2A73" w:rsidRDefault="00CD2A73" w:rsidP="00CD2A73">
      <w:pPr>
        <w:spacing w:before="30"/>
      </w:pPr>
    </w:p>
    <w:p w14:paraId="1DE8D696" w14:textId="77777777" w:rsidR="00CD2A73" w:rsidRDefault="00CD2A73" w:rsidP="00CD2A73">
      <w:pPr>
        <w:spacing w:before="60" w:after="60" w:line="276" w:lineRule="auto"/>
      </w:pPr>
      <w:r>
        <w:rPr>
          <w:color w:val="555555"/>
        </w:rPr>
        <w:t>WHO (2024). Medication without harm — global patient safety challenge.</w:t>
      </w:r>
    </w:p>
    <w:p w14:paraId="087D09CB" w14:textId="77777777" w:rsidR="00CD2A73" w:rsidRDefault="00CD2A73" w:rsidP="00CD2A73">
      <w:pPr>
        <w:spacing w:before="30"/>
      </w:pPr>
    </w:p>
    <w:p w14:paraId="3FED674B" w14:textId="77777777" w:rsidR="00CD2A73" w:rsidRDefault="00CD2A73" w:rsidP="00CD2A73">
      <w:pPr>
        <w:spacing w:before="60" w:after="60" w:line="276" w:lineRule="auto"/>
      </w:pPr>
      <w:r>
        <w:rPr>
          <w:color w:val="555555"/>
        </w:rPr>
        <w:t>Frontiers in Public Health (2025). Polypharmacy, drug–drug interactions, and potentially inappropriate medications among older adults.</w:t>
      </w:r>
    </w:p>
    <w:p w14:paraId="2864F832" w14:textId="3B28F713" w:rsidR="005D3F0E" w:rsidRDefault="005D3F0E" w:rsidP="00CD2A73">
      <w:pPr>
        <w:spacing w:before="25" w:after="18" w:line="228" w:lineRule="auto"/>
      </w:pPr>
    </w:p>
    <w:sectPr w:rsidR="005D3F0E">
      <w:footerReference w:type="default" r:id="rId7"/>
      <w:pgSz w:w="11906" w:h="16838"/>
      <w:pgMar w:top="936" w:right="936" w:bottom="936" w:left="93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B64C6" w14:textId="77777777" w:rsidR="00101398" w:rsidRDefault="00101398">
      <w:r>
        <w:separator/>
      </w:r>
    </w:p>
  </w:endnote>
  <w:endnote w:type="continuationSeparator" w:id="0">
    <w:p w14:paraId="257EDC76" w14:textId="77777777" w:rsidR="00101398" w:rsidRDefault="00101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C8DE" w14:textId="77777777" w:rsidR="005D3F0E" w:rsidRDefault="00000000">
    <w:pPr>
      <w:pBdr>
        <w:top w:val="single" w:sz="2" w:space="3" w:color="AABDD6"/>
      </w:pBdr>
      <w:spacing w:line="228" w:lineRule="auto"/>
      <w:jc w:val="center"/>
    </w:pPr>
    <w:proofErr w:type="spellStart"/>
    <w:r>
      <w:rPr>
        <w:color w:val="555555"/>
        <w:sz w:val="16"/>
        <w:szCs w:val="16"/>
      </w:rPr>
      <w:t>PolySafe</w:t>
    </w:r>
    <w:proofErr w:type="spellEnd"/>
    <w:r>
      <w:rPr>
        <w:color w:val="555555"/>
        <w:sz w:val="16"/>
        <w:szCs w:val="16"/>
      </w:rPr>
      <w:t xml:space="preserve"> — AI Product Development Phase </w:t>
    </w:r>
    <w:proofErr w:type="gramStart"/>
    <w:r>
      <w:rPr>
        <w:color w:val="555555"/>
        <w:sz w:val="16"/>
        <w:szCs w:val="16"/>
      </w:rPr>
      <w:t>2  |</w:t>
    </w:r>
    <w:proofErr w:type="gramEnd"/>
    <w:r>
      <w:rPr>
        <w:color w:val="555555"/>
        <w:sz w:val="16"/>
        <w:szCs w:val="16"/>
      </w:rPr>
      <w:t xml:space="preserve">  Page </w:t>
    </w:r>
    <w:r>
      <w:rPr>
        <w:color w:val="555555"/>
        <w:sz w:val="16"/>
        <w:szCs w:val="16"/>
      </w:rPr>
      <w:fldChar w:fldCharType="begin"/>
    </w:r>
    <w:r>
      <w:rPr>
        <w:color w:val="555555"/>
        <w:sz w:val="16"/>
        <w:szCs w:val="16"/>
      </w:rPr>
      <w:instrText>PAGE</w:instrText>
    </w:r>
    <w:r>
      <w:rPr>
        <w:color w:val="555555"/>
        <w:sz w:val="16"/>
        <w:szCs w:val="16"/>
      </w:rPr>
      <w:fldChar w:fldCharType="separate"/>
    </w:r>
    <w:r w:rsidR="00CD2A73">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49EE5" w14:textId="77777777" w:rsidR="00101398" w:rsidRDefault="00101398">
      <w:r>
        <w:separator/>
      </w:r>
    </w:p>
  </w:footnote>
  <w:footnote w:type="continuationSeparator" w:id="0">
    <w:p w14:paraId="5B0824A5" w14:textId="77777777" w:rsidR="00101398" w:rsidRDefault="001013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6667B"/>
    <w:multiLevelType w:val="hybridMultilevel"/>
    <w:tmpl w:val="E91A1612"/>
    <w:lvl w:ilvl="0" w:tplc="0EA06C0A">
      <w:start w:val="1"/>
      <w:numFmt w:val="bullet"/>
      <w:lvlText w:val="●"/>
      <w:lvlJc w:val="left"/>
      <w:pPr>
        <w:ind w:left="720" w:hanging="360"/>
      </w:pPr>
    </w:lvl>
    <w:lvl w:ilvl="1" w:tplc="345630EA">
      <w:start w:val="1"/>
      <w:numFmt w:val="bullet"/>
      <w:lvlText w:val="○"/>
      <w:lvlJc w:val="left"/>
      <w:pPr>
        <w:ind w:left="1440" w:hanging="360"/>
      </w:pPr>
    </w:lvl>
    <w:lvl w:ilvl="2" w:tplc="F7C002B2">
      <w:start w:val="1"/>
      <w:numFmt w:val="bullet"/>
      <w:lvlText w:val="■"/>
      <w:lvlJc w:val="left"/>
      <w:pPr>
        <w:ind w:left="2160" w:hanging="360"/>
      </w:pPr>
    </w:lvl>
    <w:lvl w:ilvl="3" w:tplc="B1964EAC">
      <w:start w:val="1"/>
      <w:numFmt w:val="bullet"/>
      <w:lvlText w:val="●"/>
      <w:lvlJc w:val="left"/>
      <w:pPr>
        <w:ind w:left="2880" w:hanging="360"/>
      </w:pPr>
    </w:lvl>
    <w:lvl w:ilvl="4" w:tplc="A02C46EA">
      <w:start w:val="1"/>
      <w:numFmt w:val="bullet"/>
      <w:lvlText w:val="○"/>
      <w:lvlJc w:val="left"/>
      <w:pPr>
        <w:ind w:left="3600" w:hanging="360"/>
      </w:pPr>
    </w:lvl>
    <w:lvl w:ilvl="5" w:tplc="D2440846">
      <w:start w:val="1"/>
      <w:numFmt w:val="bullet"/>
      <w:lvlText w:val="■"/>
      <w:lvlJc w:val="left"/>
      <w:pPr>
        <w:ind w:left="4320" w:hanging="360"/>
      </w:pPr>
    </w:lvl>
    <w:lvl w:ilvl="6" w:tplc="C9FE8A98">
      <w:start w:val="1"/>
      <w:numFmt w:val="bullet"/>
      <w:lvlText w:val="●"/>
      <w:lvlJc w:val="left"/>
      <w:pPr>
        <w:ind w:left="5040" w:hanging="360"/>
      </w:pPr>
    </w:lvl>
    <w:lvl w:ilvl="7" w:tplc="5E58C112">
      <w:start w:val="1"/>
      <w:numFmt w:val="bullet"/>
      <w:lvlText w:val="●"/>
      <w:lvlJc w:val="left"/>
      <w:pPr>
        <w:ind w:left="5760" w:hanging="360"/>
      </w:pPr>
    </w:lvl>
    <w:lvl w:ilvl="8" w:tplc="876466FE">
      <w:start w:val="1"/>
      <w:numFmt w:val="bullet"/>
      <w:lvlText w:val="●"/>
      <w:lvlJc w:val="left"/>
      <w:pPr>
        <w:ind w:left="6480" w:hanging="360"/>
      </w:pPr>
    </w:lvl>
  </w:abstractNum>
  <w:abstractNum w:abstractNumId="1" w15:restartNumberingAfterBreak="0">
    <w:nsid w:val="57CB3FBF"/>
    <w:multiLevelType w:val="hybridMultilevel"/>
    <w:tmpl w:val="9FF6408C"/>
    <w:lvl w:ilvl="0" w:tplc="9356E228">
      <w:start w:val="1"/>
      <w:numFmt w:val="bullet"/>
      <w:lvlText w:val="•"/>
      <w:lvlJc w:val="left"/>
      <w:pPr>
        <w:ind w:left="440" w:hanging="220"/>
      </w:pPr>
    </w:lvl>
    <w:lvl w:ilvl="1" w:tplc="CDD4C3E8">
      <w:numFmt w:val="decimal"/>
      <w:lvlText w:val=""/>
      <w:lvlJc w:val="left"/>
    </w:lvl>
    <w:lvl w:ilvl="2" w:tplc="324A9146">
      <w:numFmt w:val="decimal"/>
      <w:lvlText w:val=""/>
      <w:lvlJc w:val="left"/>
    </w:lvl>
    <w:lvl w:ilvl="3" w:tplc="A59CEE28">
      <w:numFmt w:val="decimal"/>
      <w:lvlText w:val=""/>
      <w:lvlJc w:val="left"/>
    </w:lvl>
    <w:lvl w:ilvl="4" w:tplc="F24876D4">
      <w:numFmt w:val="decimal"/>
      <w:lvlText w:val=""/>
      <w:lvlJc w:val="left"/>
    </w:lvl>
    <w:lvl w:ilvl="5" w:tplc="23C6C70E">
      <w:numFmt w:val="decimal"/>
      <w:lvlText w:val=""/>
      <w:lvlJc w:val="left"/>
    </w:lvl>
    <w:lvl w:ilvl="6" w:tplc="E44E3F50">
      <w:numFmt w:val="decimal"/>
      <w:lvlText w:val=""/>
      <w:lvlJc w:val="left"/>
    </w:lvl>
    <w:lvl w:ilvl="7" w:tplc="57D86B8E">
      <w:numFmt w:val="decimal"/>
      <w:lvlText w:val=""/>
      <w:lvlJc w:val="left"/>
    </w:lvl>
    <w:lvl w:ilvl="8" w:tplc="C2025DFC">
      <w:numFmt w:val="decimal"/>
      <w:lvlText w:val=""/>
      <w:lvlJc w:val="left"/>
    </w:lvl>
  </w:abstractNum>
  <w:num w:numId="1" w16cid:durableId="519709143">
    <w:abstractNumId w:val="0"/>
    <w:lvlOverride w:ilvl="0">
      <w:startOverride w:val="1"/>
    </w:lvlOverride>
  </w:num>
  <w:num w:numId="2" w16cid:durableId="17325768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F0E"/>
    <w:rsid w:val="00101398"/>
    <w:rsid w:val="005D3F0E"/>
    <w:rsid w:val="00CD2A73"/>
    <w:rsid w:val="00EA6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4E550"/>
  <w15:docId w15:val="{047F023D-A1A6-4D1A-9D46-CFDBEBD05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40" w:after="70" w:line="228" w:lineRule="auto"/>
      <w:outlineLvl w:val="0"/>
    </w:pPr>
    <w:rPr>
      <w:b/>
      <w:bCs/>
      <w:color w:val="1B3A6B"/>
      <w:sz w:val="24"/>
      <w:szCs w:val="24"/>
    </w:rPr>
  </w:style>
  <w:style w:type="paragraph" w:styleId="Heading2">
    <w:name w:val="heading 2"/>
    <w:uiPriority w:val="9"/>
    <w:semiHidden/>
    <w:unhideWhenUsed/>
    <w:qFormat/>
    <w:pPr>
      <w:spacing w:before="110" w:after="50" w:line="228" w:lineRule="auto"/>
      <w:outlineLvl w:val="1"/>
    </w:pPr>
    <w:rPr>
      <w:b/>
      <w:bCs/>
      <w:color w:val="2C5F9E"/>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2837</Words>
  <Characters>16175</Characters>
  <Application>Microsoft Office Word</Application>
  <DocSecurity>0</DocSecurity>
  <Lines>134</Lines>
  <Paragraphs>37</Paragraphs>
  <ScaleCrop>false</ScaleCrop>
  <Company/>
  <LinksUpToDate>false</LinksUpToDate>
  <CharactersWithSpaces>18975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Haider Zia</cp:lastModifiedBy>
  <cp:revision>2</cp:revision>
  <dcterms:created xsi:type="dcterms:W3CDTF">2026-03-14T11:58:00Z</dcterms:created>
  <dcterms:modified xsi:type="dcterms:W3CDTF">2026-03-14T12:04:00Z</dcterms:modified>
</cp:coreProperties>
</file>