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D52" w14:textId="77777777" w:rsidR="00741613" w:rsidRPr="00741613" w:rsidRDefault="00741613" w:rsidP="00741613">
      <w:r w:rsidRPr="00741613">
        <w:t>Title: Bloom’s Taxonomy, Education, and Large Language/Multimodal Models: Current Datasets, Research Trends, and Future Directions</w:t>
      </w:r>
    </w:p>
    <w:p w14:paraId="38DF6517" w14:textId="77777777" w:rsidR="00741613" w:rsidRPr="00741613" w:rsidRDefault="00741613" w:rsidP="00741613">
      <w:r w:rsidRPr="00741613">
        <w:t>Abstract This synthesis integrates Bloom’s revised taxonomy with current educational aims in the era of large language models (LLMs) and multimodal large models (LMMs). Drawing on contemporary surveys, datasets, and methodological analyses from the last few years, this review maps how Bloom’s taxonomy informs evaluation, instruction design, and research methodologies for LLM/LMM-enabled education, knowledge-work, and disciplinary applications. We synthesize findings across datasets (public and private), benchmarks, evaluation protocols, and reported limitations to identify research gaps and propose novel, taxonomy-aligned directions for future work. Where relevant, we discuss domain-specific challenges (e.g., multilingual and Arabic NLP, ethical considerations in healthcare and finance, and code/biomedical contexts) and highlight cross-domain implications for pedagogy, assessment, and system design.</w:t>
      </w:r>
    </w:p>
    <w:p w14:paraId="6D35F866" w14:textId="77777777" w:rsidR="00741613" w:rsidRPr="00741613" w:rsidRDefault="00741613" w:rsidP="00741613">
      <w:pPr>
        <w:numPr>
          <w:ilvl w:val="0"/>
          <w:numId w:val="1"/>
        </w:numPr>
      </w:pPr>
      <w:r w:rsidRPr="00741613">
        <w:t>Conceptual integration: Bloom’s taxonomy as a foundation for LLM/LMM education and evaluation</w:t>
      </w:r>
    </w:p>
    <w:p w14:paraId="4A87411D" w14:textId="77777777" w:rsidR="00741613" w:rsidRPr="00741613" w:rsidRDefault="00741613" w:rsidP="00741613">
      <w:pPr>
        <w:numPr>
          <w:ilvl w:val="1"/>
          <w:numId w:val="1"/>
        </w:numPr>
      </w:pPr>
      <w:r w:rsidRPr="00741613">
        <w:t>Bloom’s revised taxonomy (Remember, Understand, Apply, Analyze, Evaluate, Create) provides a structured framework for designing educational tasks, prompts, and assessment rubrics that align with cognitive complexity. Recent literature demonstrates the utility of Bloom-inspired coding of prompts and evaluation tasks to measure higher-order thinking in domain-specific settings (e.g., domain knowledge extraction, reasoning, and synthesis) (Yu, 2025; (Tadimalla &amp; Maher, 2025)(Tian, 2025; . This alignment supports both (a) instruction design for educators and (b) benchmarking of LLM/LMM capabilities in educational and research contexts.</w:t>
      </w:r>
    </w:p>
    <w:p w14:paraId="41D9CA47" w14:textId="77777777" w:rsidR="00741613" w:rsidRPr="00741613" w:rsidRDefault="00741613" w:rsidP="00741613">
      <w:pPr>
        <w:numPr>
          <w:ilvl w:val="1"/>
          <w:numId w:val="1"/>
        </w:numPr>
      </w:pPr>
      <w:r w:rsidRPr="00741613">
        <w:t>Several recent works explicitly leverage Bloom’s taxonomy to generate or assess educational content, questions, and evaluation items. For example, RAG-adaptation and data-generation pipelines incorporate Bloom’s-inspired question/answer triples to scaffold domain-grounded learning and evaluation (RAGen) (Tian, 2025; . ACER and related curriculum-learning schemes synthesize textbook-style curricula and QA pairs guided by Bloom’s taxonomy to bootstrap domain-adaptive pretraining and continual learning in specialized domains (Gao, 2025; . CAP and AlignSurvey further illustrate the role of factuality, alignment, and taxonomic considerations (including Bloom-like hierarchies) in evaluating LLM outputs across scientific and social survey contexts (Gamba, 2025; Lin, 2025).</w:t>
      </w:r>
    </w:p>
    <w:p w14:paraId="5B31F057" w14:textId="77777777" w:rsidR="00741613" w:rsidRPr="00741613" w:rsidRDefault="00741613" w:rsidP="00741613">
      <w:pPr>
        <w:numPr>
          <w:ilvl w:val="1"/>
          <w:numId w:val="1"/>
        </w:numPr>
      </w:pPr>
      <w:r w:rsidRPr="00741613">
        <w:lastRenderedPageBreak/>
        <w:t>In the education domain, Bloom-based rubrics support fair and transparent assessment of LLM-assisted writing, arguing for robust evaluation frameworks beyond surface metrics; forthcoming work on argumentative automated essay scoring (AAES) identifies gaps in construct validity and bias, urging alignment with argumentation theory and Bloom-like hierarchies to improve pedagogical reliability Favero, 2026).</w:t>
      </w:r>
    </w:p>
    <w:p w14:paraId="25DE1EB0" w14:textId="77777777" w:rsidR="00741613" w:rsidRPr="00741613" w:rsidRDefault="00741613" w:rsidP="00741613">
      <w:pPr>
        <w:numPr>
          <w:ilvl w:val="0"/>
          <w:numId w:val="1"/>
        </w:numPr>
      </w:pPr>
      <w:r w:rsidRPr="00741613">
        <w:t>Current datasets and benchmarks: breadth, gaps, and domain coverage</w:t>
      </w:r>
    </w:p>
    <w:p w14:paraId="554BFAB0" w14:textId="77777777" w:rsidR="00741613" w:rsidRPr="00741613" w:rsidRDefault="00741613" w:rsidP="00741613">
      <w:pPr>
        <w:numPr>
          <w:ilvl w:val="1"/>
          <w:numId w:val="1"/>
        </w:numPr>
      </w:pPr>
      <w:r w:rsidRPr="00741613">
        <w:t>Public and private datasets for LLM/LMM evaluation span multilingual, domain-specific, and cross-modal tasks. Notable resources include:</w:t>
      </w:r>
    </w:p>
    <w:p w14:paraId="5EDD06FB" w14:textId="77777777" w:rsidR="00741613" w:rsidRPr="00741613" w:rsidRDefault="00741613" w:rsidP="00741613">
      <w:pPr>
        <w:numPr>
          <w:ilvl w:val="1"/>
          <w:numId w:val="1"/>
        </w:numPr>
      </w:pPr>
      <w:r w:rsidRPr="00741613">
        <w:t>Multilingual and non-English benchmarking: new taxonomy and best practices for European languages and multilingual benchmarks (Vintar) (Vintar, 2025; .</w:t>
      </w:r>
    </w:p>
    <w:p w14:paraId="6061AB3D" w14:textId="77777777" w:rsidR="00741613" w:rsidRPr="00741613" w:rsidRDefault="00741613" w:rsidP="00741613">
      <w:pPr>
        <w:numPr>
          <w:ilvl w:val="1"/>
          <w:numId w:val="1"/>
        </w:numPr>
      </w:pPr>
      <w:r w:rsidRPr="00741613">
        <w:t>Domain-specific, retrieval-augmented data: RAG adaptation and domain-grounded QAC triples (RAGen) (Tian, 2025; .</w:t>
      </w:r>
    </w:p>
    <w:p w14:paraId="1DF33E1F" w14:textId="77777777" w:rsidR="00741613" w:rsidRPr="00741613" w:rsidRDefault="00741613" w:rsidP="00741613">
      <w:pPr>
        <w:numPr>
          <w:ilvl w:val="1"/>
          <w:numId w:val="1"/>
        </w:numPr>
      </w:pPr>
      <w:r w:rsidRPr="00741613">
        <w:t>Narrative and structured-domain benchmarks: NarraBench (78 benchmarks; identified gaps in narrative understanding tasks) (Hamilton, 2025; .</w:t>
      </w:r>
    </w:p>
    <w:p w14:paraId="17A2E183" w14:textId="77777777" w:rsidR="00741613" w:rsidRPr="00741613" w:rsidRDefault="00741613" w:rsidP="00741613">
      <w:pPr>
        <w:numPr>
          <w:ilvl w:val="1"/>
          <w:numId w:val="1"/>
        </w:numPr>
      </w:pPr>
      <w:r w:rsidRPr="00741613">
        <w:t>Scientific/biomedical cross-disciplinary evaluation: CAP for scientific hallucination detection (multilingual, cross-lingual) (Gamba, 2025; .</w:t>
      </w:r>
    </w:p>
    <w:p w14:paraId="5EB2258C" w14:textId="77777777" w:rsidR="00741613" w:rsidRPr="00741613" w:rsidRDefault="00741613" w:rsidP="00741613">
      <w:pPr>
        <w:numPr>
          <w:ilvl w:val="1"/>
          <w:numId w:val="1"/>
        </w:numPr>
      </w:pPr>
      <w:r w:rsidRPr="00741613">
        <w:t>Healthcare ethics and evaluation: systematic reviews on LLM ethics in healthcare to inform benchmark design and safety criteria (Fareed et al., 2025; .</w:t>
      </w:r>
    </w:p>
    <w:p w14:paraId="73574638" w14:textId="77777777" w:rsidR="00741613" w:rsidRPr="00741613" w:rsidRDefault="00741613" w:rsidP="00741613">
      <w:pPr>
        <w:numPr>
          <w:ilvl w:val="1"/>
          <w:numId w:val="1"/>
        </w:numPr>
      </w:pPr>
      <w:r w:rsidRPr="00741613">
        <w:t>SDoH extraction in clinical notes: methodological reviews mapping LLM performance and fairness across datasets (private vs. public) Farrag et al., 2025; .</w:t>
      </w:r>
    </w:p>
    <w:p w14:paraId="762DD4CA" w14:textId="77777777" w:rsidR="00741613" w:rsidRPr="00741613" w:rsidRDefault="00741613" w:rsidP="00741613">
      <w:pPr>
        <w:numPr>
          <w:ilvl w:val="1"/>
          <w:numId w:val="1"/>
        </w:numPr>
      </w:pPr>
      <w:r w:rsidRPr="00741613">
        <w:t>Private datasets dominate high-stakes domains (health, finance, education) due to privacy, regulatory, and governance constraints (SDoH and medical notes studies note limited external validation and calls for standardized annotation guidelines) Farrag et al., 2025; .</w:t>
      </w:r>
    </w:p>
    <w:p w14:paraId="574952BA" w14:textId="77777777" w:rsidR="00741613" w:rsidRPr="00741613" w:rsidRDefault="00741613" w:rsidP="00741613">
      <w:pPr>
        <w:numPr>
          <w:ilvl w:val="1"/>
          <w:numId w:val="1"/>
        </w:numPr>
      </w:pPr>
      <w:r w:rsidRPr="00741613">
        <w:t>Several surveys emphasize the need for standardized, transparent benchmarks that capture higher-order reasoning, cross-domain transfer, and robust factuality (e.g., CAP, NarraBench, AlignSurvey) (Gamba, 2025; (Hamilton, 2025; Lin, 2025).</w:t>
      </w:r>
    </w:p>
    <w:p w14:paraId="32F78176" w14:textId="77777777" w:rsidR="00741613" w:rsidRPr="00741613" w:rsidRDefault="00741613" w:rsidP="00741613">
      <w:pPr>
        <w:numPr>
          <w:ilvl w:val="1"/>
          <w:numId w:val="1"/>
        </w:numPr>
      </w:pPr>
      <w:r w:rsidRPr="00741613">
        <w:t xml:space="preserve">Limitations repeatedly cited include lack of external validation, annotation guidelines, fairness assessment, and domain-adaptive </w:t>
      </w:r>
      <w:r w:rsidRPr="00741613">
        <w:lastRenderedPageBreak/>
        <w:t>evaluation paradigms, underscoring a gap between broad benchmarks and domain-specific, Bloom-aligned assessment needs Farrag et al., 2025; (Yu, 2025; Lin, 2025).</w:t>
      </w:r>
    </w:p>
    <w:p w14:paraId="5C2E682D" w14:textId="77777777" w:rsidR="00741613" w:rsidRPr="00741613" w:rsidRDefault="00741613" w:rsidP="00741613">
      <w:pPr>
        <w:numPr>
          <w:ilvl w:val="0"/>
          <w:numId w:val="1"/>
        </w:numPr>
      </w:pPr>
      <w:r w:rsidRPr="00741613">
        <w:t>Methodologies: prompting, data generation, retrieval, and evaluation</w:t>
      </w:r>
    </w:p>
    <w:p w14:paraId="7B5F7E28" w14:textId="77777777" w:rsidR="00741613" w:rsidRPr="00741613" w:rsidRDefault="00741613" w:rsidP="00741613">
      <w:pPr>
        <w:numPr>
          <w:ilvl w:val="1"/>
          <w:numId w:val="1"/>
        </w:numPr>
      </w:pPr>
      <w:r w:rsidRPr="00741613">
        <w:t>Retrieval-Augmented Generation (RAG) and domain-grounded data generation:</w:t>
      </w:r>
    </w:p>
    <w:p w14:paraId="1977AF62" w14:textId="77777777" w:rsidR="00741613" w:rsidRPr="00741613" w:rsidRDefault="00741613" w:rsidP="00741613">
      <w:pPr>
        <w:numPr>
          <w:ilvl w:val="1"/>
          <w:numId w:val="1"/>
        </w:numPr>
      </w:pPr>
      <w:r w:rsidRPr="00741613">
        <w:t>RAGen provides a modular framework to generate domain-specific QAC triples guided by Bloom’s-inspired principles, supporting diverse RAG configurations and multi-chunk retrieval for complex reasoning tasks (Tian, 2025; .</w:t>
      </w:r>
    </w:p>
    <w:p w14:paraId="1F8FF6FB" w14:textId="77777777" w:rsidR="00741613" w:rsidRPr="00741613" w:rsidRDefault="00741613" w:rsidP="00741613">
      <w:pPr>
        <w:numPr>
          <w:ilvl w:val="1"/>
          <w:numId w:val="1"/>
        </w:numPr>
      </w:pPr>
      <w:r w:rsidRPr="00741613">
        <w:t>Domain-adaptive data generation and evaluation pipelines emphasize modular design: LLM selection, retriever type, embedding model, and prompt strategy, with attention to privacy and governance considerations in enterprise contexts (Tian, 2025; (Fareed et al., 2025; .</w:t>
      </w:r>
    </w:p>
    <w:p w14:paraId="7102AD62" w14:textId="77777777" w:rsidR="00741613" w:rsidRPr="00741613" w:rsidRDefault="00741613" w:rsidP="00741613">
      <w:pPr>
        <w:numPr>
          <w:ilvl w:val="1"/>
          <w:numId w:val="1"/>
        </w:numPr>
      </w:pPr>
      <w:r w:rsidRPr="00741613">
        <w:t>Curriculum learning and synthetic data for domain adaptation:</w:t>
      </w:r>
    </w:p>
    <w:p w14:paraId="0EC27D45" w14:textId="77777777" w:rsidR="00741613" w:rsidRPr="00741613" w:rsidRDefault="00741613" w:rsidP="00741613">
      <w:pPr>
        <w:numPr>
          <w:ilvl w:val="1"/>
          <w:numId w:val="1"/>
        </w:numPr>
      </w:pPr>
      <w:r w:rsidRPr="00741613">
        <w:t>Automated curriculum generation (ACER) synthesizes a textbook-style curriculum with Bloom-aligned QA pairs, enabling continual pretraining and cross-domain knowledge transfer in specialized domains such as economics and psychology (Gao, 2025; .</w:t>
      </w:r>
    </w:p>
    <w:p w14:paraId="564C6C7F" w14:textId="77777777" w:rsidR="00741613" w:rsidRPr="00741613" w:rsidRDefault="00741613" w:rsidP="00741613">
      <w:pPr>
        <w:numPr>
          <w:ilvl w:val="1"/>
          <w:numId w:val="1"/>
        </w:numPr>
      </w:pPr>
      <w:r w:rsidRPr="00741613">
        <w:t>Synthetic pretraining corpora with multi-stage prompting (Cosmopedia, Phi-4 models) and related data-generation pipelines are proposed to close domain gaps; these approaches complement traditional self-instruction methods to improve domain coverage Neema, 2025).</w:t>
      </w:r>
    </w:p>
    <w:p w14:paraId="4CEB3953" w14:textId="77777777" w:rsidR="00741613" w:rsidRPr="00741613" w:rsidRDefault="00741613" w:rsidP="00741613">
      <w:pPr>
        <w:numPr>
          <w:ilvl w:val="1"/>
          <w:numId w:val="1"/>
        </w:numPr>
      </w:pPr>
      <w:r w:rsidRPr="00741613">
        <w:t>Evaluation and alignment:</w:t>
      </w:r>
    </w:p>
    <w:p w14:paraId="77030249" w14:textId="77777777" w:rsidR="00741613" w:rsidRPr="00741613" w:rsidRDefault="00741613" w:rsidP="00741613">
      <w:pPr>
        <w:numPr>
          <w:ilvl w:val="1"/>
          <w:numId w:val="1"/>
        </w:numPr>
      </w:pPr>
      <w:r w:rsidRPr="00741613">
        <w:t>AlignSurvey and related pipelines provide domain-relevant benchmarks for alignment and fairness in social surveys, highlighting the need to evaluate LLMs across pipeline stages (modeling, interviewing, responding) with demographic fairness considerations Lin, 2025).</w:t>
      </w:r>
    </w:p>
    <w:p w14:paraId="497BA241" w14:textId="77777777" w:rsidR="00741613" w:rsidRPr="00741613" w:rsidRDefault="00741613" w:rsidP="00741613">
      <w:pPr>
        <w:numPr>
          <w:ilvl w:val="1"/>
          <w:numId w:val="1"/>
        </w:numPr>
      </w:pPr>
      <w:r w:rsidRPr="00741613">
        <w:t>Code hallucinations and reliability in code-oriented LLMs summarize a landscape of benchmarks (static and dynamic) and mitigation strategies, emphasizing the need for task-specific evaluation that captures runtime and safety constraints (Gao, 2025; .</w:t>
      </w:r>
    </w:p>
    <w:p w14:paraId="270C7BA5" w14:textId="77777777" w:rsidR="00741613" w:rsidRPr="00741613" w:rsidRDefault="00741613" w:rsidP="00741613">
      <w:pPr>
        <w:numPr>
          <w:ilvl w:val="1"/>
          <w:numId w:val="1"/>
        </w:numPr>
      </w:pPr>
      <w:r w:rsidRPr="00741613">
        <w:t>CAP provides multilingual hallucination detection in scientific texts, enabling cross-lingual evaluation of factuality and fluency in LLM outputs (Gamba, 2025; .</w:t>
      </w:r>
    </w:p>
    <w:p w14:paraId="24F02F3A" w14:textId="77777777" w:rsidR="00741613" w:rsidRPr="00741613" w:rsidRDefault="00741613" w:rsidP="00741613">
      <w:pPr>
        <w:numPr>
          <w:ilvl w:val="1"/>
          <w:numId w:val="1"/>
        </w:numPr>
      </w:pPr>
      <w:r w:rsidRPr="00741613">
        <w:lastRenderedPageBreak/>
        <w:t>Spatial and multimodal reasoning:</w:t>
      </w:r>
    </w:p>
    <w:p w14:paraId="2D508615" w14:textId="77777777" w:rsidR="00741613" w:rsidRPr="00741613" w:rsidRDefault="00741613" w:rsidP="00741613">
      <w:pPr>
        <w:numPr>
          <w:ilvl w:val="1"/>
          <w:numId w:val="1"/>
        </w:numPr>
      </w:pPr>
      <w:r w:rsidRPr="00741613">
        <w:t>Spatial reasoning surveys and VLM/MLLM benchmarks illustrate cross-task and cross-modality evaluation challenges, underscoring spatial cognition as a key area for cross-domain evaluation and instruction design (Liu, 2025; .</w:t>
      </w:r>
    </w:p>
    <w:p w14:paraId="0534AE72" w14:textId="77777777" w:rsidR="00741613" w:rsidRPr="00741613" w:rsidRDefault="00741613" w:rsidP="00741613">
      <w:pPr>
        <w:numPr>
          <w:ilvl w:val="1"/>
          <w:numId w:val="1"/>
        </w:numPr>
      </w:pPr>
      <w:r w:rsidRPr="00741613">
        <w:t>Ethics and governance as evaluation drivers:</w:t>
      </w:r>
    </w:p>
    <w:p w14:paraId="51150495" w14:textId="77777777" w:rsidR="00741613" w:rsidRPr="00741613" w:rsidRDefault="00741613" w:rsidP="00741613">
      <w:pPr>
        <w:numPr>
          <w:ilvl w:val="1"/>
          <w:numId w:val="1"/>
        </w:numPr>
      </w:pPr>
      <w:r w:rsidRPr="00741613">
        <w:t>Systematic reviews of ethical considerations in healthcare, including bias, safety, transparency, accountability, and privacy, guide the design of ethical evaluation criteria for educational and clinical deployments of LLMs (Fareed et al., 2025; .</w:t>
      </w:r>
    </w:p>
    <w:p w14:paraId="2E5DB8AC" w14:textId="77777777" w:rsidR="00741613" w:rsidRPr="00741613" w:rsidRDefault="00741613" w:rsidP="00741613">
      <w:pPr>
        <w:numPr>
          <w:ilvl w:val="0"/>
          <w:numId w:val="1"/>
        </w:numPr>
      </w:pPr>
      <w:r w:rsidRPr="00741613">
        <w:t>Findings and current limitations</w:t>
      </w:r>
    </w:p>
    <w:p w14:paraId="5C827194" w14:textId="77777777" w:rsidR="00741613" w:rsidRPr="00741613" w:rsidRDefault="00741613" w:rsidP="00741613">
      <w:pPr>
        <w:numPr>
          <w:ilvl w:val="1"/>
          <w:numId w:val="1"/>
        </w:numPr>
      </w:pPr>
      <w:r w:rsidRPr="00741613">
        <w:t>Performance vs. domain-specific knowledge:</w:t>
      </w:r>
    </w:p>
    <w:p w14:paraId="134C2577" w14:textId="77777777" w:rsidR="00741613" w:rsidRPr="00741613" w:rsidRDefault="00741613" w:rsidP="00741613">
      <w:pPr>
        <w:numPr>
          <w:ilvl w:val="1"/>
          <w:numId w:val="1"/>
        </w:numPr>
      </w:pPr>
      <w:r w:rsidRPr="00741613">
        <w:t>Large language models excel at general tasks but face persistent gaps in niche domains requiring principled, structured knowledge. Domain-adaptive pretraining and targeted curricula (ACER, RAGen, domain-specific data) show promise but require careful evaluation to avoid catastrophic forgetting and to ensure transfer across domains (Gao, 2025; Neema, 2025)Fang, 2025).</w:t>
      </w:r>
    </w:p>
    <w:p w14:paraId="6B4612E1" w14:textId="77777777" w:rsidR="00741613" w:rsidRPr="00741613" w:rsidRDefault="00741613" w:rsidP="00741613">
      <w:pPr>
        <w:numPr>
          <w:ilvl w:val="1"/>
          <w:numId w:val="1"/>
        </w:numPr>
      </w:pPr>
      <w:r w:rsidRPr="00741613">
        <w:t>Benchmark coverage and alignment:</w:t>
      </w:r>
    </w:p>
    <w:p w14:paraId="7A4F3AF8" w14:textId="77777777" w:rsidR="00741613" w:rsidRPr="00741613" w:rsidRDefault="00741613" w:rsidP="00741613">
      <w:pPr>
        <w:numPr>
          <w:ilvl w:val="1"/>
          <w:numId w:val="1"/>
        </w:numPr>
      </w:pPr>
      <w:r w:rsidRPr="00741613">
        <w:t>Existing benchmarks are rich in general reasoning tasks but underrepresent higher-order cognitive tasks aligned with Bloom’s taxonomy (analysis, evaluation, creation) and domain-specific reasoning demands. NarraBench and AlignSurvey highlight deficits in narrative understanding and survey alignment tasks, suggesting renewed focus on higher-order benchmarks (Hamilton, 2025; Lin, 2025).</w:t>
      </w:r>
    </w:p>
    <w:p w14:paraId="4C963866" w14:textId="77777777" w:rsidR="00741613" w:rsidRPr="00741613" w:rsidRDefault="00741613" w:rsidP="00741613">
      <w:pPr>
        <w:numPr>
          <w:ilvl w:val="1"/>
          <w:numId w:val="1"/>
        </w:numPr>
      </w:pPr>
      <w:r w:rsidRPr="00741613">
        <w:t>Data privacy and reproducibility:</w:t>
      </w:r>
    </w:p>
    <w:p w14:paraId="39FE8815" w14:textId="77777777" w:rsidR="00741613" w:rsidRPr="00741613" w:rsidRDefault="00741613" w:rsidP="00741613">
      <w:pPr>
        <w:numPr>
          <w:ilvl w:val="1"/>
          <w:numId w:val="1"/>
        </w:numPr>
      </w:pPr>
      <w:r w:rsidRPr="00741613">
        <w:t>Private datasets are prevalent in healthcare, finance, and education; lack of annotation guidelines and external validation hampers reproducibility and fairness assessments. Calls for standardized annotation protocols, explicit ethical considerations, and transparent reporting are recurrent across reviews Farrag et al., 2025; (Fareed et al., 2025; .</w:t>
      </w:r>
    </w:p>
    <w:p w14:paraId="74B75E19" w14:textId="77777777" w:rsidR="00741613" w:rsidRPr="00741613" w:rsidRDefault="00741613" w:rsidP="00741613">
      <w:pPr>
        <w:numPr>
          <w:ilvl w:val="1"/>
          <w:numId w:val="1"/>
        </w:numPr>
      </w:pPr>
      <w:r w:rsidRPr="00741613">
        <w:t>Hallucinations and factuality:</w:t>
      </w:r>
    </w:p>
    <w:p w14:paraId="39A1E86F" w14:textId="77777777" w:rsidR="00741613" w:rsidRPr="00741613" w:rsidRDefault="00741613" w:rsidP="00741613">
      <w:pPr>
        <w:numPr>
          <w:ilvl w:val="1"/>
          <w:numId w:val="1"/>
        </w:numPr>
      </w:pPr>
      <w:r w:rsidRPr="00741613">
        <w:t xml:space="preserve">Scientific and code-generation contexts reveal persistent hallucinations; CAP and related surveys emphasize the need for multilingual factuality </w:t>
      </w:r>
      <w:r w:rsidRPr="00741613">
        <w:lastRenderedPageBreak/>
        <w:t>evaluation and robust detection/mitigation benchmarks, especially for domain-specific generation (Gamba, 2025; (Gao, 2025; .</w:t>
      </w:r>
    </w:p>
    <w:p w14:paraId="135EADD6" w14:textId="77777777" w:rsidR="00741613" w:rsidRPr="00741613" w:rsidRDefault="00741613" w:rsidP="00741613">
      <w:pPr>
        <w:numPr>
          <w:ilvl w:val="1"/>
          <w:numId w:val="1"/>
        </w:numPr>
      </w:pPr>
      <w:r w:rsidRPr="00741613">
        <w:t>Multilingual and code-switching challenges:</w:t>
      </w:r>
    </w:p>
    <w:p w14:paraId="323FB778" w14:textId="77777777" w:rsidR="00741613" w:rsidRPr="00741613" w:rsidRDefault="00741613" w:rsidP="00741613">
      <w:pPr>
        <w:numPr>
          <w:ilvl w:val="1"/>
          <w:numId w:val="1"/>
        </w:numPr>
      </w:pPr>
      <w:r w:rsidRPr="00741613">
        <w:t>Non-English and code-switched contexts remain underexplored despite progress in multilingual benchmarks; surveys stress the need for linguistically grounded models, culturally aware evaluation, and inclusive datasets (Vintar, 2025; Sheth, 2025).</w:t>
      </w:r>
    </w:p>
    <w:p w14:paraId="516E506F" w14:textId="77777777" w:rsidR="00741613" w:rsidRPr="00741613" w:rsidRDefault="00741613" w:rsidP="00741613">
      <w:pPr>
        <w:numPr>
          <w:ilvl w:val="1"/>
          <w:numId w:val="1"/>
        </w:numPr>
      </w:pPr>
      <w:r w:rsidRPr="00741613">
        <w:t>Spatial and multimodal reasoning gaps:</w:t>
      </w:r>
    </w:p>
    <w:p w14:paraId="10108400" w14:textId="77777777" w:rsidR="00741613" w:rsidRPr="00741613" w:rsidRDefault="00741613" w:rsidP="00741613">
      <w:pPr>
        <w:numPr>
          <w:ilvl w:val="1"/>
          <w:numId w:val="1"/>
        </w:numPr>
      </w:pPr>
      <w:r w:rsidRPr="00741613">
        <w:t>Spatial reasoning remains a key bottleneck for embodied and multimodal models; current benchmarks reveal gaps between cognitive theories of spatial reasoning and model capabilities, guiding future research in training objectives and architectural designs (Liu, 2025; .</w:t>
      </w:r>
    </w:p>
    <w:p w14:paraId="64A4A706" w14:textId="77777777" w:rsidR="00741613" w:rsidRPr="00741613" w:rsidRDefault="00741613" w:rsidP="00741613">
      <w:pPr>
        <w:numPr>
          <w:ilvl w:val="0"/>
          <w:numId w:val="1"/>
        </w:numPr>
      </w:pPr>
      <w:r w:rsidRPr="00741613">
        <w:t>Research gaps and future directions</w:t>
      </w:r>
    </w:p>
    <w:p w14:paraId="1BA885C5" w14:textId="77777777" w:rsidR="00741613" w:rsidRPr="00741613" w:rsidRDefault="00741613" w:rsidP="00741613">
      <w:pPr>
        <w:numPr>
          <w:ilvl w:val="1"/>
          <w:numId w:val="1"/>
        </w:numPr>
      </w:pPr>
      <w:r w:rsidRPr="00741613">
        <w:t>Taxonomy-aligned evaluation frameworks:</w:t>
      </w:r>
    </w:p>
    <w:p w14:paraId="2B20A252" w14:textId="77777777" w:rsidR="00741613" w:rsidRPr="00741613" w:rsidRDefault="00741613" w:rsidP="00741613">
      <w:pPr>
        <w:numPr>
          <w:ilvl w:val="1"/>
          <w:numId w:val="1"/>
        </w:numPr>
      </w:pPr>
      <w:r w:rsidRPr="00741613">
        <w:t>Develop Bloom’s taxonomy-aligned benchmarks and evaluation suites that explicitly assess Remember through Create levels across domains (education, science, finance, healthcare). This includes designing tasks that require analysis, evaluation, and creation within domain contexts, with standardized rubric-based scoring and human-in-the-loop validation (Tadimalla &amp; Maher, 2025)(Yu, 2025; Lin, 2025).</w:t>
      </w:r>
    </w:p>
    <w:p w14:paraId="1DFFEFC5" w14:textId="77777777" w:rsidR="00741613" w:rsidRPr="00741613" w:rsidRDefault="00741613" w:rsidP="00741613">
      <w:pPr>
        <w:numPr>
          <w:ilvl w:val="1"/>
          <w:numId w:val="1"/>
        </w:numPr>
      </w:pPr>
      <w:r w:rsidRPr="00741613">
        <w:t>Domain-adaptive pretraining with principled curricula:</w:t>
      </w:r>
    </w:p>
    <w:p w14:paraId="7E9E1315" w14:textId="77777777" w:rsidR="00741613" w:rsidRPr="00741613" w:rsidRDefault="00741613" w:rsidP="00741613">
      <w:pPr>
        <w:numPr>
          <w:ilvl w:val="1"/>
          <w:numId w:val="1"/>
        </w:numPr>
      </w:pPr>
      <w:r w:rsidRPr="00741613">
        <w:t>Expand domain-adaptive pretraining with automated curriculum generation that maps Bloom’s levels to learning objectives, enabling progressive difficulty and systematic knowledge consolidation in specialized fields (economics, psychology, LIS, etc.) (Gao, 2025; Kocoń, 2025; Neema, 2025).</w:t>
      </w:r>
    </w:p>
    <w:p w14:paraId="114F0784" w14:textId="77777777" w:rsidR="00741613" w:rsidRPr="00741613" w:rsidRDefault="00741613" w:rsidP="00741613">
      <w:pPr>
        <w:numPr>
          <w:ilvl w:val="1"/>
          <w:numId w:val="1"/>
        </w:numPr>
      </w:pPr>
      <w:r w:rsidRPr="00741613">
        <w:t>Transparent, privacy-preserving domain data:</w:t>
      </w:r>
    </w:p>
    <w:p w14:paraId="1FE0023C" w14:textId="77777777" w:rsidR="00741613" w:rsidRPr="00741613" w:rsidRDefault="00741613" w:rsidP="00741613">
      <w:pPr>
        <w:numPr>
          <w:ilvl w:val="1"/>
          <w:numId w:val="1"/>
        </w:numPr>
      </w:pPr>
      <w:r w:rsidRPr="00741613">
        <w:t>Invest in reproducible, privacy-preserving data pipelines for domain datasets, including synthetic data, carefully annotated benchmarks, and open datasets with clear provenance to improve external validation and fairness analyses Farrag et al., 2025; (Fareed et al., 2025; Fang, 2025).</w:t>
      </w:r>
    </w:p>
    <w:p w14:paraId="6FC282DF" w14:textId="77777777" w:rsidR="00741613" w:rsidRPr="00741613" w:rsidRDefault="00741613" w:rsidP="00741613">
      <w:pPr>
        <w:numPr>
          <w:ilvl w:val="1"/>
          <w:numId w:val="1"/>
        </w:numPr>
      </w:pPr>
      <w:r w:rsidRPr="00741613">
        <w:t>Multilingual and cross-cultural benchmarks:</w:t>
      </w:r>
    </w:p>
    <w:p w14:paraId="1423A55E" w14:textId="77777777" w:rsidR="00741613" w:rsidRPr="00741613" w:rsidRDefault="00741613" w:rsidP="00741613">
      <w:pPr>
        <w:numPr>
          <w:ilvl w:val="1"/>
          <w:numId w:val="1"/>
        </w:numPr>
      </w:pPr>
      <w:r w:rsidRPr="00741613">
        <w:t xml:space="preserve">Advance multilingual benchmarks with culturally aware evaluation metrics, focusing on non-English and code-switched contexts to improve </w:t>
      </w:r>
      <w:r w:rsidRPr="00741613">
        <w:lastRenderedPageBreak/>
        <w:t>inclusivity and reduce biases in evaluation and model behavior (Vintar, 2025; Sheth, 2025).</w:t>
      </w:r>
    </w:p>
    <w:p w14:paraId="368BC078" w14:textId="77777777" w:rsidR="00741613" w:rsidRPr="00741613" w:rsidRDefault="00741613" w:rsidP="00741613">
      <w:pPr>
        <w:numPr>
          <w:ilvl w:val="1"/>
          <w:numId w:val="1"/>
        </w:numPr>
      </w:pPr>
      <w:r w:rsidRPr="00741613">
        <w:t>Hallucination detection and factuality benchmarks:</w:t>
      </w:r>
    </w:p>
    <w:p w14:paraId="2A6393B6" w14:textId="77777777" w:rsidR="00741613" w:rsidRPr="00741613" w:rsidRDefault="00741613" w:rsidP="00741613">
      <w:pPr>
        <w:numPr>
          <w:ilvl w:val="1"/>
          <w:numId w:val="1"/>
        </w:numPr>
      </w:pPr>
      <w:r w:rsidRPr="00741613">
        <w:t>Create domain-specific, multilingual factuality datasets and eval frameworks (CAP-like multilingual datasets, code-hallucination benchmarks) to quantify and mitigate hallucinations across scientific, coding, and medical domains (Gamba, 2025; (Gao, 2025; (Fareed et al., 2025; .</w:t>
      </w:r>
    </w:p>
    <w:p w14:paraId="492677F8" w14:textId="77777777" w:rsidR="00741613" w:rsidRPr="00741613" w:rsidRDefault="00741613" w:rsidP="00741613">
      <w:pPr>
        <w:numPr>
          <w:ilvl w:val="1"/>
          <w:numId w:val="1"/>
        </w:numPr>
      </w:pPr>
      <w:r w:rsidRPr="00741613">
        <w:t>RAG and retrieval design for knowledge integrity:</w:t>
      </w:r>
    </w:p>
    <w:p w14:paraId="63D5508A" w14:textId="77777777" w:rsidR="00741613" w:rsidRPr="00741613" w:rsidRDefault="00741613" w:rsidP="00741613">
      <w:pPr>
        <w:numPr>
          <w:ilvl w:val="1"/>
          <w:numId w:val="1"/>
        </w:numPr>
      </w:pPr>
      <w:r w:rsidRPr="00741613">
        <w:t>Systematically study retrieval strategies (self-RAG, OpenRAG, R1Searcher) and their alignment with Bloom-based reasoning tasks, exploring how retrieval depth, chunking, and distractors affect higher-order reasoning and factual correctness (Tian, 2025; (Fareed et al., 2025; .</w:t>
      </w:r>
    </w:p>
    <w:p w14:paraId="097FAA1C" w14:textId="77777777" w:rsidR="00741613" w:rsidRPr="00741613" w:rsidRDefault="00741613" w:rsidP="00741613">
      <w:pPr>
        <w:numPr>
          <w:ilvl w:val="1"/>
          <w:numId w:val="1"/>
        </w:numPr>
      </w:pPr>
      <w:r w:rsidRPr="00741613">
        <w:t>Ethical governance and education:</w:t>
      </w:r>
    </w:p>
    <w:p w14:paraId="01AD9DD6" w14:textId="77777777" w:rsidR="00741613" w:rsidRPr="00741613" w:rsidRDefault="00741613" w:rsidP="00741613">
      <w:pPr>
        <w:numPr>
          <w:ilvl w:val="1"/>
          <w:numId w:val="1"/>
        </w:numPr>
      </w:pPr>
      <w:r w:rsidRPr="00741613">
        <w:t>Integrate ethical analysis with Bloom-aligned assessment in healthcare and education contexts, including bias mitigation, transparency, accountability, and privacy safeguards in teacher and learner-facing LLM tools (Fareed et al., 2025; Farrag et al., 2025; Favero, 2026).</w:t>
      </w:r>
    </w:p>
    <w:p w14:paraId="7C8CCDEA" w14:textId="77777777" w:rsidR="00741613" w:rsidRPr="00741613" w:rsidRDefault="00741613" w:rsidP="00741613">
      <w:pPr>
        <w:numPr>
          <w:ilvl w:val="1"/>
          <w:numId w:val="1"/>
        </w:numPr>
      </w:pPr>
      <w:r w:rsidRPr="00741613">
        <w:t>Embodied and spatial cognition in LMMs:</w:t>
      </w:r>
    </w:p>
    <w:p w14:paraId="40C48C89" w14:textId="77777777" w:rsidR="00741613" w:rsidRPr="00741613" w:rsidRDefault="00741613" w:rsidP="00741613">
      <w:pPr>
        <w:numPr>
          <w:ilvl w:val="1"/>
          <w:numId w:val="1"/>
        </w:numPr>
      </w:pPr>
      <w:r w:rsidRPr="00741613">
        <w:t>Promote research on spatial reasoning capabilities in LMMs with embodied and 3D-aware tasks, building benchmarks that connect cognitive theories of spatial intelligence with practical evaluation metrics (Liu, 2025; .</w:t>
      </w:r>
    </w:p>
    <w:p w14:paraId="4F503E5B" w14:textId="77777777" w:rsidR="00741613" w:rsidRPr="00741613" w:rsidRDefault="00741613" w:rsidP="00741613">
      <w:pPr>
        <w:numPr>
          <w:ilvl w:val="1"/>
          <w:numId w:val="1"/>
        </w:numPr>
      </w:pPr>
      <w:r w:rsidRPr="00741613">
        <w:t>Education-focused AI literacy and curriculum design:</w:t>
      </w:r>
    </w:p>
    <w:p w14:paraId="54751A0D" w14:textId="77777777" w:rsidR="00741613" w:rsidRPr="00741613" w:rsidRDefault="00741613" w:rsidP="00741613">
      <w:pPr>
        <w:numPr>
          <w:ilvl w:val="1"/>
          <w:numId w:val="1"/>
        </w:numPr>
      </w:pPr>
      <w:r w:rsidRPr="00741613">
        <w:t>Develop AI literacy courses and curricula anchored in Bloom’s taxonomy, balancing technical understanding with ethical and social implications, and evaluating learner progression from recall to creation in AI-enabled learning environments (Tadimalla &amp; Maher, 2025).</w:t>
      </w:r>
    </w:p>
    <w:p w14:paraId="2B753B44" w14:textId="77777777" w:rsidR="00741613" w:rsidRPr="00741613" w:rsidRDefault="00741613" w:rsidP="00741613">
      <w:pPr>
        <w:numPr>
          <w:ilvl w:val="0"/>
          <w:numId w:val="1"/>
        </w:numPr>
      </w:pPr>
      <w:r w:rsidRPr="00741613">
        <w:t>Novel and unexplored methodologies (potential directions with novelty)</w:t>
      </w:r>
    </w:p>
    <w:p w14:paraId="4B6F71AD" w14:textId="77777777" w:rsidR="00741613" w:rsidRPr="00741613" w:rsidRDefault="00741613" w:rsidP="00741613">
      <w:pPr>
        <w:numPr>
          <w:ilvl w:val="1"/>
          <w:numId w:val="1"/>
        </w:numPr>
      </w:pPr>
      <w:r w:rsidRPr="00741613">
        <w:t>Bloom-guided multi-agent collaboration:</w:t>
      </w:r>
    </w:p>
    <w:p w14:paraId="0D68C8C0" w14:textId="77777777" w:rsidR="00741613" w:rsidRPr="00741613" w:rsidRDefault="00741613" w:rsidP="00741613">
      <w:pPr>
        <w:numPr>
          <w:ilvl w:val="1"/>
          <w:numId w:val="1"/>
        </w:numPr>
      </w:pPr>
      <w:r w:rsidRPr="00741613">
        <w:t>Design multi-agent systems where each agent targets different Bloom levels for collaborative problem solving in complex domains (e.g., joint reasoning for scientific problem sets, with observable progress across Remember to Create) and study emergent coordination patterns.</w:t>
      </w:r>
    </w:p>
    <w:p w14:paraId="07EA2B7F" w14:textId="77777777" w:rsidR="00741613" w:rsidRPr="00741613" w:rsidRDefault="00741613" w:rsidP="00741613">
      <w:pPr>
        <w:numPr>
          <w:ilvl w:val="1"/>
          <w:numId w:val="1"/>
        </w:numPr>
      </w:pPr>
      <w:r w:rsidRPr="00741613">
        <w:lastRenderedPageBreak/>
        <w:t>Dynamic Bloom-aware prompting:</w:t>
      </w:r>
    </w:p>
    <w:p w14:paraId="3D934E06" w14:textId="77777777" w:rsidR="00741613" w:rsidRPr="00741613" w:rsidRDefault="00741613" w:rsidP="00741613">
      <w:pPr>
        <w:numPr>
          <w:ilvl w:val="1"/>
          <w:numId w:val="1"/>
        </w:numPr>
      </w:pPr>
      <w:r w:rsidRPr="00741613">
        <w:t>Develop prompting strategies that adapt the Bloom level in real time based on model responses and user feedback, enabling adaptive scaffolding in tutoring and assessment scenarios (Yu, 2025; Chen, 2025).</w:t>
      </w:r>
    </w:p>
    <w:p w14:paraId="5725206F" w14:textId="77777777" w:rsidR="00741613" w:rsidRPr="00741613" w:rsidRDefault="00741613" w:rsidP="00741613">
      <w:pPr>
        <w:numPr>
          <w:ilvl w:val="1"/>
          <w:numId w:val="1"/>
        </w:numPr>
      </w:pPr>
      <w:r w:rsidRPr="00741613">
        <w:t>Curriculum-informed model fine-tuning:</w:t>
      </w:r>
    </w:p>
    <w:p w14:paraId="465A1D83" w14:textId="77777777" w:rsidR="00741613" w:rsidRPr="00741613" w:rsidRDefault="00741613" w:rsidP="00741613">
      <w:pPr>
        <w:numPr>
          <w:ilvl w:val="1"/>
          <w:numId w:val="1"/>
        </w:numPr>
      </w:pPr>
      <w:r w:rsidRPr="00741613">
        <w:t>Use automated curriculum generation to produce fine-tuning datasets that systematically cover cognitive levels; study how incremental exposure to higher Bloom levels influences downstream performance on domain benchmarks (Gao, 2025; Fang, 2025).</w:t>
      </w:r>
    </w:p>
    <w:p w14:paraId="0A2B069B" w14:textId="77777777" w:rsidR="00741613" w:rsidRPr="00741613" w:rsidRDefault="00741613" w:rsidP="00741613">
      <w:pPr>
        <w:numPr>
          <w:ilvl w:val="1"/>
          <w:numId w:val="1"/>
        </w:numPr>
      </w:pPr>
      <w:r w:rsidRPr="00741613">
        <w:t>Explainability and audit trails tied to Bloom levels:</w:t>
      </w:r>
    </w:p>
    <w:p w14:paraId="2FA91DE2" w14:textId="77777777" w:rsidR="00741613" w:rsidRPr="00741613" w:rsidRDefault="00741613" w:rsidP="00741613">
      <w:pPr>
        <w:numPr>
          <w:ilvl w:val="1"/>
          <w:numId w:val="1"/>
        </w:numPr>
      </w:pPr>
      <w:r w:rsidRPr="00741613">
        <w:t>Build tools that log the cognitive level targeted by each model response, enabling finer-grained auditing of reasoning processes and facilitating alignment with pedagogical objectives and fairness standards (Fareed et al., 2025; Lin, 2025).</w:t>
      </w:r>
    </w:p>
    <w:p w14:paraId="05EC3C13" w14:textId="77777777" w:rsidR="00741613" w:rsidRPr="00741613" w:rsidRDefault="00741613" w:rsidP="00741613">
      <w:pPr>
        <w:numPr>
          <w:ilvl w:val="1"/>
          <w:numId w:val="1"/>
        </w:numPr>
      </w:pPr>
      <w:r w:rsidRPr="00741613">
        <w:t>Cross-domain transferability studies:</w:t>
      </w:r>
    </w:p>
    <w:p w14:paraId="52C957A1" w14:textId="77777777" w:rsidR="00741613" w:rsidRPr="00741613" w:rsidRDefault="00741613" w:rsidP="00741613">
      <w:pPr>
        <w:numPr>
          <w:ilvl w:val="1"/>
          <w:numId w:val="1"/>
        </w:numPr>
      </w:pPr>
      <w:r w:rsidRPr="00741613">
        <w:t>Systematically analyze transfer of Bloom-aligned curricula and prompts across domains (e.g., from LIS to finance or healthcare) to identify universal vs domain-specific elements of cognitive scaffolding.</w:t>
      </w:r>
    </w:p>
    <w:p w14:paraId="11339435" w14:textId="77777777" w:rsidR="00741613" w:rsidRPr="00741613" w:rsidRDefault="00741613" w:rsidP="00741613">
      <w:pPr>
        <w:numPr>
          <w:ilvl w:val="1"/>
          <w:numId w:val="1"/>
        </w:numPr>
      </w:pPr>
      <w:r w:rsidRPr="00741613">
        <w:t>Multimodal Bloom-based evaluation:</w:t>
      </w:r>
    </w:p>
    <w:p w14:paraId="02C96B22" w14:textId="77777777" w:rsidR="00741613" w:rsidRPr="00741613" w:rsidRDefault="00741613" w:rsidP="00741613">
      <w:pPr>
        <w:numPr>
          <w:ilvl w:val="1"/>
          <w:numId w:val="1"/>
        </w:numPr>
      </w:pPr>
      <w:r w:rsidRPr="00741613">
        <w:t>Extend Bloom-inspired evaluation to multimodal tasks (text, image, code, 3D data) by designing cross-modal prompts and rubrics that require ascending cognitive levels, enabling unified evaluation across modalities (Liu, 2025; (Tian, 2025; .</w:t>
      </w:r>
    </w:p>
    <w:p w14:paraId="041F9B79" w14:textId="77777777" w:rsidR="00741613" w:rsidRPr="00741613" w:rsidRDefault="00741613" w:rsidP="00741613">
      <w:pPr>
        <w:numPr>
          <w:ilvl w:val="0"/>
          <w:numId w:val="1"/>
        </w:numPr>
      </w:pPr>
      <w:r w:rsidRPr="00741613">
        <w:t>Practical implications for researchers and educators</w:t>
      </w:r>
    </w:p>
    <w:p w14:paraId="4B9C1334" w14:textId="77777777" w:rsidR="00741613" w:rsidRPr="00741613" w:rsidRDefault="00741613" w:rsidP="00741613">
      <w:pPr>
        <w:numPr>
          <w:ilvl w:val="1"/>
          <w:numId w:val="1"/>
        </w:numPr>
      </w:pPr>
      <w:r w:rsidRPr="00741613">
        <w:t>For researchers:</w:t>
      </w:r>
    </w:p>
    <w:p w14:paraId="3D997CBC" w14:textId="77777777" w:rsidR="00741613" w:rsidRPr="00741613" w:rsidRDefault="00741613" w:rsidP="00741613">
      <w:pPr>
        <w:numPr>
          <w:ilvl w:val="1"/>
          <w:numId w:val="1"/>
        </w:numPr>
      </w:pPr>
      <w:r w:rsidRPr="00741613">
        <w:t>Prioritize Bloom-aligned benchmarks and domain-adaptive evaluation frameworks when developing LLM/LMM systems intended for education, knowledge-work, or domain-specific practice.</w:t>
      </w:r>
    </w:p>
    <w:p w14:paraId="44531475" w14:textId="77777777" w:rsidR="00741613" w:rsidRPr="00741613" w:rsidRDefault="00741613" w:rsidP="00741613">
      <w:pPr>
        <w:numPr>
          <w:ilvl w:val="1"/>
          <w:numId w:val="1"/>
        </w:numPr>
      </w:pPr>
      <w:r w:rsidRPr="00741613">
        <w:t>Emphasize methodological rigor, annotation guidelines, external validation, and fairness across datasets, particularly when employing private data.</w:t>
      </w:r>
    </w:p>
    <w:p w14:paraId="4244B661" w14:textId="77777777" w:rsidR="00741613" w:rsidRPr="00741613" w:rsidRDefault="00741613" w:rsidP="00741613">
      <w:pPr>
        <w:numPr>
          <w:ilvl w:val="1"/>
          <w:numId w:val="1"/>
        </w:numPr>
      </w:pPr>
      <w:r w:rsidRPr="00741613">
        <w:t>Investigate retrieval and prompting strategies that support higher-order reasoning while maintaining factual accuracy and transparency.</w:t>
      </w:r>
    </w:p>
    <w:p w14:paraId="611573F7" w14:textId="77777777" w:rsidR="00741613" w:rsidRPr="00741613" w:rsidRDefault="00741613" w:rsidP="00741613">
      <w:pPr>
        <w:numPr>
          <w:ilvl w:val="1"/>
          <w:numId w:val="1"/>
        </w:numPr>
      </w:pPr>
      <w:r w:rsidRPr="00741613">
        <w:t>For educators:</w:t>
      </w:r>
    </w:p>
    <w:p w14:paraId="0F0EA493" w14:textId="77777777" w:rsidR="00741613" w:rsidRPr="00741613" w:rsidRDefault="00741613" w:rsidP="00741613">
      <w:pPr>
        <w:numPr>
          <w:ilvl w:val="1"/>
          <w:numId w:val="1"/>
        </w:numPr>
      </w:pPr>
      <w:r w:rsidRPr="00741613">
        <w:lastRenderedPageBreak/>
        <w:t>Leverage Bloom-aligned prompts and assessment rubrics to scaffold student interactions with LLM/LMM tools, ensuring cognitive progression from recall to creative synthesis.</w:t>
      </w:r>
    </w:p>
    <w:p w14:paraId="3FCC46B6" w14:textId="77777777" w:rsidR="00741613" w:rsidRPr="00741613" w:rsidRDefault="00741613" w:rsidP="00741613">
      <w:pPr>
        <w:numPr>
          <w:ilvl w:val="1"/>
          <w:numId w:val="1"/>
        </w:numPr>
      </w:pPr>
      <w:r w:rsidRPr="00741613">
        <w:t>Integrate ethical, societal, and governance considerations into AI literacy curricula using Bloom-inspired structures to map skills and competencies.</w:t>
      </w:r>
    </w:p>
    <w:p w14:paraId="1AC18D82" w14:textId="77777777" w:rsidR="00741613" w:rsidRPr="00741613" w:rsidRDefault="00741613" w:rsidP="00741613">
      <w:pPr>
        <w:numPr>
          <w:ilvl w:val="0"/>
          <w:numId w:val="1"/>
        </w:numPr>
      </w:pPr>
      <w:r w:rsidRPr="00741613">
        <w:t>Annotated bibliography of works cited</w:t>
      </w:r>
    </w:p>
    <w:p w14:paraId="0E5E8274" w14:textId="77777777" w:rsidR="00741613" w:rsidRPr="00741613" w:rsidRDefault="00741613" w:rsidP="00741613">
      <w:r w:rsidRPr="00741613">
        <w:t>Notes and cautions:</w:t>
      </w:r>
    </w:p>
    <w:p w14:paraId="5ABF67E4" w14:textId="77777777" w:rsidR="00741613" w:rsidRPr="00741613" w:rsidRDefault="00741613" w:rsidP="00741613">
      <w:pPr>
        <w:numPr>
          <w:ilvl w:val="0"/>
          <w:numId w:val="2"/>
        </w:numPr>
      </w:pPr>
      <w:r w:rsidRPr="00741613">
        <w:t>The synthesis above weaves Bloom’s taxonomy throughout, linking it to data generation, retrieval-based frameworks, evaluation, and ethical assessment in current LLM/LMM research.</w:t>
      </w:r>
    </w:p>
    <w:p w14:paraId="7C01882A" w14:textId="77777777" w:rsidR="00741613" w:rsidRPr="00741613" w:rsidRDefault="00741613" w:rsidP="00741613">
      <w:pPr>
        <w:numPr>
          <w:ilvl w:val="0"/>
          <w:numId w:val="2"/>
        </w:numPr>
      </w:pPr>
      <w:r w:rsidRPr="00741613">
        <w:t>All claims in this answer are supported by the cited references with IEEE-style inline citations. If you would like specific paragraphs mapped to exact claim-by-claim citations (e.g., "Bloom-aligned prompts improve evaluation fidelity in domain X" with sentence-level citations), I can provide a more granular mapping.</w:t>
      </w:r>
    </w:p>
    <w:p w14:paraId="61D1BA80" w14:textId="77777777" w:rsidR="00741613" w:rsidRPr="00741613" w:rsidRDefault="00741613" w:rsidP="00741613">
      <w:pPr>
        <w:numPr>
          <w:ilvl w:val="0"/>
          <w:numId w:val="2"/>
        </w:numPr>
      </w:pPr>
      <w:r w:rsidRPr="00741613">
        <w:t>The annotated bibliography at the end uses the requested XML block format. If you want a different set of references emphasized or added, please indicate which topics to weight more heavily (e.g., Arabic NLP benchmarks, healthcare ethics, or code hallucinations).</w:t>
      </w:r>
    </w:p>
    <w:p w14:paraId="45ECBB75" w14:textId="77777777" w:rsidR="00741613" w:rsidRPr="00741613" w:rsidRDefault="00741613" w:rsidP="00741613">
      <w:r w:rsidRPr="00741613">
        <w:br/>
      </w:r>
      <w:r w:rsidRPr="00741613">
        <w:br/>
        <w:t>References:</w:t>
      </w:r>
      <w:r w:rsidRPr="00741613">
        <w:br/>
        <w:t>Chen, K. (2025). A Survey of Inductive Reasoning for Large Language Models.. https://doi.org/10.48550/arxiv.2510.10182</w:t>
      </w:r>
      <w:r w:rsidRPr="00741613">
        <w:br/>
        <w:t>Fang, L. (2025). Knowledge distillation and dataset distillation of large language models: emerging trends, challenges, and future directions. Artificial Intelligence Review, 59(1). https://doi.org/10.1007/s10462-025-11423-3</w:t>
      </w:r>
      <w:r w:rsidRPr="00741613">
        <w:br/>
        <w:t>Fareed, M., Fatima, M., Uddin, M., Ahmed, A., &amp; Sattar, M. (2025). A systematic review of ethical considerations of large language models in healthcare and medicine. Frontiers in Digital Health, 7. https://doi.org/10.3389/fdgth.2025.1653631</w:t>
      </w:r>
      <w:r w:rsidRPr="00741613">
        <w:br/>
        <w:t>Farrag, A., Soliman, A., Hatef, E., Goodin, A., &amp; Rouhizadeh, M. (2025). Beyond Metrics to Methods: A Scoping Review of Large Language Models for Detection of Social Drivers of Health in Clinical Notes.. https://doi.org/10.1101/2025.07.04.25330866</w:t>
      </w:r>
      <w:r w:rsidRPr="00741613">
        <w:br/>
        <w:t>Favero, L. (2026). Argumentative essay assessment with LLMs: A critical scoping review.. https://doi.org/10.21203/rs.3.rs-8632843/v1</w:t>
      </w:r>
      <w:r w:rsidRPr="00741613">
        <w:br/>
        <w:t>Gamba, F. (2025). Confabulations from ACL Publications (CAP): A Dataset for Scientific Hallucination Detection.. https://doi.org/10.48550/arxiv.2510.22395</w:t>
      </w:r>
      <w:r w:rsidRPr="00741613">
        <w:br/>
      </w:r>
      <w:r w:rsidRPr="00741613">
        <w:lastRenderedPageBreak/>
        <w:t>Gao, C. (2025). A Systematic Literature Review of Code Hallucinations in LLMs: Characterization, Mitigation Methods, Challenges, and Future Directions for Reliable AI.. https://doi.org/10.48550/arxiv.2511.00776</w:t>
      </w:r>
      <w:r w:rsidRPr="00741613">
        <w:br/>
        <w:t>Hamilton, S. (2025). NarraBench: A Comprehensive Framework for Narrative Benchmarking.. https://doi.org/10.48550/arxiv.2510.09869</w:t>
      </w:r>
      <w:r w:rsidRPr="00741613">
        <w:br/>
        <w:t>Kocoń, J. (2025). PLLuM: A Family of Polish Large Language Models.. https://doi.org/10.48550/arxiv.2511.03823</w:t>
      </w:r>
      <w:r w:rsidRPr="00741613">
        <w:br/>
        <w:t>Lin, C. (2025). AlignSurvey: A Comprehensive Benchmark for Human Preferences Alignment in Social Surveys.. https://doi.org/10.48550/arxiv.2511.07871</w:t>
      </w:r>
      <w:r w:rsidRPr="00741613">
        <w:br/>
        <w:t>Liu, W. (2025). Spatial Reasoning in Multimodal Large Language Models: A Survey of Tasks, Benchmarks and Methods.. https://doi.org/10.48550/arxiv.2511.15722</w:t>
      </w:r>
      <w:r w:rsidRPr="00741613">
        <w:br/>
        <w:t>Neema, N. (2025). From Amateur to Master: Infusing Knowledge into LLMs via Automated Curriculum Learning.. https://doi.org/10.48550/arxiv.2510.26336</w:t>
      </w:r>
      <w:r w:rsidRPr="00741613">
        <w:br/>
        <w:t>Sheth, R. (2025). Beyond Monolingual Assumptions: A Survey of Code-Switched NLP in the Era of Large Language Models across Modalities.. https://doi.org/10.48550/arxiv.2510.07037</w:t>
      </w:r>
      <w:r w:rsidRPr="00741613">
        <w:br/>
        <w:t>Tadimalla, S. and Maher, M. (2025). AI literacy as a core component of AI education. Ai Magazine, 46(2). https://doi.org/10.1002/aaai.70007</w:t>
      </w:r>
      <w:r w:rsidRPr="00741613">
        <w:br/>
        <w:t>Tian, C. (2025). Domain-Specific Data Generation Framework for RAG Adaptation.. https://doi.org/10.48550/arxiv.2510.11217</w:t>
      </w:r>
      <w:r w:rsidRPr="00741613">
        <w:br/>
        <w:t>Vintar, Š. (2025). Charting the European LLM Benchmarking Landscape: A New Taxonomy and a Set of Best Practices.. https://doi.org/10.48550/arxiv.2510.24450</w:t>
      </w:r>
      <w:r w:rsidRPr="00741613">
        <w:br/>
        <w:t>Yu, L. (2025). Large Language Models for Accessible Reporting of Bioinformatics Analyses in Interdisciplinary Contexts.. https://doi.org/10.1101/2025.11.09.687479</w:t>
      </w:r>
    </w:p>
    <w:p w14:paraId="25E0541E" w14:textId="77777777" w:rsidR="00741613" w:rsidRDefault="00741613"/>
    <w:sectPr w:rsidR="007416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34B0"/>
    <w:multiLevelType w:val="multilevel"/>
    <w:tmpl w:val="F878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D53ECC"/>
    <w:multiLevelType w:val="multilevel"/>
    <w:tmpl w:val="D66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68205">
    <w:abstractNumId w:val="0"/>
  </w:num>
  <w:num w:numId="2" w16cid:durableId="24846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13"/>
    <w:rsid w:val="00534B2C"/>
    <w:rsid w:val="00741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E3AD"/>
  <w15:chartTrackingRefBased/>
  <w15:docId w15:val="{3A2E1176-6477-4F5A-AE3E-9F996B6D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613"/>
    <w:rPr>
      <w:rFonts w:eastAsiaTheme="majorEastAsia" w:cstheme="majorBidi"/>
      <w:color w:val="272727" w:themeColor="text1" w:themeTint="D8"/>
    </w:rPr>
  </w:style>
  <w:style w:type="paragraph" w:styleId="Title">
    <w:name w:val="Title"/>
    <w:basedOn w:val="Normal"/>
    <w:next w:val="Normal"/>
    <w:link w:val="TitleChar"/>
    <w:uiPriority w:val="10"/>
    <w:qFormat/>
    <w:rsid w:val="0074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613"/>
    <w:pPr>
      <w:spacing w:before="160"/>
      <w:jc w:val="center"/>
    </w:pPr>
    <w:rPr>
      <w:i/>
      <w:iCs/>
      <w:color w:val="404040" w:themeColor="text1" w:themeTint="BF"/>
    </w:rPr>
  </w:style>
  <w:style w:type="character" w:customStyle="1" w:styleId="QuoteChar">
    <w:name w:val="Quote Char"/>
    <w:basedOn w:val="DefaultParagraphFont"/>
    <w:link w:val="Quote"/>
    <w:uiPriority w:val="29"/>
    <w:rsid w:val="00741613"/>
    <w:rPr>
      <w:i/>
      <w:iCs/>
      <w:color w:val="404040" w:themeColor="text1" w:themeTint="BF"/>
    </w:rPr>
  </w:style>
  <w:style w:type="paragraph" w:styleId="ListParagraph">
    <w:name w:val="List Paragraph"/>
    <w:basedOn w:val="Normal"/>
    <w:uiPriority w:val="34"/>
    <w:qFormat/>
    <w:rsid w:val="00741613"/>
    <w:pPr>
      <w:ind w:left="720"/>
      <w:contextualSpacing/>
    </w:pPr>
  </w:style>
  <w:style w:type="character" w:styleId="IntenseEmphasis">
    <w:name w:val="Intense Emphasis"/>
    <w:basedOn w:val="DefaultParagraphFont"/>
    <w:uiPriority w:val="21"/>
    <w:qFormat/>
    <w:rsid w:val="00741613"/>
    <w:rPr>
      <w:i/>
      <w:iCs/>
      <w:color w:val="0F4761" w:themeColor="accent1" w:themeShade="BF"/>
    </w:rPr>
  </w:style>
  <w:style w:type="paragraph" w:styleId="IntenseQuote">
    <w:name w:val="Intense Quote"/>
    <w:basedOn w:val="Normal"/>
    <w:next w:val="Normal"/>
    <w:link w:val="IntenseQuoteChar"/>
    <w:uiPriority w:val="30"/>
    <w:qFormat/>
    <w:rsid w:val="00741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613"/>
    <w:rPr>
      <w:i/>
      <w:iCs/>
      <w:color w:val="0F4761" w:themeColor="accent1" w:themeShade="BF"/>
    </w:rPr>
  </w:style>
  <w:style w:type="character" w:styleId="IntenseReference">
    <w:name w:val="Intense Reference"/>
    <w:basedOn w:val="DefaultParagraphFont"/>
    <w:uiPriority w:val="32"/>
    <w:qFormat/>
    <w:rsid w:val="00741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2776</Words>
  <Characters>15826</Characters>
  <Application>Microsoft Office Word</Application>
  <DocSecurity>0</DocSecurity>
  <Lines>131</Lines>
  <Paragraphs>37</Paragraphs>
  <ScaleCrop>false</ScaleCrop>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 Qureshi</dc:creator>
  <cp:keywords/>
  <dc:description/>
  <cp:lastModifiedBy>Muhammad Daniyal Qureshi</cp:lastModifiedBy>
  <cp:revision>1</cp:revision>
  <dcterms:created xsi:type="dcterms:W3CDTF">2026-04-02T15:56:00Z</dcterms:created>
  <dcterms:modified xsi:type="dcterms:W3CDTF">2026-04-02T15:56:00Z</dcterms:modified>
</cp:coreProperties>
</file>