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Ergebnisse der Schokoladenfabrik</w:t>
      </w:r>
    </w:p>
    <w:p>
      <w:pPr>
        <w:pStyle w:val="Subline"/>
      </w:pPr>
      <w:r>
        <w:t>Wirtschaft und Recht  Q12</w:t>
      </w:r>
    </w:p>
    <w:p>
      <w:r>
        <w:t>Die sechs Akten zeigen, wie eine Firma Ziele in funktionierende Abläufe übersetzt und dabei Kosten, Versorgung und Verantwortung zusammen denkt. Entscheidend ist nicht ein einzelner Türcode, sondern eine begründete Entscheidung mit überprüfbarer Wirkung.</w:t>
      </w:r>
    </w:p>
    <w:p>
      <w:pPr>
        <w:pStyle w:val="Heading1"/>
      </w:pPr>
      <w:r>
        <w:t>Strategie und Zusammenarbeit</w:t>
      </w:r>
    </w:p>
    <w:p>
      <w:r>
        <w:t>Eine Unternehmensstrategie gibt langfristige Ziele vor. Bei Heller &amp; Söhne sind das hohe Qualität, nachvollziehbare Kakaoherkunft und wirtschaftlich tragfähiges Wachstum. Beschaffung, Produktion, Marketing und Finanzierung müssen daraus konkrete, aufeinander abgestimmte Maßnahmen ableiten. Ein billigerer Rohstoff ohne Herkunftsnachweis kann daher zum Zielkonflikt werden.</w:t>
      </w:r>
    </w:p>
    <w:tbl>
      <w:tblPr>
        <w:tblW w:type="auto" w:w="0"/>
        <w:jc w:val="center"/>
        <w:tblLayout w:type="fixed"/>
        <w:tblLook w:firstColumn="1" w:firstRow="1" w:lastColumn="0" w:lastRow="0" w:noHBand="0" w:noVBand="1" w:val="04A0"/>
      </w:tblPr>
      <w:tblGrid>
        <w:gridCol w:w="1928"/>
        <w:gridCol w:w="2268"/>
        <w:gridCol w:w="2835"/>
        <w:gridCol w:w="2891"/>
      </w:tblGrid>
      <w:tr>
        <w:trPr>
          <w:tblHeader w:val="true"/>
        </w:trPr>
        <w:tc>
          <w:tcPr>
            <w:tcW w:type="dxa" w:w="192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5A382B"/>
          </w:tcPr>
          <w:p>
            <w:pPr>
              <w:spacing w:after="0" w:line="259" w:lineRule="auto"/>
              <w:jc w:val="left"/>
            </w:pPr>
            <w:r/>
            <w:r>
              <w:rPr>
                <w:b/>
                <w:color w:val="FFFFFF"/>
                <w:sz w:val="18"/>
              </w:rPr>
              <w:t>Ziele</w:t>
            </w:r>
          </w:p>
        </w:tc>
        <w:tc>
          <w:tcPr>
            <w:tcW w:type="dxa" w:w="226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5A382B"/>
          </w:tcPr>
          <w:p>
            <w:pPr>
              <w:spacing w:after="0" w:line="259" w:lineRule="auto"/>
              <w:jc w:val="left"/>
            </w:pPr>
            <w:r/>
            <w:r>
              <w:rPr>
                <w:b/>
                <w:color w:val="FFFFFF"/>
                <w:sz w:val="18"/>
              </w:rPr>
              <w:t>Zuständigkeiten</w:t>
            </w:r>
          </w:p>
        </w:tc>
        <w:tc>
          <w:tcPr>
            <w:tcW w:type="dxa" w:w="283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5A382B"/>
          </w:tcPr>
          <w:p>
            <w:pPr>
              <w:spacing w:after="0" w:line="259" w:lineRule="auto"/>
              <w:jc w:val="left"/>
            </w:pPr>
            <w:r/>
            <w:r>
              <w:rPr>
                <w:b/>
                <w:color w:val="FFFFFF"/>
                <w:sz w:val="18"/>
              </w:rPr>
              <w:t>Ablauf</w:t>
            </w:r>
          </w:p>
        </w:tc>
        <w:tc>
          <w:tcPr>
            <w:tcW w:type="dxa" w:w="289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5A382B"/>
          </w:tcPr>
          <w:p>
            <w:pPr>
              <w:spacing w:after="0" w:line="259" w:lineRule="auto"/>
              <w:jc w:val="left"/>
            </w:pPr>
            <w:r/>
            <w:r>
              <w:rPr>
                <w:b/>
                <w:color w:val="FFFFFF"/>
                <w:sz w:val="18"/>
              </w:rPr>
              <w:t>Ergebnis</w:t>
            </w:r>
          </w:p>
        </w:tc>
      </w:tr>
      <w:tr>
        <w:tc>
          <w:tcPr>
            <w:tcW w:type="dxa" w:w="192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center"/>
            </w:pPr>
            <w:r/>
            <w:r>
              <w:rPr>
                <w:b/>
                <w:color w:val="15191B"/>
                <w:sz w:val="18"/>
              </w:rPr>
              <w:t>Was soll erreicht werden?</w:t>
            </w:r>
          </w:p>
        </w:tc>
        <w:tc>
          <w:tcPr>
            <w:tcW w:type="dxa" w:w="226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center"/>
            </w:pPr>
            <w:r/>
            <w:r>
              <w:rPr>
                <w:b w:val="0"/>
                <w:color w:val="15191B"/>
                <w:sz w:val="18"/>
              </w:rPr>
              <w:t>Wer übernimmt welche Aufgabe?</w:t>
            </w:r>
          </w:p>
        </w:tc>
        <w:tc>
          <w:tcPr>
            <w:tcW w:type="dxa" w:w="283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center"/>
            </w:pPr>
            <w:r/>
            <w:r>
              <w:rPr>
                <w:b w:val="0"/>
                <w:color w:val="15191B"/>
                <w:sz w:val="18"/>
              </w:rPr>
              <w:t>Welche Schritte und Informationen folgen?</w:t>
            </w:r>
          </w:p>
        </w:tc>
        <w:tc>
          <w:tcPr>
            <w:tcW w:type="dxa" w:w="289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left"/>
            </w:pPr>
            <w:r/>
            <w:r>
              <w:rPr>
                <w:b w:val="0"/>
                <w:color w:val="15191B"/>
                <w:sz w:val="18"/>
              </w:rPr>
              <w:t>Woran ist die Wirkung erkennbar?</w:t>
            </w:r>
          </w:p>
        </w:tc>
      </w:tr>
    </w:tbl>
    <w:p>
      <w:pPr>
        <w:spacing w:after="0" w:before="0"/>
      </w:pPr>
    </w:p>
    <w:p>
      <w:pPr>
        <w:pStyle w:val="Heading1"/>
      </w:pPr>
      <w:r>
        <w:t>Aufbau und Ablauf der Wertschöpfung</w:t>
      </w:r>
    </w:p>
    <w:p>
      <w:r>
        <w:t>Die Aufbauorganisation regelt Stellen, Aufgaben und Entscheidungswege. Die Ablauforganisation regelt Reihenfolge und Übergaben. Wertschöpfung erhöht den Wert eingesetzter Güter und Leistungen. Die betriebliche Prozesskette ist nur ein Ausschnitt der gesamten Kette, zu der auch Gewinnung, Transport und Vertrieb gehören.</w:t>
      </w:r>
    </w:p>
    <w:tbl>
      <w:tblPr>
        <w:tblW w:type="auto" w:w="0"/>
        <w:jc w:val="center"/>
        <w:tblLayout w:type="fixed"/>
        <w:tblLook w:firstColumn="1" w:firstRow="1" w:lastColumn="0" w:lastRow="0" w:noHBand="0" w:noVBand="1" w:val="04A0"/>
      </w:tblPr>
      <w:tblGrid>
        <w:gridCol w:w="2324"/>
        <w:gridCol w:w="2381"/>
        <w:gridCol w:w="2438"/>
        <w:gridCol w:w="2778"/>
      </w:tblGrid>
      <w:tr>
        <w:trPr>
          <w:tblHeader w:val="true"/>
        </w:trPr>
        <w:tc>
          <w:tcPr>
            <w:tcW w:type="dxa" w:w="232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5A382B"/>
          </w:tcPr>
          <w:p>
            <w:pPr>
              <w:spacing w:after="0" w:line="259" w:lineRule="auto"/>
              <w:jc w:val="left"/>
            </w:pPr>
            <w:r/>
            <w:r>
              <w:rPr>
                <w:b/>
                <w:color w:val="FFFFFF"/>
                <w:sz w:val="18"/>
              </w:rPr>
              <w:t>1  Annahme</w:t>
            </w:r>
          </w:p>
        </w:tc>
        <w:tc>
          <w:tcPr>
            <w:tcW w:type="dxa" w:w="238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5A382B"/>
          </w:tcPr>
          <w:p>
            <w:pPr>
              <w:spacing w:after="0" w:line="259" w:lineRule="auto"/>
              <w:jc w:val="left"/>
            </w:pPr>
            <w:r/>
            <w:r>
              <w:rPr>
                <w:b/>
                <w:color w:val="FFFFFF"/>
                <w:sz w:val="18"/>
              </w:rPr>
              <w:t>2  Herstellung</w:t>
            </w:r>
          </w:p>
        </w:tc>
        <w:tc>
          <w:tcPr>
            <w:tcW w:type="dxa" w:w="243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5A382B"/>
          </w:tcPr>
          <w:p>
            <w:pPr>
              <w:spacing w:after="0" w:line="259" w:lineRule="auto"/>
              <w:jc w:val="left"/>
            </w:pPr>
            <w:r/>
            <w:r>
              <w:rPr>
                <w:b/>
                <w:color w:val="FFFFFF"/>
                <w:sz w:val="18"/>
              </w:rPr>
              <w:t>3  Freigabe</w:t>
            </w:r>
          </w:p>
        </w:tc>
        <w:tc>
          <w:tcPr>
            <w:tcW w:type="dxa" w:w="277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5A382B"/>
          </w:tcPr>
          <w:p>
            <w:pPr>
              <w:spacing w:after="0" w:line="259" w:lineRule="auto"/>
              <w:jc w:val="left"/>
            </w:pPr>
            <w:r/>
            <w:r>
              <w:rPr>
                <w:b/>
                <w:color w:val="FFFFFF"/>
                <w:sz w:val="18"/>
              </w:rPr>
              <w:t>4  Versand</w:t>
            </w:r>
          </w:p>
        </w:tc>
      </w:tr>
      <w:tr>
        <w:tc>
          <w:tcPr>
            <w:tcW w:type="dxa" w:w="232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center"/>
            </w:pPr>
            <w:r/>
            <w:r>
              <w:rPr>
                <w:b/>
                <w:color w:val="15191B"/>
                <w:sz w:val="18"/>
              </w:rPr>
              <w:t>Rohstoffe und Nachweise prüfen</w:t>
            </w:r>
          </w:p>
        </w:tc>
        <w:tc>
          <w:tcPr>
            <w:tcW w:type="dxa" w:w="238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center"/>
            </w:pPr>
            <w:r/>
            <w:r>
              <w:rPr>
                <w:b w:val="0"/>
                <w:color w:val="15191B"/>
                <w:sz w:val="18"/>
              </w:rPr>
              <w:t>Pralinen fertigen</w:t>
            </w:r>
          </w:p>
        </w:tc>
        <w:tc>
          <w:tcPr>
            <w:tcW w:type="dxa" w:w="243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center"/>
            </w:pPr>
            <w:r/>
            <w:r>
              <w:rPr>
                <w:b w:val="0"/>
                <w:color w:val="15191B"/>
                <w:sz w:val="18"/>
              </w:rPr>
              <w:t>Charge kontrollieren und freigeben</w:t>
            </w:r>
          </w:p>
        </w:tc>
        <w:tc>
          <w:tcPr>
            <w:tcW w:type="dxa" w:w="277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left"/>
            </w:pPr>
            <w:r/>
            <w:r>
              <w:rPr>
                <w:b w:val="0"/>
                <w:color w:val="15191B"/>
                <w:sz w:val="18"/>
              </w:rPr>
              <w:t>Nur freigegebene Ware verpacken und versenden</w:t>
            </w:r>
          </w:p>
        </w:tc>
      </w:tr>
    </w:tbl>
    <w:p>
      <w:pPr>
        <w:spacing w:after="0" w:before="0"/>
      </w:pPr>
    </w:p>
    <w:p>
      <w:pPr>
        <w:spacing w:before="100" w:after="140"/>
        <w:ind w:left="170" w:right="170"/>
        <w:shd w:fill="E9F0EB"/>
      </w:pPr>
      <w:r>
        <w:rPr>
          <w:b/>
          <w:color w:val="15191B"/>
        </w:rPr>
        <w:t xml:space="preserve">Kritische Übergabe  </w:t>
      </w:r>
      <w:r>
        <w:t>Der Versand braucht den dokumentierten Prüfstatus. „Fertig hergestellt“ bedeutet noch nicht „freigegeben“.</w:t>
      </w:r>
    </w:p>
    <w:p>
      <w:pPr>
        <w:pStyle w:val="Heading1"/>
      </w:pPr>
      <w:r>
        <w:t>Eigenfertigung und Fremdbezug</w:t>
      </w:r>
    </w:p>
    <w:p>
      <w:r>
        <w:t>Die Fertigungstiefe beschreibt, wie viele Herstellungsschritte ein Unternehmen selbst ausführt. Eigenfertigung kann Fachwissen und Qualitätskontrolle sichern, benötigt aber Anlagen und Auslastung. Fremdbezug spart eigene Kapazitäten, schafft jedoch Abhängigkeit vom Lieferanten.</w:t>
      </w:r>
    </w:p>
    <w:tbl>
      <w:tblPr>
        <w:tblW w:type="auto" w:w="0"/>
        <w:jc w:val="center"/>
        <w:tblLayout w:type="fixed"/>
        <w:tblLook w:firstColumn="1" w:firstRow="1" w:lastColumn="0" w:lastRow="0" w:noHBand="0" w:noVBand="1" w:val="04A0"/>
      </w:tblPr>
      <w:tblGrid>
        <w:gridCol w:w="1757"/>
        <w:gridCol w:w="1928"/>
        <w:gridCol w:w="1871"/>
        <w:gridCol w:w="4365"/>
      </w:tblGrid>
      <w:tr>
        <w:trPr>
          <w:tblHeader w:val="true"/>
        </w:trPr>
        <w:tc>
          <w:tcPr>
            <w:tcW w:type="dxa" w:w="1757"/>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5A382B"/>
          </w:tcPr>
          <w:p>
            <w:pPr>
              <w:spacing w:after="0" w:line="259" w:lineRule="auto"/>
              <w:jc w:val="left"/>
            </w:pPr>
            <w:r/>
            <w:r>
              <w:rPr>
                <w:b/>
                <w:color w:val="FFFFFF"/>
                <w:sz w:val="18"/>
              </w:rPr>
              <w:t>Hüllen pro Jahr</w:t>
            </w:r>
          </w:p>
        </w:tc>
        <w:tc>
          <w:tcPr>
            <w:tcW w:type="dxa" w:w="192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5A382B"/>
          </w:tcPr>
          <w:p>
            <w:pPr>
              <w:spacing w:after="0" w:line="259" w:lineRule="auto"/>
              <w:jc w:val="left"/>
            </w:pPr>
            <w:r/>
            <w:r>
              <w:rPr>
                <w:b/>
                <w:color w:val="FFFFFF"/>
                <w:sz w:val="18"/>
              </w:rPr>
              <w:t>Eigenfertigung</w:t>
            </w:r>
          </w:p>
        </w:tc>
        <w:tc>
          <w:tcPr>
            <w:tcW w:type="dxa" w:w="187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5A382B"/>
          </w:tcPr>
          <w:p>
            <w:pPr>
              <w:spacing w:after="0" w:line="259" w:lineRule="auto"/>
              <w:jc w:val="left"/>
            </w:pPr>
            <w:r/>
            <w:r>
              <w:rPr>
                <w:b/>
                <w:color w:val="FFFFFF"/>
                <w:sz w:val="18"/>
              </w:rPr>
              <w:t>Fremdbezug</w:t>
            </w:r>
          </w:p>
        </w:tc>
        <w:tc>
          <w:tcPr>
            <w:tcW w:type="dxa" w:w="436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5A382B"/>
          </w:tcPr>
          <w:p>
            <w:pPr>
              <w:spacing w:after="0" w:line="259" w:lineRule="auto"/>
              <w:jc w:val="left"/>
            </w:pPr>
            <w:r/>
            <w:r>
              <w:rPr>
                <w:b/>
                <w:color w:val="FFFFFF"/>
                <w:sz w:val="18"/>
              </w:rPr>
              <w:t>Im Kostenmodell günstiger</w:t>
            </w:r>
          </w:p>
        </w:tc>
      </w:tr>
      <w:tr>
        <w:tc>
          <w:tcPr>
            <w:tcW w:type="dxa" w:w="1757"/>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center"/>
            </w:pPr>
            <w:r/>
            <w:r>
              <w:rPr>
                <w:b/>
                <w:color w:val="15191B"/>
                <w:sz w:val="18"/>
              </w:rPr>
              <w:t>100.000</w:t>
            </w:r>
          </w:p>
        </w:tc>
        <w:tc>
          <w:tcPr>
            <w:tcW w:type="dxa" w:w="192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center"/>
            </w:pPr>
            <w:r/>
            <w:r>
              <w:rPr>
                <w:b w:val="0"/>
                <w:color w:val="15191B"/>
                <w:sz w:val="18"/>
              </w:rPr>
              <w:t>32.000 €</w:t>
            </w:r>
          </w:p>
        </w:tc>
        <w:tc>
          <w:tcPr>
            <w:tcW w:type="dxa" w:w="187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center"/>
            </w:pPr>
            <w:r/>
            <w:r>
              <w:rPr>
                <w:b w:val="0"/>
                <w:color w:val="15191B"/>
                <w:sz w:val="18"/>
              </w:rPr>
              <w:t>30.000 €</w:t>
            </w:r>
          </w:p>
        </w:tc>
        <w:tc>
          <w:tcPr>
            <w:tcW w:type="dxa" w:w="436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left"/>
            </w:pPr>
            <w:r/>
            <w:r>
              <w:rPr>
                <w:b w:val="0"/>
                <w:color w:val="15191B"/>
                <w:sz w:val="18"/>
              </w:rPr>
              <w:t>Fremdbezug um 2.000 €</w:t>
            </w:r>
          </w:p>
        </w:tc>
      </w:tr>
      <w:tr>
        <w:tc>
          <w:tcPr>
            <w:tcW w:type="dxa" w:w="1757"/>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E9F0EB"/>
          </w:tcPr>
          <w:p>
            <w:pPr>
              <w:spacing w:after="0" w:line="259" w:lineRule="auto"/>
              <w:jc w:val="center"/>
            </w:pPr>
            <w:r/>
            <w:r>
              <w:rPr>
                <w:b/>
                <w:color w:val="15191B"/>
                <w:sz w:val="18"/>
              </w:rPr>
              <w:t>120.000</w:t>
            </w:r>
          </w:p>
        </w:tc>
        <w:tc>
          <w:tcPr>
            <w:tcW w:type="dxa" w:w="192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E9F0EB"/>
          </w:tcPr>
          <w:p>
            <w:pPr>
              <w:spacing w:after="0" w:line="259" w:lineRule="auto"/>
              <w:jc w:val="center"/>
            </w:pPr>
            <w:r/>
            <w:r>
              <w:rPr>
                <w:b w:val="0"/>
                <w:color w:val="15191B"/>
                <w:sz w:val="18"/>
              </w:rPr>
              <w:t>36.000 €</w:t>
            </w:r>
          </w:p>
        </w:tc>
        <w:tc>
          <w:tcPr>
            <w:tcW w:type="dxa" w:w="187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E9F0EB"/>
          </w:tcPr>
          <w:p>
            <w:pPr>
              <w:spacing w:after="0" w:line="259" w:lineRule="auto"/>
              <w:jc w:val="center"/>
            </w:pPr>
            <w:r/>
            <w:r>
              <w:rPr>
                <w:b w:val="0"/>
                <w:color w:val="15191B"/>
                <w:sz w:val="18"/>
              </w:rPr>
              <w:t>36.000 €</w:t>
            </w:r>
          </w:p>
        </w:tc>
        <w:tc>
          <w:tcPr>
            <w:tcW w:type="dxa" w:w="436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E9F0EB"/>
          </w:tcPr>
          <w:p>
            <w:pPr>
              <w:spacing w:after="0" w:line="259" w:lineRule="auto"/>
              <w:jc w:val="left"/>
            </w:pPr>
            <w:r/>
            <w:r>
              <w:rPr>
                <w:b w:val="0"/>
                <w:color w:val="15191B"/>
                <w:sz w:val="18"/>
              </w:rPr>
              <w:t>beide gleich teuer</w:t>
            </w:r>
          </w:p>
        </w:tc>
      </w:tr>
      <w:tr>
        <w:tc>
          <w:tcPr>
            <w:tcW w:type="dxa" w:w="1757"/>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center"/>
            </w:pPr>
            <w:r/>
            <w:r>
              <w:rPr>
                <w:b/>
                <w:color w:val="15191B"/>
                <w:sz w:val="18"/>
              </w:rPr>
              <w:t>150.000</w:t>
            </w:r>
          </w:p>
        </w:tc>
        <w:tc>
          <w:tcPr>
            <w:tcW w:type="dxa" w:w="1928"/>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center"/>
            </w:pPr>
            <w:r/>
            <w:r>
              <w:rPr>
                <w:b w:val="0"/>
                <w:color w:val="15191B"/>
                <w:sz w:val="18"/>
              </w:rPr>
              <w:t>42.000 €</w:t>
            </w:r>
          </w:p>
        </w:tc>
        <w:tc>
          <w:tcPr>
            <w:tcW w:type="dxa" w:w="187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center"/>
            </w:pPr>
            <w:r/>
            <w:r>
              <w:rPr>
                <w:b w:val="0"/>
                <w:color w:val="15191B"/>
                <w:sz w:val="18"/>
              </w:rPr>
              <w:t>45.000 €</w:t>
            </w:r>
          </w:p>
        </w:tc>
        <w:tc>
          <w:tcPr>
            <w:tcW w:type="dxa" w:w="436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left"/>
            </w:pPr>
            <w:r/>
            <w:r>
              <w:rPr>
                <w:b w:val="0"/>
                <w:color w:val="15191B"/>
                <w:sz w:val="18"/>
              </w:rPr>
              <w:t>Eigenfertigung um 3.000 €</w:t>
            </w:r>
          </w:p>
        </w:tc>
      </w:tr>
    </w:tbl>
    <w:p>
      <w:pPr>
        <w:spacing w:after="0" w:before="0"/>
      </w:pPr>
    </w:p>
    <w:p>
      <w:pPr>
        <w:pStyle w:val="Smallnote"/>
      </w:pPr>
      <w:r>
        <w:t>Modell: Eigenfertigung = 12.000 € + 0,20 € × Menge; Fremdbezug = 0,30 € × Menge. Auch Qualität, Lieferzuverlässigkeit, Nachfrage und Kapazität zählen. Bei 180.000 Hüllen reicht die eigene Kapazität von 160.000 Stück allein nicht.</w:t>
      </w:r>
    </w:p>
    <w:p>
      <w:r>
        <w:br w:type="page"/>
      </w:r>
    </w:p>
    <w:p>
      <w:pPr>
        <w:pStyle w:val="Heading1"/>
      </w:pPr>
      <w:r>
        <w:t>Material passend beschaffen</w:t>
      </w:r>
    </w:p>
    <w:p>
      <w:r>
        <w:t>Die passende Beschaffung hängt vom Material ab. Wenig Lagerbestand spart Platz und Kapital; zu wenig Vorrat kann die Produktion bei Lieferstörungen stoppen.</w:t>
      </w:r>
    </w:p>
    <w:tbl>
      <w:tblPr>
        <w:tblW w:type="auto" w:w="0"/>
        <w:jc w:val="center"/>
        <w:tblLayout w:type="fixed"/>
        <w:tblLook w:firstColumn="1" w:firstRow="1" w:lastColumn="0" w:lastRow="0" w:noHBand="0" w:noVBand="1" w:val="04A0"/>
      </w:tblPr>
      <w:tblGrid>
        <w:gridCol w:w="1247"/>
        <w:gridCol w:w="3231"/>
        <w:gridCol w:w="5443"/>
      </w:tblGrid>
      <w:tr>
        <w:trPr>
          <w:tblHeader w:val="true"/>
        </w:trPr>
        <w:tc>
          <w:tcPr>
            <w:tcW w:type="dxa" w:w="1247"/>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5A382B"/>
          </w:tcPr>
          <w:p>
            <w:pPr>
              <w:spacing w:after="0" w:line="259" w:lineRule="auto"/>
              <w:jc w:val="left"/>
            </w:pPr>
            <w:r/>
            <w:r>
              <w:rPr>
                <w:b/>
                <w:color w:val="FFFFFF"/>
                <w:sz w:val="18"/>
              </w:rPr>
              <w:t>Verfahren</w:t>
            </w:r>
          </w:p>
        </w:tc>
        <w:tc>
          <w:tcPr>
            <w:tcW w:type="dxa" w:w="323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5A382B"/>
          </w:tcPr>
          <w:p>
            <w:pPr>
              <w:spacing w:after="0" w:line="259" w:lineRule="auto"/>
              <w:jc w:val="left"/>
            </w:pPr>
            <w:r/>
            <w:r>
              <w:rPr>
                <w:b/>
                <w:color w:val="FFFFFF"/>
                <w:sz w:val="18"/>
              </w:rPr>
              <w:t>Kernidee</w:t>
            </w:r>
          </w:p>
        </w:tc>
        <w:tc>
          <w:tcPr>
            <w:tcW w:type="dxa" w:w="5443"/>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5A382B"/>
          </w:tcPr>
          <w:p>
            <w:pPr>
              <w:spacing w:after="0" w:line="259" w:lineRule="auto"/>
              <w:jc w:val="left"/>
            </w:pPr>
            <w:r/>
            <w:r>
              <w:rPr>
                <w:b/>
                <w:color w:val="FFFFFF"/>
                <w:sz w:val="18"/>
              </w:rPr>
              <w:t>Passender Blick auf den Fall</w:t>
            </w:r>
          </w:p>
        </w:tc>
      </w:tr>
      <w:tr>
        <w:tc>
          <w:tcPr>
            <w:tcW w:type="dxa" w:w="1247"/>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left"/>
            </w:pPr>
            <w:r/>
            <w:r>
              <w:rPr>
                <w:b/>
                <w:color w:val="15191B"/>
                <w:sz w:val="18"/>
              </w:rPr>
              <w:t>JIT</w:t>
            </w:r>
          </w:p>
        </w:tc>
        <w:tc>
          <w:tcPr>
            <w:tcW w:type="dxa" w:w="323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left"/>
            </w:pPr>
            <w:r/>
            <w:r>
              <w:rPr>
                <w:b w:val="0"/>
                <w:color w:val="15191B"/>
                <w:sz w:val="18"/>
              </w:rPr>
              <w:t>Lieferung zum benötigten Zeitpunkt</w:t>
            </w:r>
          </w:p>
        </w:tc>
        <w:tc>
          <w:tcPr>
            <w:tcW w:type="dxa" w:w="5443"/>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left"/>
            </w:pPr>
            <w:r/>
            <w:r>
              <w:rPr>
                <w:b w:val="0"/>
                <w:color w:val="15191B"/>
                <w:sz w:val="18"/>
              </w:rPr>
              <w:t>bei verlässlich gelieferten Materialien</w:t>
            </w:r>
          </w:p>
        </w:tc>
      </w:tr>
      <w:tr>
        <w:tc>
          <w:tcPr>
            <w:tcW w:type="dxa" w:w="1247"/>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5F6F4"/>
          </w:tcPr>
          <w:p>
            <w:pPr>
              <w:spacing w:after="0" w:line="259" w:lineRule="auto"/>
              <w:jc w:val="left"/>
            </w:pPr>
            <w:r/>
            <w:r>
              <w:rPr>
                <w:b/>
                <w:color w:val="15191B"/>
                <w:sz w:val="18"/>
              </w:rPr>
              <w:t>JIS</w:t>
            </w:r>
          </w:p>
        </w:tc>
        <w:tc>
          <w:tcPr>
            <w:tcW w:type="dxa" w:w="323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5F6F4"/>
          </w:tcPr>
          <w:p>
            <w:pPr>
              <w:spacing w:after="0" w:line="259" w:lineRule="auto"/>
              <w:jc w:val="left"/>
            </w:pPr>
            <w:r/>
            <w:r>
              <w:rPr>
                <w:b w:val="0"/>
                <w:color w:val="15191B"/>
                <w:sz w:val="18"/>
              </w:rPr>
              <w:t>zusätzlich in der benötigten Reihenfolge</w:t>
            </w:r>
          </w:p>
        </w:tc>
        <w:tc>
          <w:tcPr>
            <w:tcW w:type="dxa" w:w="5443"/>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5F6F4"/>
          </w:tcPr>
          <w:p>
            <w:pPr>
              <w:spacing w:after="0" w:line="259" w:lineRule="auto"/>
              <w:jc w:val="left"/>
            </w:pPr>
            <w:r/>
            <w:r>
              <w:rPr>
                <w:b w:val="0"/>
                <w:color w:val="15191B"/>
                <w:sz w:val="18"/>
              </w:rPr>
              <w:t>verschiedene Schachteln für die geplanten Chargen</w:t>
            </w:r>
          </w:p>
        </w:tc>
      </w:tr>
      <w:tr>
        <w:tc>
          <w:tcPr>
            <w:tcW w:type="dxa" w:w="1247"/>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left"/>
            </w:pPr>
            <w:r/>
            <w:r>
              <w:rPr>
                <w:b/>
                <w:color w:val="15191B"/>
                <w:sz w:val="18"/>
              </w:rPr>
              <w:t>JIC</w:t>
            </w:r>
          </w:p>
        </w:tc>
        <w:tc>
          <w:tcPr>
            <w:tcW w:type="dxa" w:w="323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left"/>
            </w:pPr>
            <w:r/>
            <w:r>
              <w:rPr>
                <w:b w:val="0"/>
                <w:color w:val="15191B"/>
                <w:sz w:val="18"/>
              </w:rPr>
              <w:t>Vorsorge gegen Störungen, z. B. Sicherheitsbestand</w:t>
            </w:r>
          </w:p>
        </w:tc>
        <w:tc>
          <w:tcPr>
            <w:tcW w:type="dxa" w:w="5443"/>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left"/>
            </w:pPr>
            <w:r/>
            <w:r>
              <w:rPr>
                <w:b w:val="0"/>
                <w:color w:val="15191B"/>
                <w:sz w:val="18"/>
              </w:rPr>
              <w:t>kritischer Kakao mit verspäteter Lieferung</w:t>
            </w:r>
          </w:p>
        </w:tc>
      </w:tr>
    </w:tbl>
    <w:p>
      <w:pPr>
        <w:spacing w:after="0" w:before="0"/>
      </w:pPr>
    </w:p>
    <w:p>
      <w:pPr>
        <w:spacing w:before="100" w:after="140"/>
        <w:ind w:left="170" w:right="170"/>
        <w:shd w:fill="E9F0EB"/>
      </w:pPr>
      <w:r>
        <w:rPr>
          <w:b/>
          <w:color w:val="15191B"/>
        </w:rPr>
        <w:t xml:space="preserve">Kakaorechnung  </w:t>
      </w:r>
      <w:r>
        <w:t>480 kg ÷ 80 kg pro Tag = 6 Tage. Die Lieferung kommt zu Beginn von Tag 9. Für Tag 1 bis 8 werden 640 kg benötigt, also 160 kg mehr als vorhanden. 720 kg würden neun volle Tage reichen.</w:t>
      </w:r>
    </w:p>
    <w:p>
      <w:pPr>
        <w:pStyle w:val="Heading1"/>
      </w:pPr>
      <w:r>
        <w:t>Verantwortung in der Lieferkette</w:t>
      </w:r>
    </w:p>
    <w:p>
      <w:r>
        <w:t>Im historischen Unterrichtsfall des Jahres 2024 fällt die fiktive Obergesellschaft unter das Lieferkettensorgfaltspflichtengesetz. Ein dokumentierter Verstoß und ein konkreter, noch ungeprüfter Hinweis verlangen unterschiedliche erste Schritte.</w:t>
      </w:r>
    </w:p>
    <w:tbl>
      <w:tblPr>
        <w:tblW w:type="auto" w:w="0"/>
        <w:jc w:val="center"/>
        <w:tblLayout w:type="fixed"/>
        <w:tblLook w:firstColumn="1" w:firstRow="1" w:lastColumn="0" w:lastRow="0" w:noHBand="0" w:noVBand="1" w:val="04A0"/>
      </w:tblPr>
      <w:tblGrid>
        <w:gridCol w:w="3515"/>
        <w:gridCol w:w="6406"/>
      </w:tblGrid>
      <w:tr>
        <w:trPr>
          <w:tblHeader w:val="true"/>
        </w:trPr>
        <w:tc>
          <w:tcPr>
            <w:tcW w:type="dxa" w:w="351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5A382B"/>
          </w:tcPr>
          <w:p>
            <w:pPr>
              <w:spacing w:after="0" w:line="259" w:lineRule="auto"/>
              <w:jc w:val="left"/>
            </w:pPr>
            <w:r/>
            <w:r>
              <w:rPr>
                <w:b/>
                <w:color w:val="FFFFFF"/>
                <w:sz w:val="18"/>
              </w:rPr>
              <w:t>Befund</w:t>
            </w:r>
          </w:p>
        </w:tc>
        <w:tc>
          <w:tcPr>
            <w:tcW w:type="dxa" w:w="640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5A382B"/>
          </w:tcPr>
          <w:p>
            <w:pPr>
              <w:spacing w:after="0" w:line="259" w:lineRule="auto"/>
              <w:jc w:val="left"/>
            </w:pPr>
            <w:r/>
            <w:r>
              <w:rPr>
                <w:b/>
                <w:color w:val="FFFFFF"/>
                <w:sz w:val="18"/>
              </w:rPr>
              <w:t>Einordnung und angemessener erster Schritt</w:t>
            </w:r>
          </w:p>
        </w:tc>
      </w:tr>
      <w:tr>
        <w:tc>
          <w:tcPr>
            <w:tcW w:type="dxa" w:w="351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left"/>
            </w:pPr>
            <w:r/>
            <w:r>
              <w:rPr>
                <w:b/>
                <w:color w:val="15191B"/>
                <w:sz w:val="18"/>
              </w:rPr>
              <w:t>Direkter Verpackungslieferant</w:t>
              <w:br/>
              <w:t>Fluchtwege sind verschlossen</w:t>
            </w:r>
          </w:p>
        </w:tc>
        <w:tc>
          <w:tcPr>
            <w:tcW w:type="dxa" w:w="640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left"/>
            </w:pPr>
            <w:r/>
            <w:r>
              <w:rPr>
                <w:b w:val="0"/>
                <w:color w:val="15191B"/>
                <w:sz w:val="18"/>
              </w:rPr>
              <w:t>Dokumentierter Befund: zugängliche Notausgänge verlangen und bei einer erneuten Prüfung die tatsächliche Änderung kontrollieren.</w:t>
            </w:r>
          </w:p>
        </w:tc>
      </w:tr>
      <w:tr>
        <w:tc>
          <w:tcPr>
            <w:tcW w:type="dxa" w:w="351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5F6F4"/>
          </w:tcPr>
          <w:p>
            <w:pPr>
              <w:spacing w:after="0" w:line="259" w:lineRule="auto"/>
              <w:jc w:val="left"/>
            </w:pPr>
            <w:r/>
            <w:r>
              <w:rPr>
                <w:b/>
                <w:color w:val="15191B"/>
                <w:sz w:val="18"/>
              </w:rPr>
              <w:t>Mittelbarer Kakaoverarbeiter</w:t>
              <w:br/>
              <w:t>Hinweis auf gefährliche Kinderarbeit</w:t>
            </w:r>
          </w:p>
        </w:tc>
        <w:tc>
          <w:tcPr>
            <w:tcW w:type="dxa" w:w="6406"/>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5F6F4"/>
          </w:tcPr>
          <w:p>
            <w:pPr>
              <w:spacing w:after="0" w:line="259" w:lineRule="auto"/>
              <w:jc w:val="left"/>
            </w:pPr>
            <w:r/>
            <w:r>
              <w:rPr>
                <w:b w:val="0"/>
                <w:color w:val="15191B"/>
                <w:sz w:val="18"/>
              </w:rPr>
              <w:t>Konkreter Hinweis: Risiken anlassbezogen untersuchen und geeignete Schutzmaßnahmen entwickeln. Den Hinweis weder ignorieren noch als bereits bewiesenen Verstoß behandeln.</w:t>
            </w:r>
          </w:p>
        </w:tc>
      </w:tr>
    </w:tbl>
    <w:p>
      <w:pPr>
        <w:spacing w:after="0" w:before="0"/>
      </w:pPr>
    </w:p>
    <w:p>
      <w:r>
        <w:t>Sorgfalt bedeutet: Befund klären, Verantwortliche benennen, angemessen handeln und die Wirkung prüfen. Eine Unterschrift ersetzt keine freien Fluchtwege. Ein Vertragsabbruch ist nicht bei jedem Verstoß automatisch die richtige oder gesetzlich gebotene Antwort.</w:t>
      </w:r>
    </w:p>
    <w:p>
      <w:pPr>
        <w:pStyle w:val="Heading1"/>
      </w:pPr>
      <w:r>
        <w:t>So wird aus Wissen ein Urteil</w:t>
      </w:r>
    </w:p>
    <w:p>
      <w:r>
        <w:t>Eine gute Entscheidung verbindet die Akten. Sie enthält eine Empfehlung, passende Zahlen und Textbelege, einen ernsthaften Einwand und eine Bedingung für eine spätere Neubewertung. Ein Zielkonflikt liegt vor, wenn mehr Vorrat die Versorgung verbessert, aber Kapital bindet. Zielkongruenz liegt vor, wenn weniger Ausschuss zugleich Kosten und Materialverbrauch senkt.</w:t>
      </w:r>
    </w:p>
    <w:tbl>
      <w:tblPr>
        <w:tblW w:type="auto" w:w="0"/>
        <w:jc w:val="center"/>
        <w:tblLayout w:type="fixed"/>
        <w:tblLook w:firstColumn="1" w:firstRow="1" w:lastColumn="0" w:lastRow="0" w:noHBand="0" w:noVBand="1" w:val="04A0"/>
      </w:tblPr>
      <w:tblGrid>
        <w:gridCol w:w="2324"/>
        <w:gridCol w:w="2665"/>
        <w:gridCol w:w="2381"/>
        <w:gridCol w:w="2551"/>
      </w:tblGrid>
      <w:tr>
        <w:trPr>
          <w:tblHeader w:val="true"/>
        </w:trPr>
        <w:tc>
          <w:tcPr>
            <w:tcW w:type="dxa" w:w="232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5A382B"/>
          </w:tcPr>
          <w:p>
            <w:pPr>
              <w:spacing w:after="0" w:line="259" w:lineRule="auto"/>
              <w:jc w:val="left"/>
            </w:pPr>
            <w:r/>
            <w:r>
              <w:rPr>
                <w:b/>
                <w:color w:val="FFFFFF"/>
                <w:sz w:val="18"/>
              </w:rPr>
              <w:t>Empfehlung</w:t>
            </w:r>
          </w:p>
        </w:tc>
        <w:tc>
          <w:tcPr>
            <w:tcW w:type="dxa" w:w="266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5A382B"/>
          </w:tcPr>
          <w:p>
            <w:pPr>
              <w:spacing w:after="0" w:line="259" w:lineRule="auto"/>
              <w:jc w:val="left"/>
            </w:pPr>
            <w:r/>
            <w:r>
              <w:rPr>
                <w:b/>
                <w:color w:val="FFFFFF"/>
                <w:sz w:val="18"/>
              </w:rPr>
              <w:t>Beleg</w:t>
            </w:r>
          </w:p>
        </w:tc>
        <w:tc>
          <w:tcPr>
            <w:tcW w:type="dxa" w:w="238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5A382B"/>
          </w:tcPr>
          <w:p>
            <w:pPr>
              <w:spacing w:after="0" w:line="259" w:lineRule="auto"/>
              <w:jc w:val="left"/>
            </w:pPr>
            <w:r/>
            <w:r>
              <w:rPr>
                <w:b/>
                <w:color w:val="FFFFFF"/>
                <w:sz w:val="18"/>
              </w:rPr>
              <w:t>Einwand</w:t>
            </w:r>
          </w:p>
        </w:tc>
        <w:tc>
          <w:tcPr>
            <w:tcW w:type="dxa" w:w="255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5A382B"/>
          </w:tcPr>
          <w:p>
            <w:pPr>
              <w:spacing w:after="0" w:line="259" w:lineRule="auto"/>
              <w:jc w:val="left"/>
            </w:pPr>
            <w:r/>
            <w:r>
              <w:rPr>
                <w:b/>
                <w:color w:val="FFFFFF"/>
                <w:sz w:val="18"/>
              </w:rPr>
              <w:t>Neue Bedingung</w:t>
            </w:r>
          </w:p>
        </w:tc>
      </w:tr>
      <w:tr>
        <w:tc>
          <w:tcPr>
            <w:tcW w:type="dxa" w:w="2324"/>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center"/>
            </w:pPr>
            <w:r/>
            <w:r>
              <w:rPr>
                <w:b/>
                <w:color w:val="15191B"/>
                <w:sz w:val="18"/>
              </w:rPr>
              <w:t>Was soll die Firma tun?</w:t>
            </w:r>
          </w:p>
        </w:tc>
        <w:tc>
          <w:tcPr>
            <w:tcW w:type="dxa" w:w="2665"/>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center"/>
            </w:pPr>
            <w:r/>
            <w:r>
              <w:rPr>
                <w:b w:val="0"/>
                <w:color w:val="15191B"/>
                <w:sz w:val="18"/>
              </w:rPr>
              <w:t>Welche Akte und welche Rechnung stützen das?</w:t>
            </w:r>
          </w:p>
        </w:tc>
        <w:tc>
          <w:tcPr>
            <w:tcW w:type="dxa" w:w="238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center"/>
            </w:pPr>
            <w:r/>
            <w:r>
              <w:rPr>
                <w:b w:val="0"/>
                <w:color w:val="15191B"/>
                <w:sz w:val="18"/>
              </w:rPr>
              <w:t>Welche Kosten oder Folgen sprechen dagegen?</w:t>
            </w:r>
          </w:p>
        </w:tc>
        <w:tc>
          <w:tcPr>
            <w:tcW w:type="dxa" w:w="2551"/>
            <w:vAlign w:val="center"/>
            <w:tcMar>
              <w:top w:w="95" w:type="dxa"/>
              <w:start w:w="110" w:type="dxa"/>
              <w:bottom w:w="95" w:type="dxa"/>
              <w:end w:w="110" w:type="dxa"/>
            </w:tcMar>
            <w:tcBorders>
              <w:top w:val="single" w:sz="4" w:color="D9D9D9"/>
              <w:left w:val="single" w:sz="4" w:color="D9D9D9"/>
              <w:bottom w:val="single" w:sz="4" w:color="D9D9D9"/>
              <w:right w:val="single" w:sz="4" w:color="D9D9D9"/>
            </w:tcBorders>
            <w:shd w:fill="FFFFFF"/>
          </w:tcPr>
          <w:p>
            <w:pPr>
              <w:spacing w:after="0" w:line="259" w:lineRule="auto"/>
              <w:jc w:val="left"/>
            </w:pPr>
            <w:r/>
            <w:r>
              <w:rPr>
                <w:b w:val="0"/>
                <w:color w:val="15191B"/>
                <w:sz w:val="18"/>
              </w:rPr>
              <w:t>Welche neuen Daten würden die Entscheidung ändern?</w:t>
            </w:r>
          </w:p>
        </w:tc>
      </w:tr>
    </w:tbl>
    <w:p>
      <w:pPr>
        <w:spacing w:after="0" w:before="0"/>
      </w:pPr>
    </w:p>
    <w:p>
      <w:pPr>
        <w:spacing w:before="100" w:after="140"/>
        <w:ind w:left="170" w:right="170"/>
        <w:shd w:fill="F4EBE3"/>
      </w:pPr>
      <w:r>
        <w:rPr>
          <w:b/>
          <w:color w:val="15191B"/>
        </w:rPr>
        <w:t xml:space="preserve">Merksatz  </w:t>
      </w:r>
      <w:r>
        <w:t>Gute Unternehmensentscheidungen berücksichtigen den gesamten Ablauf: Kosten, Lieferfähigkeit, Qualität und die betroffenen Menschen.</w:t>
      </w:r>
    </w:p>
    <w:p>
      <w:pPr>
        <w:pStyle w:val="Smallnote"/>
      </w:pPr>
      <w:r>
        <w:t>Alle Zahlen sind fiktive Modellwerte. Die Rechtsanalyse bezieht sich ausschließlich auf den Unterrichtsfall 2024 und die dort genannten §§ 1, 7 und 9 LkSG.</w:t>
      </w:r>
    </w:p>
    <w:sectPr w:rsidR="00FC693F" w:rsidRPr="0006063C" w:rsidSect="00034616">
      <w:pgSz w:w="11906" w:h="16838"/>
      <w:pgMar w:top="935" w:right="992" w:bottom="879"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Arial" w:hAnsi="Arial"/>
      <w:color w:val="15191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line">
    <w:name w:val="Subline"/>
    <w:basedOn w:val="Normal"/>
    <w:pPr>
      <w:spacing w:after="260"/>
    </w:pPr>
    <w:rPr>
      <w:b/>
      <w:color w:val="4E5556"/>
      <w:sz w:val="18"/>
    </w:rPr>
  </w:style>
  <w:style w:type="paragraph" w:customStyle="1" w:styleId="Smallnote">
    <w:name w:val="Small note"/>
    <w:basedOn w:val="Normal"/>
    <w:pPr>
      <w:spacing w:after="100" w:line="269" w:lineRule="auto"/>
    </w:pPr>
    <w:rPr>
      <w:color w:val="4E555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Ergebnisse der Schokoladenfabrik</dc:title>
  <dc:subject>Zusammenfassung für Wirtschaft und Recht Q12</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