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EC773">
      <w:pPr>
        <w:jc w:val="center"/>
      </w:pPr>
      <w:bookmarkStart w:id="0" w:name="_GoBack"/>
      <w:bookmarkEnd w:id="0"/>
      <w:r>
        <w:rPr>
          <w:i/>
          <w:sz w:val="20"/>
        </w:rPr>
        <w:t>The numbered panel gives the annotation and governance rationale for each correction.</w:t>
      </w:r>
    </w:p>
    <w:p w14:paraId="66CB3E73">
      <w:pPr>
        <w:jc w:val="center"/>
      </w:pPr>
      <w:r>
        <w:drawing>
          <wp:inline distT="0" distB="0" distL="114300" distR="114300">
            <wp:extent cx="6217920" cy="3616325"/>
            <wp:effectExtent l="0" t="0" r="508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1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1DEB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jordan nguepi</cp:lastModifiedBy>
  <dcterms:modified xsi:type="dcterms:W3CDTF">2026-08-09T21:26:58Z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6809A15ACBE7B07882D4786A89344FA9_42</vt:lpwstr>
  </property>
</Properties>
</file>