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ALTDA — шаблон программы</w:t>
      </w:r>
    </w:p>
    <w:p>
      <w:r>
        <w:t>Служебный шаблон: экспорт заполняет разделы через Apache POI.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  <w:rPr>
      <w:rFonts w:ascii="Times New Roman" w:hAnsi="Times New Roman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before="240" w:after="240"/>
    </w:pPr>
    <w:rPr>
      <w:b/>
      <w:sz w:val="36"/>
      <w:szCs w:val="36"/>
      <w:color w:val="0F6B5C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sz w:val="28"/>
      <w:szCs w:val="28"/>
      <w:color w:val="1A23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4"/>
      <w:szCs w:val="24"/>
      <w:color w:val="0F6B5C"/>
    </w:rPr>
  </w:style>
  <w:style w:type="table" w:styleId="TableGrid">
    <w:name w:val="Table Grid"/>
    <w:basedOn w:val="TableNormal"/>
    <w:uiPriority w:val="39"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