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3BEE5F1A" w14:textId="77777777" w:rsidR="00CF42D7" w:rsidRPr="00CF42D7" w:rsidRDefault="00CF42D7" w:rsidP="00CF42D7">
      <w:pPr>
        <w:rPr>
          <w:lang w:val="en-US"/>
        </w:rPr>
      </w:pPr>
    </w:p>
    <w:p w14:paraId="6E0EEAFC" w14:textId="77777777" w:rsidR="00B040FB" w:rsidRDefault="00D43FCB" w:rsidP="00CF42D7">
      <w:pPr>
        <w:pStyle w:val="Nessunaspaziatura"/>
        <w:rPr>
          <w:b/>
          <w:bCs/>
          <w:lang w:val="en-US"/>
        </w:rPr>
      </w:pPr>
      <w:r w:rsidRPr="00D43FCB">
        <w:rPr>
          <w:shd w:val="clear" w:color="auto" w:fill="FFFFFF"/>
          <w:lang w:val="en-US"/>
        </w:rPr>
        <w:t xml:space="preserve">Specify </w:t>
      </w:r>
      <w:r w:rsidRPr="00215B5E">
        <w:rPr>
          <w:b/>
          <w:bCs/>
          <w:shd w:val="clear" w:color="auto" w:fill="FFFFFF"/>
          <w:lang w:val="en-US"/>
        </w:rPr>
        <w:t>HL7 FHIR logical models</w:t>
      </w:r>
      <w:r>
        <w:rPr>
          <w:shd w:val="clear" w:color="auto" w:fill="FFFFFF"/>
          <w:lang w:val="en-US"/>
        </w:rPr>
        <w:t xml:space="preserve"> and </w:t>
      </w:r>
      <w:r w:rsidRPr="00215B5E">
        <w:rPr>
          <w:b/>
          <w:bCs/>
          <w:shd w:val="clear" w:color="auto" w:fill="FFFFFF"/>
          <w:lang w:val="en-US"/>
        </w:rPr>
        <w:t>profiles</w:t>
      </w:r>
      <w:r>
        <w:rPr>
          <w:shd w:val="clear" w:color="auto" w:fill="FFFFFF"/>
          <w:lang w:val="en-US"/>
        </w:rPr>
        <w:t xml:space="preserve"> to be used within the European project </w:t>
      </w:r>
      <w:r w:rsidR="00C028E3" w:rsidRPr="00C028E3">
        <w:rPr>
          <w:lang w:val="en-US"/>
        </w:rPr>
        <w:t>X-eH</w:t>
      </w:r>
      <w:r w:rsidR="00C028E3">
        <w:rPr>
          <w:lang w:val="en-US"/>
        </w:rPr>
        <w:t xml:space="preserve">ealth </w:t>
      </w:r>
      <w:r w:rsidR="002077FC">
        <w:rPr>
          <w:shd w:val="clear" w:color="auto" w:fill="FFFFFF"/>
          <w:lang w:val="en-US"/>
        </w:rPr>
        <w:t>f</w:t>
      </w:r>
      <w:r w:rsidR="002077FC">
        <w:rPr>
          <w:lang w:val="en-US"/>
        </w:rPr>
        <w:t>or supporting the</w:t>
      </w:r>
      <w:r w:rsidR="0023346A">
        <w:rPr>
          <w:lang w:val="en-US"/>
        </w:rPr>
        <w:t xml:space="preserve"> </w:t>
      </w:r>
      <w:r w:rsidR="00C028E3" w:rsidRPr="00C028E3">
        <w:rPr>
          <w:b/>
          <w:bCs/>
          <w:lang w:val="en-US"/>
        </w:rPr>
        <w:t xml:space="preserve">European EHR </w:t>
      </w:r>
      <w:proofErr w:type="spellStart"/>
      <w:r w:rsidR="00C028E3" w:rsidRPr="00C028E3">
        <w:rPr>
          <w:b/>
          <w:bCs/>
          <w:lang w:val="en-US"/>
        </w:rPr>
        <w:t>eXchange</w:t>
      </w:r>
      <w:proofErr w:type="spellEnd"/>
      <w:r w:rsidR="00C028E3" w:rsidRPr="00C028E3">
        <w:rPr>
          <w:b/>
          <w:bCs/>
          <w:lang w:val="en-US"/>
        </w:rPr>
        <w:t xml:space="preserve"> Format</w:t>
      </w:r>
      <w:r w:rsidR="00B040FB">
        <w:rPr>
          <w:b/>
          <w:bCs/>
          <w:lang w:val="en-US"/>
        </w:rPr>
        <w:t xml:space="preserve">. </w:t>
      </w:r>
    </w:p>
    <w:p w14:paraId="087CE312" w14:textId="77777777" w:rsidR="00B040FB" w:rsidRDefault="00B040FB" w:rsidP="00CF42D7">
      <w:pPr>
        <w:pStyle w:val="Nessunaspaziatura"/>
        <w:rPr>
          <w:b/>
          <w:bCs/>
          <w:lang w:val="en-US"/>
        </w:rPr>
      </w:pPr>
    </w:p>
    <w:p w14:paraId="57C935C5" w14:textId="490B0D91" w:rsidR="00FF409E" w:rsidRDefault="00FF409E" w:rsidP="00FC768D">
      <w:pPr>
        <w:pStyle w:val="Titolo3"/>
        <w:rPr>
          <w:lang w:val="en-US"/>
        </w:rPr>
      </w:pPr>
      <w:r>
        <w:rPr>
          <w:lang w:val="en-US"/>
        </w:rPr>
        <w:t>The</w:t>
      </w:r>
      <w:r w:rsidRPr="00FF409E">
        <w:rPr>
          <w:lang w:val="en-US"/>
        </w:rPr>
        <w:t xml:space="preserve"> </w:t>
      </w:r>
      <w:r w:rsidRPr="001E03AF">
        <w:rPr>
          <w:lang w:val="en-US"/>
        </w:rPr>
        <w:t>X-eHealth</w:t>
      </w:r>
      <w:r>
        <w:rPr>
          <w:lang w:val="en-US"/>
        </w:rPr>
        <w:t xml:space="preserve"> </w:t>
      </w:r>
      <w:r w:rsidR="00FC768D">
        <w:rPr>
          <w:lang w:val="en-US"/>
        </w:rPr>
        <w:t>Project</w:t>
      </w:r>
    </w:p>
    <w:p w14:paraId="48144BDE" w14:textId="77777777" w:rsidR="00FF409E" w:rsidRPr="00FF409E" w:rsidRDefault="00FF409E" w:rsidP="00FF409E">
      <w:pPr>
        <w:rPr>
          <w:lang w:val="en-US"/>
        </w:rPr>
      </w:pPr>
    </w:p>
    <w:p w14:paraId="08F5BCB3" w14:textId="47DBD6B8" w:rsidR="00FC768D" w:rsidRDefault="00FF409E" w:rsidP="00FF409E">
      <w:pPr>
        <w:pStyle w:val="Titolo4"/>
        <w:rPr>
          <w:lang w:val="en-US"/>
        </w:rPr>
      </w:pPr>
      <w:r>
        <w:rPr>
          <w:lang w:val="en-US"/>
        </w:rPr>
        <w:t xml:space="preserve">Overview </w:t>
      </w:r>
    </w:p>
    <w:p w14:paraId="251E76B8" w14:textId="77777777" w:rsidR="00FC768D" w:rsidRPr="00FC768D" w:rsidRDefault="00FC768D" w:rsidP="00FC768D">
      <w:pPr>
        <w:rPr>
          <w:lang w:val="en-US"/>
        </w:rPr>
      </w:pPr>
    </w:p>
    <w:p w14:paraId="5654D4AD" w14:textId="77777777" w:rsidR="00FC768D" w:rsidRDefault="00FC768D" w:rsidP="00FC768D">
      <w:pPr>
        <w:autoSpaceDE w:val="0"/>
        <w:autoSpaceDN w:val="0"/>
        <w:adjustRightInd w:val="0"/>
        <w:rPr>
          <w:lang w:val="en-US"/>
        </w:rPr>
      </w:pPr>
      <w:r w:rsidRPr="001E03AF">
        <w:rPr>
          <w:lang w:val="en-US"/>
        </w:rPr>
        <w:t xml:space="preserve">X-eHealth </w:t>
      </w:r>
      <w:r>
        <w:rPr>
          <w:lang w:val="en-US"/>
        </w:rPr>
        <w:t xml:space="preserve">is a 24-month </w:t>
      </w:r>
      <w:r w:rsidRPr="001E03AF">
        <w:rPr>
          <w:lang w:val="en-US"/>
        </w:rPr>
        <w:t xml:space="preserve">Cooperative and Support Action </w:t>
      </w:r>
      <w:r>
        <w:rPr>
          <w:lang w:val="en-US"/>
        </w:rPr>
        <w:t xml:space="preserve">(CSA) project starting in September 2020. </w:t>
      </w:r>
    </w:p>
    <w:p w14:paraId="0F6FCCCA" w14:textId="77777777" w:rsidR="00FC768D" w:rsidRPr="004B2919" w:rsidRDefault="00FC768D" w:rsidP="00FC768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Its main objective </w:t>
      </w:r>
      <w:r w:rsidRPr="001E03AF">
        <w:rPr>
          <w:lang w:val="en-US"/>
        </w:rPr>
        <w:t>is to promot</w:t>
      </w:r>
      <w:r>
        <w:rPr>
          <w:lang w:val="en-US"/>
        </w:rPr>
        <w:t>e</w:t>
      </w:r>
      <w:r w:rsidRPr="001E03AF">
        <w:rPr>
          <w:lang w:val="en-US"/>
        </w:rPr>
        <w:t xml:space="preserve"> a </w:t>
      </w:r>
      <w:r w:rsidRPr="00215B5E">
        <w:rPr>
          <w:b/>
          <w:bCs/>
          <w:lang w:val="en-US"/>
        </w:rPr>
        <w:t>faster and sustainable EU digital transformation</w:t>
      </w:r>
      <w:r w:rsidRPr="001E03AF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215B5E">
        <w:rPr>
          <w:b/>
          <w:bCs/>
          <w:lang w:val="en-US"/>
        </w:rPr>
        <w:t>develop the basis for a workable, interoperable, secure cross border Electronic Health Record Exchange Format (</w:t>
      </w:r>
      <w:proofErr w:type="spellStart"/>
      <w:r w:rsidRPr="00215B5E">
        <w:rPr>
          <w:b/>
          <w:bCs/>
          <w:lang w:val="en-US"/>
        </w:rPr>
        <w:t>EEHRxF</w:t>
      </w:r>
      <w:proofErr w:type="spellEnd"/>
      <w:r w:rsidRPr="00215B5E">
        <w:rPr>
          <w:b/>
          <w:bCs/>
          <w:lang w:val="en-US"/>
        </w:rPr>
        <w:t>).</w:t>
      </w:r>
      <w:r>
        <w:rPr>
          <w:lang w:val="en-US"/>
        </w:rPr>
        <w:t xml:space="preserve"> The project will </w:t>
      </w:r>
      <w:r w:rsidRPr="001E03AF">
        <w:rPr>
          <w:lang w:val="en-US"/>
        </w:rPr>
        <w:t xml:space="preserve">build upon the already in place Patient Summary, </w:t>
      </w:r>
      <w:r>
        <w:rPr>
          <w:lang w:val="en-US"/>
        </w:rPr>
        <w:t xml:space="preserve">and </w:t>
      </w:r>
      <w:r w:rsidRPr="001E03AF">
        <w:rPr>
          <w:lang w:val="en-US"/>
        </w:rPr>
        <w:t>develop the</w:t>
      </w:r>
      <w:r>
        <w:rPr>
          <w:lang w:val="en-US"/>
        </w:rPr>
        <w:t xml:space="preserve"> </w:t>
      </w:r>
      <w:r w:rsidRPr="001E03AF">
        <w:rPr>
          <w:lang w:val="en-US"/>
        </w:rPr>
        <w:t xml:space="preserve">foundations for medical </w:t>
      </w:r>
      <w:r w:rsidRPr="004B2919">
        <w:rPr>
          <w:lang w:val="en-US"/>
        </w:rPr>
        <w:t>imaging, discharge letters, laboratory results and rare diseases</w:t>
      </w:r>
      <w:r w:rsidRPr="00A90FEE">
        <w:rPr>
          <w:lang w:val="en-US"/>
        </w:rPr>
        <w:t>.</w:t>
      </w:r>
    </w:p>
    <w:p w14:paraId="4F100FFD" w14:textId="77777777" w:rsidR="00FC768D" w:rsidRPr="00093309" w:rsidRDefault="00FC768D" w:rsidP="00FC768D">
      <w:pPr>
        <w:autoSpaceDE w:val="0"/>
        <w:autoSpaceDN w:val="0"/>
        <w:adjustRightInd w:val="0"/>
        <w:rPr>
          <w:lang w:val="en-US"/>
        </w:rPr>
      </w:pPr>
      <w:r w:rsidRPr="004B2919">
        <w:rPr>
          <w:lang w:val="en-US"/>
        </w:rPr>
        <w:t xml:space="preserve">X-eHealth </w:t>
      </w:r>
      <w:r w:rsidRPr="00093309">
        <w:rPr>
          <w:lang w:val="en-US"/>
        </w:rPr>
        <w:t>will also work for a</w:t>
      </w:r>
      <w:r w:rsidRPr="004B2919">
        <w:rPr>
          <w:lang w:val="en-US"/>
        </w:rPr>
        <w:t>lign</w:t>
      </w:r>
      <w:r w:rsidRPr="00093309">
        <w:rPr>
          <w:lang w:val="en-US"/>
        </w:rPr>
        <w:t>ing</w:t>
      </w:r>
      <w:r w:rsidRPr="004B2919">
        <w:rPr>
          <w:lang w:val="en-US"/>
        </w:rPr>
        <w:t xml:space="preserve"> efforts of ongoing initiatives supporting the Digital Transformation of Health and Care </w:t>
      </w:r>
      <w:r w:rsidRPr="00093309">
        <w:rPr>
          <w:lang w:val="en-US"/>
        </w:rPr>
        <w:t>(</w:t>
      </w:r>
      <w:r w:rsidRPr="004B2919">
        <w:rPr>
          <w:lang w:val="en-US"/>
        </w:rPr>
        <w:t>DTHC</w:t>
      </w:r>
      <w:r w:rsidRPr="00093309">
        <w:rPr>
          <w:lang w:val="en-US"/>
        </w:rPr>
        <w:t xml:space="preserve">) </w:t>
      </w:r>
      <w:r w:rsidRPr="004B2919">
        <w:rPr>
          <w:lang w:val="en-US"/>
        </w:rPr>
        <w:t>priorities</w:t>
      </w:r>
      <w:r w:rsidRPr="00093309">
        <w:rPr>
          <w:lang w:val="en-US"/>
        </w:rPr>
        <w:t xml:space="preserve"> at the European level </w:t>
      </w:r>
      <w:r>
        <w:rPr>
          <w:lang w:val="en-US"/>
        </w:rPr>
        <w:t xml:space="preserve">and supporting </w:t>
      </w:r>
      <w:r w:rsidRPr="00093309">
        <w:rPr>
          <w:lang w:val="en-US"/>
        </w:rPr>
        <w:t xml:space="preserve">implementers and developers of </w:t>
      </w:r>
      <w:proofErr w:type="spellStart"/>
      <w:r w:rsidRPr="00093309">
        <w:rPr>
          <w:lang w:val="en-US"/>
        </w:rPr>
        <w:t>EEHRxF</w:t>
      </w:r>
      <w:proofErr w:type="spellEnd"/>
      <w:r w:rsidRPr="00093309">
        <w:rPr>
          <w:lang w:val="en-US"/>
        </w:rPr>
        <w:t xml:space="preserve"> in member states and across the world.</w:t>
      </w:r>
    </w:p>
    <w:p w14:paraId="11DE7F2D" w14:textId="77777777" w:rsidR="00D43FCB" w:rsidRDefault="00D43FCB" w:rsidP="00CF42D7">
      <w:pPr>
        <w:pStyle w:val="Nessunaspaziatura"/>
        <w:rPr>
          <w:shd w:val="clear" w:color="auto" w:fill="FFFFFF"/>
          <w:lang w:val="en-US"/>
        </w:rPr>
      </w:pPr>
    </w:p>
    <w:p w14:paraId="764FB930" w14:textId="1538F3C9" w:rsidR="000519BB" w:rsidRDefault="00FF409E" w:rsidP="00787AB1">
      <w:pPr>
        <w:pStyle w:val="Titolo4"/>
        <w:rPr>
          <w:lang w:val="en-US"/>
        </w:rPr>
      </w:pPr>
      <w:r>
        <w:rPr>
          <w:lang w:val="en-US"/>
        </w:rPr>
        <w:t>Objectives</w:t>
      </w:r>
    </w:p>
    <w:p w14:paraId="44ED1A65" w14:textId="77777777" w:rsidR="00FF409E" w:rsidRPr="00FF409E" w:rsidRDefault="00FF409E" w:rsidP="00FF409E">
      <w:pPr>
        <w:rPr>
          <w:lang w:val="en-US"/>
        </w:rPr>
      </w:pPr>
    </w:p>
    <w:p w14:paraId="375C4E22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b/>
          <w:bCs/>
          <w:lang w:val="en-US"/>
        </w:rPr>
        <w:t>To reach a common understanding</w:t>
      </w:r>
      <w:r w:rsidRPr="00023B22">
        <w:rPr>
          <w:lang w:val="en-US"/>
        </w:rPr>
        <w:t xml:space="preserve"> in the EU </w:t>
      </w:r>
      <w:r w:rsidRPr="00023B22">
        <w:rPr>
          <w:b/>
          <w:bCs/>
          <w:lang w:val="en-US"/>
        </w:rPr>
        <w:t>on the</w:t>
      </w:r>
      <w:r w:rsidRPr="00023B22">
        <w:rPr>
          <w:lang w:val="en-US"/>
        </w:rPr>
        <w:t xml:space="preserve"> </w:t>
      </w:r>
      <w:r w:rsidRPr="00023B22">
        <w:rPr>
          <w:b/>
          <w:bCs/>
          <w:lang w:val="en-US"/>
        </w:rPr>
        <w:t xml:space="preserve">efforts needed to adopt the commonly defined </w:t>
      </w:r>
      <w:proofErr w:type="spellStart"/>
      <w:r w:rsidRPr="00023B22">
        <w:rPr>
          <w:b/>
          <w:bCs/>
          <w:lang w:val="en-US"/>
        </w:rPr>
        <w:t>EEHRxF</w:t>
      </w:r>
      <w:proofErr w:type="spellEnd"/>
      <w:r w:rsidRPr="00023B22">
        <w:rPr>
          <w:b/>
          <w:bCs/>
          <w:lang w:val="en-US"/>
        </w:rPr>
        <w:t xml:space="preserve"> specifications</w:t>
      </w:r>
      <w:r w:rsidRPr="00023B22">
        <w:rPr>
          <w:lang w:val="en-US"/>
        </w:rPr>
        <w:t xml:space="preserve"> at different levels and within their </w:t>
      </w:r>
      <w:proofErr w:type="spellStart"/>
      <w:r w:rsidRPr="00023B22">
        <w:rPr>
          <w:lang w:val="en-US"/>
        </w:rPr>
        <w:t>nationaI</w:t>
      </w:r>
      <w:proofErr w:type="spellEnd"/>
      <w:r w:rsidRPr="00023B22">
        <w:rPr>
          <w:lang w:val="en-US"/>
        </w:rPr>
        <w:t xml:space="preserve"> EHR solutions</w:t>
      </w:r>
    </w:p>
    <w:p w14:paraId="6B2E4544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b/>
          <w:bCs/>
          <w:lang w:val="en-US"/>
        </w:rPr>
        <w:t>To</w:t>
      </w:r>
      <w:r w:rsidRPr="00023B22">
        <w:rPr>
          <w:lang w:val="en-US"/>
        </w:rPr>
        <w:t xml:space="preserve"> </w:t>
      </w:r>
      <w:r w:rsidRPr="00023B22">
        <w:rPr>
          <w:b/>
          <w:bCs/>
          <w:lang w:val="en-US"/>
        </w:rPr>
        <w:t xml:space="preserve">define, specify and demonstrate the </w:t>
      </w:r>
      <w:proofErr w:type="spellStart"/>
      <w:r w:rsidRPr="00023B22">
        <w:rPr>
          <w:b/>
          <w:bCs/>
          <w:lang w:val="en-US"/>
        </w:rPr>
        <w:t>EEHRxF</w:t>
      </w:r>
      <w:proofErr w:type="spellEnd"/>
      <w:r w:rsidRPr="00023B22">
        <w:rPr>
          <w:b/>
          <w:bCs/>
          <w:lang w:val="en-US"/>
        </w:rPr>
        <w:t xml:space="preserve"> use cases</w:t>
      </w:r>
      <w:r w:rsidRPr="00023B22">
        <w:rPr>
          <w:lang w:val="en-US"/>
        </w:rPr>
        <w:t xml:space="preserve"> laboratory results, medical imaging and reports, hospital discharge reports and patient summary for those suffering from rare disease and/or comorbidities.</w:t>
      </w:r>
    </w:p>
    <w:p w14:paraId="69243684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lang w:val="en-US"/>
        </w:rPr>
        <w:t xml:space="preserve">To </w:t>
      </w:r>
      <w:r w:rsidRPr="00023B22">
        <w:rPr>
          <w:b/>
          <w:bCs/>
          <w:lang w:val="en-US"/>
        </w:rPr>
        <w:t>elaborate the roadmap</w:t>
      </w:r>
      <w:r w:rsidRPr="00023B22">
        <w:rPr>
          <w:lang w:val="en-US"/>
        </w:rPr>
        <w:t xml:space="preserve"> for the above-mentioned use cases for future uptake on the </w:t>
      </w:r>
      <w:proofErr w:type="spellStart"/>
      <w:r w:rsidRPr="00023B22">
        <w:rPr>
          <w:lang w:val="en-US"/>
        </w:rPr>
        <w:t>eHDSI</w:t>
      </w:r>
      <w:proofErr w:type="spellEnd"/>
      <w:r w:rsidRPr="00023B22">
        <w:rPr>
          <w:lang w:val="en-US"/>
        </w:rPr>
        <w:t xml:space="preserve"> as well as for the additional usage within MS on national, </w:t>
      </w:r>
      <w:proofErr w:type="gramStart"/>
      <w:r w:rsidRPr="00023B22">
        <w:rPr>
          <w:lang w:val="en-US"/>
        </w:rPr>
        <w:t>regional</w:t>
      </w:r>
      <w:proofErr w:type="gramEnd"/>
      <w:r w:rsidRPr="00023B22">
        <w:rPr>
          <w:lang w:val="en-US"/>
        </w:rPr>
        <w:t xml:space="preserve"> or local level </w:t>
      </w:r>
    </w:p>
    <w:p w14:paraId="2D4C46B0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b/>
          <w:bCs/>
          <w:lang w:val="en-US"/>
        </w:rPr>
        <w:t>To submit the outcomes and recommendations of X-eHealth</w:t>
      </w:r>
      <w:r w:rsidRPr="00023B22">
        <w:rPr>
          <w:lang w:val="en-US"/>
        </w:rPr>
        <w:t xml:space="preserve"> regarding </w:t>
      </w:r>
      <w:proofErr w:type="spellStart"/>
      <w:r w:rsidRPr="00023B22">
        <w:rPr>
          <w:lang w:val="en-US"/>
        </w:rPr>
        <w:t>EEHRxF</w:t>
      </w:r>
      <w:proofErr w:type="spellEnd"/>
      <w:r w:rsidRPr="00023B22">
        <w:rPr>
          <w:lang w:val="en-US"/>
        </w:rPr>
        <w:t xml:space="preserve"> deployment to the relevant bodies on policy, strategic and operational level (e.g. eHealth Network, National Competence </w:t>
      </w:r>
      <w:proofErr w:type="spellStart"/>
      <w:r w:rsidRPr="00023B22">
        <w:rPr>
          <w:lang w:val="en-US"/>
        </w:rPr>
        <w:t>Centres</w:t>
      </w:r>
      <w:proofErr w:type="spellEnd"/>
      <w:r w:rsidRPr="00023B22">
        <w:rPr>
          <w:lang w:val="en-US"/>
        </w:rPr>
        <w:t xml:space="preserve"> for eHealth, </w:t>
      </w:r>
      <w:proofErr w:type="spellStart"/>
      <w:r w:rsidRPr="00023B22">
        <w:rPr>
          <w:lang w:val="en-US"/>
        </w:rPr>
        <w:t>eHDSI</w:t>
      </w:r>
      <w:proofErr w:type="spellEnd"/>
      <w:r w:rsidRPr="00023B22">
        <w:rPr>
          <w:lang w:val="en-US"/>
        </w:rPr>
        <w:t xml:space="preserve"> operators) 7 951938 X-eHealth – Part B </w:t>
      </w:r>
    </w:p>
    <w:p w14:paraId="62409485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b/>
          <w:bCs/>
          <w:lang w:val="en-US"/>
        </w:rPr>
        <w:t>To propose a governance framework</w:t>
      </w:r>
      <w:r w:rsidRPr="00023B22">
        <w:rPr>
          <w:lang w:val="en-US"/>
        </w:rPr>
        <w:t xml:space="preserve"> for the sustainable maintenance, evolution and distribution of </w:t>
      </w:r>
      <w:proofErr w:type="spellStart"/>
      <w:r w:rsidRPr="00023B22">
        <w:rPr>
          <w:lang w:val="en-US"/>
        </w:rPr>
        <w:t>standardisation</w:t>
      </w:r>
      <w:proofErr w:type="spellEnd"/>
      <w:r w:rsidRPr="00023B22">
        <w:rPr>
          <w:lang w:val="en-US"/>
        </w:rPr>
        <w:t xml:space="preserve"> and interoperability</w:t>
      </w:r>
    </w:p>
    <w:p w14:paraId="554ED929" w14:textId="77777777" w:rsidR="00CF42D7" w:rsidRPr="00CF42D7" w:rsidRDefault="00CF42D7" w:rsidP="00CF42D7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C110C3" w14:paraId="6522B8DD" w14:textId="77777777" w:rsidTr="006079A9">
        <w:tc>
          <w:tcPr>
            <w:tcW w:w="7370" w:type="dxa"/>
          </w:tcPr>
          <w:p w14:paraId="364E0001" w14:textId="2489D7EE" w:rsidR="00BD7B0F" w:rsidRPr="00B73DD8" w:rsidRDefault="00217C3B" w:rsidP="008B0CFB">
            <w:pPr>
              <w:shd w:val="clear" w:color="auto" w:fill="FFFFFF"/>
              <w:spacing w:after="158"/>
              <w:rPr>
                <w:lang w:val="en-US" w:eastAsia="it-IT"/>
              </w:rPr>
            </w:pPr>
            <w:r>
              <w:rPr>
                <w:noProof/>
                <w:lang w:val="en-US" w:eastAsia="it-IT"/>
              </w:rPr>
              <w:lastRenderedPageBreak/>
              <w:drawing>
                <wp:inline distT="0" distB="0" distL="0" distR="0" wp14:anchorId="531E34CC" wp14:editId="372AFD73">
                  <wp:extent cx="4500000" cy="299871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000" cy="2998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4EF2C3" w14:textId="571A6D41" w:rsidR="00C110C3" w:rsidRDefault="00C110C3" w:rsidP="00CF42D7">
            <w:pPr>
              <w:rPr>
                <w:lang w:val="en-US" w:eastAsia="it-IT"/>
              </w:rPr>
            </w:pPr>
          </w:p>
          <w:p w14:paraId="187F4264" w14:textId="5C92BAE0" w:rsidR="00C110C3" w:rsidRDefault="00C110C3" w:rsidP="00CF42D7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 xml:space="preserve">Figure 1 </w:t>
            </w:r>
            <w:r w:rsidR="00746992">
              <w:rPr>
                <w:lang w:val="en-US" w:eastAsia="it-IT"/>
              </w:rPr>
              <w:t>X-eHealth</w:t>
            </w:r>
            <w:r w:rsidR="00F74B48">
              <w:rPr>
                <w:lang w:val="en-US" w:eastAsia="it-IT"/>
              </w:rPr>
              <w:t xml:space="preserve"> Objectives</w:t>
            </w:r>
          </w:p>
        </w:tc>
      </w:tr>
    </w:tbl>
    <w:p w14:paraId="6F0F15F1" w14:textId="36F44F02" w:rsidR="00CF42D7" w:rsidRDefault="00CF42D7" w:rsidP="00CF42D7">
      <w:pPr>
        <w:rPr>
          <w:lang w:val="en-US" w:eastAsia="it-IT"/>
        </w:rPr>
      </w:pPr>
    </w:p>
    <w:p w14:paraId="6B8055DB" w14:textId="4AF601F1" w:rsidR="00CB36FF" w:rsidRPr="00D43FCB" w:rsidRDefault="00CB36FF" w:rsidP="00A907D9">
      <w:pPr>
        <w:rPr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86"/>
        <w:gridCol w:w="2099"/>
        <w:gridCol w:w="2745"/>
        <w:gridCol w:w="2898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09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4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2898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77777777" w:rsidR="00E71DB8" w:rsidRPr="00041908" w:rsidRDefault="00E71DB8" w:rsidP="00A907D9">
            <w:r w:rsidRPr="00041908">
              <w:t>Autore</w:t>
            </w:r>
          </w:p>
        </w:tc>
        <w:tc>
          <w:tcPr>
            <w:tcW w:w="2099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745" w:type="dxa"/>
          </w:tcPr>
          <w:p w14:paraId="6BF32BD9" w14:textId="574684ED" w:rsidR="00E71DB8" w:rsidRDefault="002E70BE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2898" w:type="dxa"/>
          </w:tcPr>
          <w:p w14:paraId="2A2FE8B8" w14:textId="7A3678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giorgio.cangioli_at_gmail.com</w:t>
            </w:r>
          </w:p>
        </w:tc>
      </w:tr>
      <w:tr w:rsidR="00E71DB8" w:rsidRPr="00E71DB8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2898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209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209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51CF"/>
    <w:multiLevelType w:val="hybridMultilevel"/>
    <w:tmpl w:val="862492C4"/>
    <w:lvl w:ilvl="0" w:tplc="E7B81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2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2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D5602F"/>
    <w:multiLevelType w:val="hybridMultilevel"/>
    <w:tmpl w:val="6E76376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0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2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2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23B22"/>
    <w:rsid w:val="00041908"/>
    <w:rsid w:val="000519BB"/>
    <w:rsid w:val="00053900"/>
    <w:rsid w:val="001C3C41"/>
    <w:rsid w:val="001F3083"/>
    <w:rsid w:val="002074A0"/>
    <w:rsid w:val="002077FC"/>
    <w:rsid w:val="00215B5E"/>
    <w:rsid w:val="00217C3B"/>
    <w:rsid w:val="0023346A"/>
    <w:rsid w:val="00270D11"/>
    <w:rsid w:val="002C0E23"/>
    <w:rsid w:val="002E70BE"/>
    <w:rsid w:val="003000AA"/>
    <w:rsid w:val="00301F9D"/>
    <w:rsid w:val="00362B5C"/>
    <w:rsid w:val="003B0FAE"/>
    <w:rsid w:val="003F0C43"/>
    <w:rsid w:val="0041368D"/>
    <w:rsid w:val="004139ED"/>
    <w:rsid w:val="0045030A"/>
    <w:rsid w:val="004A53A0"/>
    <w:rsid w:val="004F134D"/>
    <w:rsid w:val="00506005"/>
    <w:rsid w:val="005E6C2C"/>
    <w:rsid w:val="006079A9"/>
    <w:rsid w:val="00617972"/>
    <w:rsid w:val="006B5A79"/>
    <w:rsid w:val="00735709"/>
    <w:rsid w:val="00746992"/>
    <w:rsid w:val="007603A3"/>
    <w:rsid w:val="00772CC7"/>
    <w:rsid w:val="00787AB1"/>
    <w:rsid w:val="007D0507"/>
    <w:rsid w:val="007D224A"/>
    <w:rsid w:val="007E6475"/>
    <w:rsid w:val="007F560A"/>
    <w:rsid w:val="007F5725"/>
    <w:rsid w:val="0080223B"/>
    <w:rsid w:val="008214A5"/>
    <w:rsid w:val="008251B3"/>
    <w:rsid w:val="00894024"/>
    <w:rsid w:val="008B0CFB"/>
    <w:rsid w:val="008F37F6"/>
    <w:rsid w:val="00907BEA"/>
    <w:rsid w:val="00917280"/>
    <w:rsid w:val="00970722"/>
    <w:rsid w:val="009B5592"/>
    <w:rsid w:val="009D1FE1"/>
    <w:rsid w:val="00A558B9"/>
    <w:rsid w:val="00A907D9"/>
    <w:rsid w:val="00A97B01"/>
    <w:rsid w:val="00AB4541"/>
    <w:rsid w:val="00AB7D4A"/>
    <w:rsid w:val="00B040FB"/>
    <w:rsid w:val="00B27476"/>
    <w:rsid w:val="00B73DD8"/>
    <w:rsid w:val="00B847A0"/>
    <w:rsid w:val="00BB7DDD"/>
    <w:rsid w:val="00BC782D"/>
    <w:rsid w:val="00BD7B0F"/>
    <w:rsid w:val="00C028E3"/>
    <w:rsid w:val="00C042BD"/>
    <w:rsid w:val="00C110C3"/>
    <w:rsid w:val="00C1723E"/>
    <w:rsid w:val="00C8070D"/>
    <w:rsid w:val="00C82905"/>
    <w:rsid w:val="00CB36FF"/>
    <w:rsid w:val="00CC75B3"/>
    <w:rsid w:val="00CF42D7"/>
    <w:rsid w:val="00D43FCB"/>
    <w:rsid w:val="00D61B67"/>
    <w:rsid w:val="00D7292C"/>
    <w:rsid w:val="00D90768"/>
    <w:rsid w:val="00E2517C"/>
    <w:rsid w:val="00E44091"/>
    <w:rsid w:val="00E5687E"/>
    <w:rsid w:val="00E71DB8"/>
    <w:rsid w:val="00E845E5"/>
    <w:rsid w:val="00EB26E8"/>
    <w:rsid w:val="00ED05B2"/>
    <w:rsid w:val="00ED3C02"/>
    <w:rsid w:val="00F74B48"/>
    <w:rsid w:val="00FC768D"/>
    <w:rsid w:val="00F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4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40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04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77</cp:revision>
  <dcterms:created xsi:type="dcterms:W3CDTF">2020-04-05T12:56:00Z</dcterms:created>
  <dcterms:modified xsi:type="dcterms:W3CDTF">2020-10-02T07:03:00Z</dcterms:modified>
</cp:coreProperties>
</file>