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spacing w:before="0" w:after="200"/>
        <w:jc w:val="center"/>
      </w:pPr>
      <w:r>
        <w:rPr>
          <w:rFonts w:ascii="Arial" w:hAnsi="Arial"/>
          <w:b/>
          <w:i w:val="0"/>
          <w:sz w:val="28"/>
        </w:rPr>
        <w:t>TERMO DE CONSIGNAÇÃO DE MERCADORIAS</w:t>
      </w:r>
    </w:p>
    <w:p>
      <w:pPr>
        <w:keepNext w:val="0"/>
        <w:spacing w:before="0" w:after="120"/>
        <w:jc w:val="both"/>
      </w:pPr>
      <w:r>
        <w:rPr>
          <w:rFonts w:ascii="Arial" w:hAnsi="Arial"/>
          <w:b w:val="0"/>
          <w:i w:val="0"/>
          <w:sz w:val="20"/>
        </w:rPr>
        <w:t>Contrato estimatório (consignação) pelo qual a CONSIGNANTE entrega mercadorias à CONSIGNATÁRIA, empresa de eventos, que as vende ou as restitui, nos termos dos arts. 534 a 537 do Código Civil (Lei nº 10.406/2002).</w:t>
      </w:r>
    </w:p>
    <w:p>
      <w:pPr>
        <w:keepNext/>
        <w:spacing w:before="200" w:after="80"/>
        <w:jc w:val="left"/>
      </w:pPr>
      <w:r>
        <w:rPr>
          <w:rFonts w:ascii="Arial" w:hAnsi="Arial"/>
          <w:b/>
          <w:i w:val="0"/>
          <w:sz w:val="21"/>
        </w:rPr>
        <w:t>DAS PARTES</w:t>
      </w:r>
    </w:p>
    <w:p>
      <w:pPr>
        <w:keepNext w:val="0"/>
        <w:spacing w:before="0" w:after="120"/>
        <w:jc w:val="both"/>
      </w:pPr>
      <w:r>
        <w:rPr>
          <w:rFonts w:ascii="Arial" w:hAnsi="Arial"/>
          <w:b/>
          <w:i w:val="0"/>
          <w:sz w:val="20"/>
        </w:rPr>
        <w:t>CONSIGNANTE:</w:t>
      </w:r>
      <w:r>
        <w:rPr>
          <w:rFonts w:ascii="Arial" w:hAnsi="Arial"/>
          <w:b w:val="0"/>
          <w:i w:val="0"/>
          <w:sz w:val="20"/>
        </w:rPr>
        <w:t xml:space="preserve"> DANKAH BRASIL INDÚSTRIA &amp; COMÉRCIO LTDA, pessoa jurídica de direito privado, inscrita no CNPJ sob o nº 22.332.030/0001-38, Inscrição Estadual nº [●], com sede na Av. Angélica, nº 2.503, cj. 46, Consolação, São Paulo/SP, CEP 01227-200, neste ato representada por [nome], [nacionalidade], [estado civil], [profissão], CPF nº [●], na forma de seu contrato social.</w:t>
      </w:r>
    </w:p>
    <w:p>
      <w:pPr>
        <w:keepNext w:val="0"/>
        <w:spacing w:before="0" w:after="120"/>
        <w:jc w:val="both"/>
      </w:pPr>
      <w:r>
        <w:rPr>
          <w:rFonts w:ascii="Arial" w:hAnsi="Arial"/>
          <w:b/>
          <w:i w:val="0"/>
          <w:sz w:val="20"/>
        </w:rPr>
        <w:t>CONSIGNATÁRIA:</w:t>
      </w:r>
      <w:r>
        <w:rPr>
          <w:rFonts w:ascii="Arial" w:hAnsi="Arial"/>
          <w:b w:val="0"/>
          <w:i w:val="0"/>
          <w:sz w:val="20"/>
        </w:rPr>
        <w:t xml:space="preserve"> [RAZÃO SOCIAL DA EMPRESA DE EVENTOS], pessoa jurídica de direito privado, inscrita no CNPJ sob o nº [00.000.000/0000-00], Inscrição Estadual nº [●], com sede em [endereço completo], neste ato representada por [nome], [nacionalidade], [estado civil], [profissão], CPF nº [●], na forma de seu contrato social.</w:t>
      </w:r>
    </w:p>
    <w:p>
      <w:pPr>
        <w:keepNext w:val="0"/>
        <w:spacing w:before="0" w:after="120"/>
        <w:jc w:val="both"/>
      </w:pPr>
      <w:r>
        <w:rPr>
          <w:rFonts w:ascii="Arial" w:hAnsi="Arial"/>
          <w:b w:val="0"/>
          <w:i w:val="0"/>
          <w:sz w:val="20"/>
        </w:rPr>
        <w:t xml:space="preserve">As partes, doravante denominadas em conjunto "Partes", resolvem celebrar o presente </w:t>
      </w:r>
      <w:r>
        <w:rPr>
          <w:rFonts w:ascii="Arial" w:hAnsi="Arial"/>
          <w:b/>
          <w:i w:val="0"/>
          <w:sz w:val="20"/>
        </w:rPr>
        <w:t>Termo de Consignação de Mercadorias</w:t>
      </w:r>
      <w:r>
        <w:rPr>
          <w:rFonts w:ascii="Arial" w:hAnsi="Arial"/>
          <w:b w:val="0"/>
          <w:i w:val="0"/>
          <w:sz w:val="20"/>
        </w:rPr>
        <w:t xml:space="preserve"> ("Termo"), que se regerá pelas cláusulas e condições a seguir.</w:t>
      </w:r>
    </w:p>
    <w:p>
      <w:pPr>
        <w:keepNext/>
        <w:spacing w:before="200" w:after="80"/>
        <w:jc w:val="left"/>
      </w:pPr>
      <w:r>
        <w:rPr>
          <w:rFonts w:ascii="Arial" w:hAnsi="Arial"/>
          <w:b/>
          <w:i w:val="0"/>
          <w:sz w:val="21"/>
        </w:rPr>
        <w:t>CLÁUSULA 1ª – DO OBJETO</w:t>
      </w:r>
    </w:p>
    <w:p>
      <w:pPr>
        <w:keepNext w:val="0"/>
        <w:spacing w:before="0" w:after="120"/>
        <w:jc w:val="both"/>
      </w:pPr>
      <w:r>
        <w:rPr>
          <w:rFonts w:ascii="Arial" w:hAnsi="Arial"/>
          <w:b w:val="0"/>
          <w:i w:val="0"/>
          <w:sz w:val="20"/>
        </w:rPr>
        <w:t xml:space="preserve">1.1. O presente Termo tem por objeto a entrega, em consignação, pela CONSIGNANTE à CONSIGNATÁRIA, das mercadorias descritas, quantificadas e valoradas no </w:t>
      </w:r>
      <w:r>
        <w:rPr>
          <w:rFonts w:ascii="Arial" w:hAnsi="Arial"/>
          <w:b/>
          <w:i w:val="0"/>
          <w:sz w:val="20"/>
        </w:rPr>
        <w:t>Anexo I</w:t>
      </w:r>
      <w:r>
        <w:rPr>
          <w:rFonts w:ascii="Arial" w:hAnsi="Arial"/>
          <w:b w:val="0"/>
          <w:i w:val="0"/>
          <w:sz w:val="20"/>
        </w:rPr>
        <w:t xml:space="preserve"> (Formulário de Solicitação de Consignação), preenchido e assinado pela CONSIGNATÁRIA e aprovado pela CONSIGNANTE, para que a CONSIGNATÁRIA as comercialize, em seu nome e por sua conta e risco, durante a realização do evento, ou as restitua no prazo da Cláusula 4ª.</w:t>
      </w:r>
    </w:p>
    <w:p>
      <w:pPr>
        <w:keepNext w:val="0"/>
        <w:spacing w:before="0" w:after="120"/>
        <w:jc w:val="both"/>
      </w:pPr>
      <w:r>
        <w:rPr>
          <w:rFonts w:ascii="Arial" w:hAnsi="Arial"/>
          <w:b w:val="0"/>
          <w:i w:val="0"/>
          <w:sz w:val="20"/>
        </w:rPr>
        <w:t>1.2. Evento(s): [nome do evento], a realizar-se em [local/endereço], no período de [data inicial] a [data final].</w:t>
      </w:r>
    </w:p>
    <w:p>
      <w:pPr>
        <w:keepNext w:val="0"/>
        <w:spacing w:before="0" w:after="120"/>
        <w:jc w:val="both"/>
      </w:pPr>
      <w:r>
        <w:rPr>
          <w:rFonts w:ascii="Arial" w:hAnsi="Arial"/>
          <w:b w:val="0"/>
          <w:i w:val="0"/>
          <w:sz w:val="20"/>
        </w:rPr>
        <w:t>1.3. A CONSIGNATÁRIA fica autorizada a vender as mercadorias exclusivamente no âmbito do evento indicado, salvo autorização escrita da CONSIGNANTE para outros canais ou eventos.</w:t>
      </w:r>
    </w:p>
    <w:p>
      <w:pPr>
        <w:keepNext w:val="0"/>
        <w:spacing w:before="0" w:after="120"/>
        <w:jc w:val="both"/>
      </w:pPr>
      <w:r>
        <w:rPr>
          <w:rFonts w:ascii="Arial" w:hAnsi="Arial"/>
          <w:b w:val="0"/>
          <w:i w:val="0"/>
          <w:sz w:val="20"/>
        </w:rPr>
        <w:t>1.4. A entrega em consignação não configura compra e venda, mandato, representação comercial, sociedade, parceria ou relação de emprego entre as Partes, nem confere à CONSIGNATÁRIA exclusividade, salvo se expressamente pactuada.</w:t>
      </w:r>
    </w:p>
    <w:p>
      <w:pPr>
        <w:keepNext/>
        <w:spacing w:before="200" w:after="80"/>
        <w:jc w:val="left"/>
      </w:pPr>
      <w:r>
        <w:rPr>
          <w:rFonts w:ascii="Arial" w:hAnsi="Arial"/>
          <w:b/>
          <w:i w:val="0"/>
          <w:sz w:val="21"/>
        </w:rPr>
        <w:t>CLÁUSULA 2ª – DA ENTREGA E DO INVENTÁRIO</w:t>
      </w:r>
    </w:p>
    <w:p>
      <w:pPr>
        <w:keepNext w:val="0"/>
        <w:spacing w:before="0" w:after="120"/>
        <w:jc w:val="both"/>
      </w:pPr>
      <w:r>
        <w:rPr>
          <w:rFonts w:ascii="Arial" w:hAnsi="Arial"/>
          <w:b w:val="0"/>
          <w:i w:val="0"/>
          <w:sz w:val="20"/>
        </w:rPr>
        <w:t xml:space="preserve">2.1. As mercadorias serão entregues em [local de entrega], em até [data/hora], mediante conferência conjunta pelas Partes, lavrando-se o </w:t>
      </w:r>
      <w:r>
        <w:rPr>
          <w:rFonts w:ascii="Arial" w:hAnsi="Arial"/>
          <w:b/>
          <w:i w:val="0"/>
          <w:sz w:val="20"/>
        </w:rPr>
        <w:t>Anexo I</w:t>
      </w:r>
      <w:r>
        <w:rPr>
          <w:rFonts w:ascii="Arial" w:hAnsi="Arial"/>
          <w:b w:val="0"/>
          <w:i w:val="0"/>
          <w:sz w:val="20"/>
        </w:rPr>
        <w:t xml:space="preserve"> com descrição, código/SKU, quantidade, lote, validade (quando aplicável), estado de conservação e valores unitários.</w:t>
      </w:r>
    </w:p>
    <w:p>
      <w:pPr>
        <w:keepNext w:val="0"/>
        <w:spacing w:before="0" w:after="120"/>
        <w:jc w:val="both"/>
      </w:pPr>
      <w:r>
        <w:rPr>
          <w:rFonts w:ascii="Arial" w:hAnsi="Arial"/>
          <w:b w:val="0"/>
          <w:i w:val="0"/>
          <w:sz w:val="20"/>
        </w:rPr>
        <w:t>2.2. A entrega será acompanhada de nota fiscal de remessa para demonstração emitida pela CONSIGNANTE, sendo a nota fiscal de venda emitida após a apuração, nos termos da Cláusula 12ª.</w:t>
      </w:r>
    </w:p>
    <w:p>
      <w:pPr>
        <w:keepNext w:val="0"/>
        <w:spacing w:before="0" w:after="120"/>
        <w:jc w:val="both"/>
      </w:pPr>
      <w:r>
        <w:rPr>
          <w:rFonts w:ascii="Arial" w:hAnsi="Arial"/>
          <w:b w:val="0"/>
          <w:i w:val="0"/>
          <w:sz w:val="20"/>
        </w:rPr>
        <w:t>2.3. A assinatura do Anexo I pela CONSIGNATÁRIA, ou de canhoto/recibo equivalente, comprova o recebimento das mercadorias nas quantidades e condições ali descritas. Divergências devem ser apontadas no ato da conferência.</w:t>
      </w:r>
    </w:p>
    <w:p>
      <w:pPr>
        <w:keepNext w:val="0"/>
        <w:spacing w:before="0" w:after="120"/>
        <w:jc w:val="both"/>
      </w:pPr>
      <w:r>
        <w:rPr>
          <w:rFonts w:ascii="Arial" w:hAnsi="Arial"/>
          <w:b w:val="0"/>
          <w:i w:val="0"/>
          <w:sz w:val="20"/>
        </w:rPr>
        <w:t>2.4. Reposições ou remessas adicionais durante o evento dependem de novo inventário (aditivo ao Anexo I), assinado pelas Partes ou confirmado por meio eletrônico idôneo.</w:t>
      </w:r>
    </w:p>
    <w:p>
      <w:pPr>
        <w:keepNext/>
        <w:spacing w:before="200" w:after="80"/>
        <w:jc w:val="left"/>
      </w:pPr>
      <w:r>
        <w:rPr>
          <w:rFonts w:ascii="Arial" w:hAnsi="Arial"/>
          <w:b/>
          <w:i w:val="0"/>
          <w:sz w:val="21"/>
        </w:rPr>
        <w:t>CLÁUSULA 3ª – DO PREÇO DE CONSIGNAÇÃO E DO PREÇO DE VENDA</w:t>
      </w:r>
    </w:p>
    <w:p>
      <w:pPr>
        <w:keepNext w:val="0"/>
        <w:spacing w:before="0" w:after="120"/>
        <w:jc w:val="both"/>
      </w:pPr>
      <w:r>
        <w:rPr>
          <w:rFonts w:ascii="Arial" w:hAnsi="Arial"/>
          <w:b w:val="0"/>
          <w:i w:val="0"/>
          <w:sz w:val="20"/>
        </w:rPr>
        <w:t xml:space="preserve">3.1. O </w:t>
      </w:r>
      <w:r>
        <w:rPr>
          <w:rFonts w:ascii="Arial" w:hAnsi="Arial"/>
          <w:b/>
          <w:i w:val="0"/>
          <w:sz w:val="20"/>
        </w:rPr>
        <w:t>preço de consignação</w:t>
      </w:r>
      <w:r>
        <w:rPr>
          <w:rFonts w:ascii="Arial" w:hAnsi="Arial"/>
          <w:b w:val="0"/>
          <w:i w:val="0"/>
          <w:sz w:val="20"/>
        </w:rPr>
        <w:t xml:space="preserve"> é o valor unitário que a CONSIGNATÁRIA deve pagar à CONSIGNANTE por cada unidade vendida, fixado no Anexo I (art. 534 do Código Civil).</w:t>
      </w:r>
    </w:p>
    <w:p>
      <w:pPr>
        <w:keepNext w:val="0"/>
        <w:spacing w:before="0" w:after="120"/>
        <w:jc w:val="both"/>
      </w:pPr>
      <w:r>
        <w:rPr>
          <w:rFonts w:ascii="Arial" w:hAnsi="Arial"/>
          <w:b w:val="0"/>
          <w:i w:val="0"/>
          <w:sz w:val="20"/>
        </w:rPr>
        <w:t xml:space="preserve">3.2. O </w:t>
      </w:r>
      <w:r>
        <w:rPr>
          <w:rFonts w:ascii="Arial" w:hAnsi="Arial"/>
          <w:b/>
          <w:i w:val="0"/>
          <w:sz w:val="20"/>
        </w:rPr>
        <w:t>preço de venda ao público</w:t>
      </w:r>
      <w:r>
        <w:rPr>
          <w:rFonts w:ascii="Arial" w:hAnsi="Arial"/>
          <w:b w:val="0"/>
          <w:i w:val="0"/>
          <w:sz w:val="20"/>
        </w:rPr>
        <w:t xml:space="preserve"> será livremente fixado pela CONSIGNATÁRIA, observado o preço mínimo de venda indicado no Anexo I. Ainda que venda por preço inferior, deve pagar o preço de consignação; a diferença a maior pertence à CONSIGNATÁRIA.</w:t>
      </w:r>
    </w:p>
    <w:p>
      <w:pPr>
        <w:keepNext w:val="0"/>
        <w:spacing w:before="0" w:after="120"/>
        <w:jc w:val="both"/>
      </w:pPr>
      <w:r>
        <w:rPr>
          <w:rFonts w:ascii="Arial" w:hAnsi="Arial"/>
          <w:b w:val="0"/>
          <w:i w:val="0"/>
          <w:sz w:val="20"/>
        </w:rPr>
        <w:t>3.3. Os preços de consignação poderão ser reajustados somente por aditivo escrito, sem efeito retroativo sobre mercadorias já entregues.</w:t>
      </w:r>
    </w:p>
    <w:p>
      <w:pPr>
        <w:keepNext w:val="0"/>
        <w:spacing w:before="0" w:after="120"/>
        <w:jc w:val="both"/>
      </w:pPr>
      <w:r>
        <w:rPr>
          <w:rFonts w:ascii="Arial" w:hAnsi="Arial"/>
          <w:b w:val="0"/>
          <w:i w:val="0"/>
          <w:sz w:val="20"/>
        </w:rPr>
        <w:t>3.4. Compete à CONSIGNATÁRIA cumprir o Código de Defesa do Consumidor (Lei nº 8.078/1990) perante o público, inclusive quanto à informação de preços, emissão de documento fiscal e atendimento a trocas e reclamações.</w:t>
      </w:r>
    </w:p>
    <w:p>
      <w:pPr>
        <w:keepNext/>
        <w:spacing w:before="200" w:after="80"/>
        <w:jc w:val="left"/>
      </w:pPr>
      <w:r>
        <w:rPr>
          <w:rFonts w:ascii="Arial" w:hAnsi="Arial"/>
          <w:b/>
          <w:i w:val="0"/>
          <w:sz w:val="21"/>
        </w:rPr>
        <w:t>CLÁUSULA 4ª – DO PRAZO E DA DEVOLUÇÃO</w:t>
      </w:r>
    </w:p>
    <w:p>
      <w:pPr>
        <w:keepNext w:val="0"/>
        <w:spacing w:before="0" w:after="120"/>
        <w:jc w:val="both"/>
      </w:pPr>
      <w:r>
        <w:rPr>
          <w:rFonts w:ascii="Arial" w:hAnsi="Arial"/>
          <w:b w:val="0"/>
          <w:i w:val="0"/>
          <w:sz w:val="20"/>
        </w:rPr>
        <w:t xml:space="preserve">4.1. O prazo de consignação é de </w:t>
      </w:r>
      <w:r>
        <w:rPr>
          <w:rFonts w:ascii="Arial" w:hAnsi="Arial"/>
          <w:b/>
          <w:i w:val="0"/>
          <w:sz w:val="20"/>
        </w:rPr>
        <w:t>15 (quinze) dias corridos</w:t>
      </w:r>
      <w:r>
        <w:rPr>
          <w:rFonts w:ascii="Arial" w:hAnsi="Arial"/>
          <w:b w:val="0"/>
          <w:i w:val="0"/>
          <w:sz w:val="20"/>
        </w:rPr>
        <w:t>, contados da data de recebimento das mercadorias registrada no Anexo I. Findo o prazo, a CONSIGNATÁRIA deve (a) pagar o preço de consignação das mercadorias vendidas e (b) restituir as não vendidas, íntegras e em condições de revenda.</w:t>
      </w:r>
    </w:p>
    <w:p>
      <w:pPr>
        <w:keepNext w:val="0"/>
        <w:spacing w:before="0" w:after="120"/>
        <w:jc w:val="both"/>
      </w:pPr>
      <w:r>
        <w:rPr>
          <w:rFonts w:ascii="Arial" w:hAnsi="Arial"/>
          <w:b w:val="0"/>
          <w:i w:val="0"/>
          <w:sz w:val="20"/>
        </w:rPr>
        <w:t xml:space="preserve">4.2. A restituição somente se considera efetuada quando as mercadorias forem </w:t>
      </w:r>
      <w:r>
        <w:rPr>
          <w:rFonts w:ascii="Arial" w:hAnsi="Arial"/>
          <w:b/>
          <w:i w:val="0"/>
          <w:sz w:val="20"/>
        </w:rPr>
        <w:t>recebidas e conferidas</w:t>
      </w:r>
      <w:r>
        <w:rPr>
          <w:rFonts w:ascii="Arial" w:hAnsi="Arial"/>
          <w:b w:val="0"/>
          <w:i w:val="0"/>
          <w:sz w:val="20"/>
        </w:rPr>
        <w:t xml:space="preserve"> no endereço da CONSIGNANTE, dentro do prazo. Comprovante de postagem ou despacho não supre a entrega.</w:t>
      </w:r>
    </w:p>
    <w:p>
      <w:pPr>
        <w:keepNext w:val="0"/>
        <w:spacing w:before="0" w:after="120"/>
        <w:jc w:val="both"/>
      </w:pPr>
      <w:r>
        <w:rPr>
          <w:rFonts w:ascii="Arial" w:hAnsi="Arial"/>
          <w:b w:val="0"/>
          <w:i w:val="0"/>
          <w:sz w:val="20"/>
        </w:rPr>
        <w:t xml:space="preserve">4.3. </w:t>
      </w:r>
      <w:r>
        <w:rPr>
          <w:rFonts w:ascii="Arial" w:hAnsi="Arial"/>
          <w:b/>
          <w:i w:val="0"/>
          <w:sz w:val="20"/>
        </w:rPr>
        <w:t>O custo da devolução é de responsabilidade exclusiva da CONSIGNATÁRIA</w:t>
      </w:r>
      <w:r>
        <w:rPr>
          <w:rFonts w:ascii="Arial" w:hAnsi="Arial"/>
          <w:b w:val="0"/>
          <w:i w:val="0"/>
          <w:sz w:val="20"/>
        </w:rPr>
        <w:t>, incluindo frete, embalagem adequada, seguro de transporte, carga, descarga e quaisquer despesas logísticas, viajando as mercadorias por sua conta e risco até a conferência pela CONSIGNANTE.</w:t>
      </w:r>
    </w:p>
    <w:p>
      <w:pPr>
        <w:keepNext w:val="0"/>
        <w:spacing w:before="0" w:after="120"/>
        <w:jc w:val="both"/>
      </w:pPr>
      <w:r>
        <w:rPr>
          <w:rFonts w:ascii="Arial" w:hAnsi="Arial"/>
          <w:b w:val="0"/>
          <w:i w:val="0"/>
          <w:sz w:val="20"/>
        </w:rPr>
        <w:t xml:space="preserve">4.4. </w:t>
      </w:r>
      <w:r>
        <w:rPr>
          <w:rFonts w:ascii="Arial" w:hAnsi="Arial"/>
          <w:b/>
          <w:i w:val="0"/>
          <w:sz w:val="20"/>
        </w:rPr>
        <w:t>Não havendo a devolução até o 15º (décimo quinto) dia, o valor integral das mercadorias não restituídas, calculado pelo preço de consignação do Anexo I, será automaticamente exigível</w:t>
      </w:r>
      <w:r>
        <w:rPr>
          <w:rFonts w:ascii="Arial" w:hAnsi="Arial"/>
          <w:b w:val="0"/>
          <w:i w:val="0"/>
          <w:sz w:val="20"/>
        </w:rPr>
        <w:t>, independentemente de aviso, notificação ou da efetiva venda, considerando-se tais mercadorias adquiridas em definitivo pela CONSIGNATÁRIA (art. 534 do Código Civil).</w:t>
      </w:r>
    </w:p>
    <w:p>
      <w:pPr>
        <w:keepNext w:val="0"/>
        <w:spacing w:before="0" w:after="120"/>
        <w:jc w:val="both"/>
      </w:pPr>
      <w:r>
        <w:rPr>
          <w:rFonts w:ascii="Arial" w:hAnsi="Arial"/>
          <w:b w:val="0"/>
          <w:i w:val="0"/>
          <w:sz w:val="20"/>
        </w:rPr>
        <w:t>4.5. A conferência da devolução será feita em até 3 (três) dias úteis do recebimento. Mercadorias faltantes, avariadas, usadas, incompletas, sem embalagem original ou em estado que impeça a revenda são tratadas como não restituídas, sendo cobradas pelo valor integral ou, a critério da CONSIGNANTE, pelo custo de reparo ou recondicionamento.</w:t>
      </w:r>
    </w:p>
    <w:p>
      <w:pPr>
        <w:keepNext w:val="0"/>
        <w:spacing w:before="0" w:after="120"/>
        <w:jc w:val="both"/>
      </w:pPr>
      <w:r>
        <w:rPr>
          <w:rFonts w:ascii="Arial" w:hAnsi="Arial"/>
          <w:b w:val="0"/>
          <w:i w:val="0"/>
          <w:sz w:val="20"/>
        </w:rPr>
        <w:t>4.6. A prorrogação do prazo depende de aditivo escrito firmado antes do vencimento. Não há prorrogação tácita, e o recebimento tardio ou a tolerância da CONSIGNANTE não configuram novação nem renúncia.</w:t>
      </w:r>
    </w:p>
    <w:p>
      <w:pPr>
        <w:keepNext/>
        <w:spacing w:before="200" w:after="80"/>
        <w:jc w:val="left"/>
      </w:pPr>
      <w:r>
        <w:rPr>
          <w:rFonts w:ascii="Arial" w:hAnsi="Arial"/>
          <w:b/>
          <w:i w:val="0"/>
          <w:sz w:val="21"/>
        </w:rPr>
        <w:t>CLÁUSULA 5ª – DA RESPONSABILIDADE, GUARDA E RISCO</w:t>
      </w:r>
    </w:p>
    <w:p>
      <w:pPr>
        <w:keepNext w:val="0"/>
        <w:spacing w:before="0" w:after="120"/>
        <w:jc w:val="both"/>
      </w:pPr>
      <w:r>
        <w:rPr>
          <w:rFonts w:ascii="Arial" w:hAnsi="Arial"/>
          <w:b w:val="0"/>
          <w:i w:val="0"/>
          <w:sz w:val="20"/>
        </w:rPr>
        <w:t>5.1. Do recebimento até a conferência da devolução, a CONSIGNATÁRIA é responsável pela guarda, conservação, armazenamento, transporte e segurança das mercadorias, inclusive durante montagem, realização e desmontagem do evento, respondendo pelos atos de seus prepostos, fornecedores e contratados.</w:t>
      </w:r>
    </w:p>
    <w:p>
      <w:pPr>
        <w:keepNext w:val="0"/>
        <w:spacing w:before="0" w:after="120"/>
        <w:jc w:val="both"/>
      </w:pPr>
      <w:r>
        <w:rPr>
          <w:rFonts w:ascii="Arial" w:hAnsi="Arial"/>
          <w:b w:val="0"/>
          <w:i w:val="0"/>
          <w:sz w:val="20"/>
        </w:rPr>
        <w:t xml:space="preserve">5.2. Nos termos do art. 535 do Código Civil, a perda, furto, roubo, extravio, avaria ou deterioração das mercadorias, </w:t>
      </w:r>
      <w:r>
        <w:rPr>
          <w:rFonts w:ascii="Arial" w:hAnsi="Arial"/>
          <w:b/>
          <w:i w:val="0"/>
          <w:sz w:val="20"/>
        </w:rPr>
        <w:t>ainda que por fato não imputável à CONSIGNATÁRIA, caso fortuito ou força maior</w:t>
      </w:r>
      <w:r>
        <w:rPr>
          <w:rFonts w:ascii="Arial" w:hAnsi="Arial"/>
          <w:b w:val="0"/>
          <w:i w:val="0"/>
          <w:sz w:val="20"/>
        </w:rPr>
        <w:t>, não a exonera do pagamento do preço de consignação.</w:t>
      </w:r>
    </w:p>
    <w:p>
      <w:pPr>
        <w:keepNext w:val="0"/>
        <w:spacing w:before="0" w:after="120"/>
        <w:jc w:val="both"/>
      </w:pPr>
      <w:r>
        <w:rPr>
          <w:rFonts w:ascii="Arial" w:hAnsi="Arial"/>
          <w:b w:val="0"/>
          <w:i w:val="0"/>
          <w:sz w:val="20"/>
        </w:rPr>
        <w:t>5.3. A CONSIGNATÁRIA deve manter, durante todo o prazo, seguro que cubra as mercadorias pelo valor do Anexo I (ou apresentar apólice do evento que as inclua), fornecendo cópia à CONSIGNANTE quando solicitada.</w:t>
      </w:r>
    </w:p>
    <w:p>
      <w:pPr>
        <w:keepNext w:val="0"/>
        <w:spacing w:before="0" w:after="120"/>
        <w:jc w:val="both"/>
      </w:pPr>
      <w:r>
        <w:rPr>
          <w:rFonts w:ascii="Arial" w:hAnsi="Arial"/>
          <w:b w:val="0"/>
          <w:i w:val="0"/>
          <w:sz w:val="20"/>
        </w:rPr>
        <w:t>5.4. É vedado à CONSIGNATÁRIA ceder, empenhar, dar em garantia, sublocar, emprestar, consignar a terceiros, vender a revendedores ou fora do evento, ou alterar a identificação das mercadorias, sem autorização escrita.</w:t>
      </w:r>
    </w:p>
    <w:p>
      <w:pPr>
        <w:keepNext w:val="0"/>
        <w:spacing w:before="0" w:after="120"/>
        <w:jc w:val="both"/>
      </w:pPr>
      <w:r>
        <w:rPr>
          <w:rFonts w:ascii="Arial" w:hAnsi="Arial"/>
          <w:b w:val="0"/>
          <w:i w:val="0"/>
          <w:sz w:val="20"/>
        </w:rPr>
        <w:t>5.5. Em caso de sinistro, furto ou extravio, a CONSIGNATÁRIA comunicará a CONSIGNANTE em até 24 (vinte e quatro) horas e registrará boletim de ocorrência, sem prejuízo do dever de pagamento.</w:t>
      </w:r>
    </w:p>
    <w:p>
      <w:pPr>
        <w:keepNext/>
        <w:spacing w:before="200" w:after="80"/>
        <w:jc w:val="left"/>
      </w:pPr>
      <w:r>
        <w:rPr>
          <w:rFonts w:ascii="Arial" w:hAnsi="Arial"/>
          <w:b/>
          <w:i w:val="0"/>
          <w:sz w:val="21"/>
        </w:rPr>
        <w:t>CLÁUSULA 6ª – DA PRESTAÇÃO DE CONTAS E DO PAGAMENTO</w:t>
      </w:r>
    </w:p>
    <w:p>
      <w:pPr>
        <w:keepNext w:val="0"/>
        <w:spacing w:before="0" w:after="120"/>
        <w:jc w:val="both"/>
      </w:pPr>
      <w:r>
        <w:rPr>
          <w:rFonts w:ascii="Arial" w:hAnsi="Arial"/>
          <w:b w:val="0"/>
          <w:i w:val="0"/>
          <w:sz w:val="20"/>
        </w:rPr>
        <w:t>6.1. Até o 15º dia, a CONSIGNATÁRIA apresentará relatório de acerto (</w:t>
      </w:r>
      <w:r>
        <w:rPr>
          <w:rFonts w:ascii="Arial" w:hAnsi="Arial"/>
          <w:b/>
          <w:i w:val="0"/>
          <w:sz w:val="20"/>
        </w:rPr>
        <w:t>Anexo II</w:t>
      </w:r>
      <w:r>
        <w:rPr>
          <w:rFonts w:ascii="Arial" w:hAnsi="Arial"/>
          <w:b w:val="0"/>
          <w:i w:val="0"/>
          <w:sz w:val="20"/>
        </w:rPr>
        <w:t>) com as quantidades vendidas, devolvidas, perdidas e avariadas.</w:t>
      </w:r>
    </w:p>
    <w:p>
      <w:pPr>
        <w:keepNext w:val="0"/>
        <w:spacing w:before="0" w:after="120"/>
        <w:jc w:val="both"/>
      </w:pPr>
      <w:r>
        <w:rPr>
          <w:rFonts w:ascii="Arial" w:hAnsi="Arial"/>
          <w:b w:val="0"/>
          <w:i w:val="0"/>
          <w:sz w:val="20"/>
        </w:rPr>
        <w:t xml:space="preserve">6.2. O preço de consignação das mercadorias vendidas, perdidas, avariadas ou não restituídas vence no </w:t>
      </w:r>
      <w:r>
        <w:rPr>
          <w:rFonts w:ascii="Arial" w:hAnsi="Arial"/>
          <w:b/>
          <w:i w:val="0"/>
          <w:sz w:val="20"/>
        </w:rPr>
        <w:t>15º dia</w:t>
      </w:r>
      <w:r>
        <w:rPr>
          <w:rFonts w:ascii="Arial" w:hAnsi="Arial"/>
          <w:b w:val="0"/>
          <w:i w:val="0"/>
          <w:sz w:val="20"/>
        </w:rPr>
        <w:t>, por boleto, PIX ou transferência bancária, conforme indicado pela CONSIGNANTE.</w:t>
      </w:r>
    </w:p>
    <w:p>
      <w:pPr>
        <w:keepNext w:val="0"/>
        <w:spacing w:before="0" w:after="120"/>
        <w:jc w:val="both"/>
      </w:pPr>
      <w:r>
        <w:rPr>
          <w:rFonts w:ascii="Arial" w:hAnsi="Arial"/>
          <w:b w:val="0"/>
          <w:i w:val="0"/>
          <w:sz w:val="20"/>
        </w:rPr>
        <w:t xml:space="preserve">6.2.1. Aprovada a solicitação, a CONSIGNANTE emitirá </w:t>
      </w:r>
      <w:r>
        <w:rPr>
          <w:rFonts w:ascii="Arial" w:hAnsi="Arial"/>
          <w:b/>
          <w:i w:val="0"/>
          <w:sz w:val="20"/>
        </w:rPr>
        <w:t>boleto</w:t>
      </w:r>
      <w:r>
        <w:rPr>
          <w:rFonts w:ascii="Arial" w:hAnsi="Arial"/>
          <w:b w:val="0"/>
          <w:i w:val="0"/>
          <w:sz w:val="20"/>
        </w:rPr>
        <w:t xml:space="preserve"> no valor total do Anexo I (ao preço de consignação), com vencimento no 15º dia contado do recebimento das mercadorias. A CONSIGNATÁRIA reconhece o boleto como cobrança do valor integral das mercadorias, sujeita ao cancelamento previsto na Cláusula 6.2.2.</w:t>
      </w:r>
    </w:p>
    <w:p>
      <w:pPr>
        <w:keepNext w:val="0"/>
        <w:spacing w:before="0" w:after="120"/>
        <w:jc w:val="both"/>
      </w:pPr>
      <w:r>
        <w:rPr>
          <w:rFonts w:ascii="Arial" w:hAnsi="Arial"/>
          <w:b w:val="0"/>
          <w:i w:val="0"/>
          <w:sz w:val="20"/>
        </w:rPr>
        <w:t xml:space="preserve">6.2.2. Havendo devolução dentro do prazo e conferida (Cláusula 4), a CONSIGNANTE cancelará o boleto e, se restarem mercadorias vendidas, perdidas, avariadas ou não restituídas, emitirá </w:t>
      </w:r>
      <w:r>
        <w:rPr>
          <w:rFonts w:ascii="Arial" w:hAnsi="Arial"/>
          <w:b/>
          <w:i w:val="0"/>
          <w:sz w:val="20"/>
        </w:rPr>
        <w:t>novo boleto</w:t>
      </w:r>
      <w:r>
        <w:rPr>
          <w:rFonts w:ascii="Arial" w:hAnsi="Arial"/>
          <w:b w:val="0"/>
          <w:i w:val="0"/>
          <w:sz w:val="20"/>
        </w:rPr>
        <w:t xml:space="preserve"> apenas pelo valor apurado, com vencimento em [●] dias úteis. Na devolução integral, o boleto é cancelado sem nova cobrança.</w:t>
      </w:r>
    </w:p>
    <w:p>
      <w:pPr>
        <w:keepNext w:val="0"/>
        <w:spacing w:before="0" w:after="120"/>
        <w:jc w:val="both"/>
      </w:pPr>
      <w:r>
        <w:rPr>
          <w:rFonts w:ascii="Arial" w:hAnsi="Arial"/>
          <w:b w:val="0"/>
          <w:i w:val="0"/>
          <w:sz w:val="20"/>
        </w:rPr>
        <w:t>6.2.3. O cancelamento do boleto não implica quitação enquanto a apuração não for concluída, e o boleto original permanece exigível se a devolução não ocorrer no prazo.</w:t>
      </w:r>
    </w:p>
    <w:p>
      <w:pPr>
        <w:keepNext w:val="0"/>
        <w:spacing w:before="0" w:after="120"/>
        <w:jc w:val="both"/>
      </w:pPr>
      <w:r>
        <w:rPr>
          <w:rFonts w:ascii="Arial" w:hAnsi="Arial"/>
          <w:b w:val="0"/>
          <w:i w:val="0"/>
          <w:sz w:val="20"/>
        </w:rPr>
        <w:t>6.3. O pagamento não depende de a CONSIGNATÁRIA ter recebido valores de seus próprios contratantes ou clientes, sendo essa relação estranha à CONSIGNANTE.</w:t>
      </w:r>
    </w:p>
    <w:p>
      <w:pPr>
        <w:keepNext w:val="0"/>
        <w:spacing w:before="0" w:after="120"/>
        <w:jc w:val="both"/>
      </w:pPr>
      <w:r>
        <w:rPr>
          <w:rFonts w:ascii="Arial" w:hAnsi="Arial"/>
          <w:b w:val="0"/>
          <w:i w:val="0"/>
          <w:sz w:val="20"/>
        </w:rPr>
        <w:t>6.4. A CONSIGNANTE poderá verificar estoque, vendas e documentos fiscais, mediante aviso prévio, durante o prazo de consignação.</w:t>
      </w:r>
    </w:p>
    <w:p>
      <w:pPr>
        <w:keepNext w:val="0"/>
        <w:spacing w:before="0" w:after="120"/>
        <w:jc w:val="both"/>
      </w:pPr>
      <w:r>
        <w:rPr>
          <w:rFonts w:ascii="Arial" w:hAnsi="Arial"/>
          <w:b w:val="0"/>
          <w:i w:val="0"/>
          <w:sz w:val="20"/>
        </w:rPr>
        <w:t>6.5. É vedada a compensação do preço devido com créditos que a CONSIGNATÁRIA alegue possuir, salvo concordância escrita da CONSIGNANTE.</w:t>
      </w:r>
    </w:p>
    <w:p>
      <w:pPr>
        <w:keepNext/>
        <w:spacing w:before="200" w:after="80"/>
        <w:jc w:val="left"/>
      </w:pPr>
      <w:r>
        <w:rPr>
          <w:rFonts w:ascii="Arial" w:hAnsi="Arial"/>
          <w:b/>
          <w:i w:val="0"/>
          <w:sz w:val="21"/>
        </w:rPr>
        <w:t>CLÁUSULA 7ª – DA PROPRIEDADE E DA IMPENHORABILIDADE</w:t>
      </w:r>
    </w:p>
    <w:p>
      <w:pPr>
        <w:keepNext w:val="0"/>
        <w:spacing w:before="0" w:after="120"/>
        <w:jc w:val="both"/>
      </w:pPr>
      <w:r>
        <w:rPr>
          <w:rFonts w:ascii="Arial" w:hAnsi="Arial"/>
          <w:b w:val="0"/>
          <w:i w:val="0"/>
          <w:sz w:val="20"/>
        </w:rPr>
        <w:t>7.1. As mercadorias permanecem de propriedade da CONSIGNANTE até o pagamento integral do preço e não podem ser penhoradas ou sequestradas por credores da CONSIGNATÁRIA (art. 536 do Código Civil). Em caso de constrição judicial ou administrativa, a CONSIGNATÁRIA informará a autoridade da propriedade da CONSIGNANTE e a notificará em até 24 horas.</w:t>
      </w:r>
    </w:p>
    <w:p>
      <w:pPr>
        <w:keepNext w:val="0"/>
        <w:spacing w:before="0" w:after="120"/>
        <w:jc w:val="both"/>
      </w:pPr>
      <w:r>
        <w:rPr>
          <w:rFonts w:ascii="Arial" w:hAnsi="Arial"/>
          <w:b w:val="0"/>
          <w:i w:val="0"/>
          <w:sz w:val="20"/>
        </w:rPr>
        <w:t>7.2. A CONSIGNANTE não poderá dispor das mercadorias antes de lhe serem restituídas ou de lhe ser comunicada a restituição (art. 537 do Código Civil).</w:t>
      </w:r>
    </w:p>
    <w:p>
      <w:pPr>
        <w:keepNext w:val="0"/>
        <w:spacing w:before="0" w:after="120"/>
        <w:jc w:val="both"/>
      </w:pPr>
      <w:r>
        <w:rPr>
          <w:rFonts w:ascii="Arial" w:hAnsi="Arial"/>
          <w:b w:val="0"/>
          <w:i w:val="0"/>
          <w:sz w:val="20"/>
        </w:rPr>
        <w:t>7.3. A CONSIGNATÁRIA manterá as mercadorias identificadas e segregadas de seu próprio estoque.</w:t>
      </w:r>
    </w:p>
    <w:p>
      <w:pPr>
        <w:keepNext/>
        <w:spacing w:before="200" w:after="80"/>
        <w:jc w:val="left"/>
      </w:pPr>
      <w:r>
        <w:rPr>
          <w:rFonts w:ascii="Arial" w:hAnsi="Arial"/>
          <w:b/>
          <w:i w:val="0"/>
          <w:sz w:val="21"/>
        </w:rPr>
        <w:t>CLÁUSULA 8ª – DO CADASTRO, DA ANÁLISE DE CRÉDITO E DAS GARANTIAS</w:t>
      </w:r>
    </w:p>
    <w:p>
      <w:pPr>
        <w:keepNext w:val="0"/>
        <w:spacing w:before="0" w:after="120"/>
        <w:jc w:val="both"/>
      </w:pPr>
      <w:r>
        <w:rPr>
          <w:rFonts w:ascii="Arial" w:hAnsi="Arial"/>
          <w:b w:val="0"/>
          <w:i w:val="0"/>
          <w:sz w:val="20"/>
        </w:rPr>
        <w:t xml:space="preserve">8.1. A consignação depende de </w:t>
      </w:r>
      <w:r>
        <w:rPr>
          <w:rFonts w:ascii="Arial" w:hAnsi="Arial"/>
          <w:b/>
          <w:i w:val="0"/>
          <w:sz w:val="20"/>
        </w:rPr>
        <w:t>solicitação pelo Formulário (Anexo I)</w:t>
      </w:r>
      <w:r>
        <w:rPr>
          <w:rFonts w:ascii="Arial" w:hAnsi="Arial"/>
          <w:b w:val="0"/>
          <w:i w:val="0"/>
          <w:sz w:val="20"/>
        </w:rPr>
        <w:t xml:space="preserve"> e de </w:t>
      </w:r>
      <w:r>
        <w:rPr>
          <w:rFonts w:ascii="Arial" w:hAnsi="Arial"/>
          <w:b/>
          <w:i w:val="0"/>
          <w:sz w:val="20"/>
        </w:rPr>
        <w:t>aprovação prévia</w:t>
      </w:r>
      <w:r>
        <w:rPr>
          <w:rFonts w:ascii="Arial" w:hAnsi="Arial"/>
          <w:b w:val="0"/>
          <w:i w:val="0"/>
          <w:sz w:val="20"/>
        </w:rPr>
        <w:t xml:space="preserve"> da CONSIGNANTE, que poderá recusá-la ou reduzir o valor sem justificar. O Termo só produz efeitos de entrega após a aprovação e a prestação das garantias.</w:t>
      </w:r>
    </w:p>
    <w:p>
      <w:pPr>
        <w:keepNext w:val="0"/>
        <w:spacing w:before="0" w:after="120"/>
        <w:jc w:val="both"/>
      </w:pPr>
      <w:r>
        <w:rPr>
          <w:rFonts w:ascii="Arial" w:hAnsi="Arial"/>
          <w:b w:val="0"/>
          <w:i w:val="0"/>
          <w:sz w:val="20"/>
        </w:rPr>
        <w:t>8.2. A CONSIGNATÁRIA autoriza a CONSIGNANTE a consultar e compartilhar informações de crédito dela e de seus sócios e avalistas em bureaus (Serasa, SPC, Boa Vista e similares) e no SCR do Banco Central, e declara serem verdadeiras as informações e documentos fornecidos. Informação falsa autoriza o vencimento antecipado.</w:t>
      </w:r>
    </w:p>
    <w:p>
      <w:pPr>
        <w:keepNext w:val="0"/>
        <w:spacing w:before="0" w:after="120"/>
        <w:jc w:val="both"/>
      </w:pPr>
      <w:r>
        <w:rPr>
          <w:rFonts w:ascii="Arial" w:hAnsi="Arial"/>
          <w:b w:val="0"/>
          <w:i w:val="0"/>
          <w:sz w:val="20"/>
        </w:rPr>
        <w:t xml:space="preserve">8.3. O </w:t>
      </w:r>
      <w:r>
        <w:rPr>
          <w:rFonts w:ascii="Arial" w:hAnsi="Arial"/>
          <w:b/>
          <w:i w:val="0"/>
          <w:sz w:val="20"/>
        </w:rPr>
        <w:t>limite de consignação</w:t>
      </w:r>
      <w:r>
        <w:rPr>
          <w:rFonts w:ascii="Arial" w:hAnsi="Arial"/>
          <w:b w:val="0"/>
          <w:i w:val="0"/>
          <w:sz w:val="20"/>
        </w:rPr>
        <w:t xml:space="preserve"> concedido é de R$ [●], valor global das mercadorias que podem estar em poder da CONSIGNATÁRIA simultaneamente, ao preço de consignação.</w:t>
      </w:r>
    </w:p>
    <w:p>
      <w:pPr>
        <w:keepNext w:val="0"/>
        <w:spacing w:before="0" w:after="120"/>
        <w:jc w:val="both"/>
      </w:pPr>
      <w:r>
        <w:rPr>
          <w:rFonts w:ascii="Arial" w:hAnsi="Arial"/>
          <w:b w:val="0"/>
          <w:i w:val="0"/>
          <w:sz w:val="20"/>
        </w:rPr>
        <w:t>8.4. Para garantia do pagamento, a CONSIGNATÁRIA fornece, cumulativamente ou conforme aprovado no Anexo I:</w:t>
      </w:r>
    </w:p>
    <w:p>
      <w:pPr>
        <w:keepNext w:val="0"/>
        <w:spacing w:before="0" w:after="60"/>
        <w:ind w:left="454"/>
        <w:jc w:val="both"/>
      </w:pPr>
      <w:r>
        <w:rPr>
          <w:rFonts w:ascii="Arial" w:hAnsi="Arial"/>
          <w:b w:val="0"/>
          <w:i w:val="0"/>
          <w:sz w:val="20"/>
        </w:rPr>
        <w:t>•  nota promissória no valor das mercadorias, emitida pela CONSIGNATÁRIA e avalizada pelos sócios [nome/CPF];</w:t>
      </w:r>
    </w:p>
    <w:p>
      <w:pPr>
        <w:keepNext w:val="0"/>
        <w:spacing w:before="0" w:after="60"/>
        <w:ind w:left="454"/>
        <w:jc w:val="both"/>
      </w:pPr>
      <w:r>
        <w:rPr>
          <w:rFonts w:ascii="Arial" w:hAnsi="Arial"/>
          <w:b w:val="0"/>
          <w:i w:val="0"/>
          <w:sz w:val="20"/>
        </w:rPr>
        <w:t>•  aval ou fiança pessoal dos sócios administradores, com renúncia ao benefício de ordem;</w:t>
      </w:r>
    </w:p>
    <w:p>
      <w:pPr>
        <w:keepNext w:val="0"/>
        <w:spacing w:before="0" w:after="60"/>
        <w:ind w:left="454"/>
        <w:jc w:val="both"/>
      </w:pPr>
      <w:r>
        <w:rPr>
          <w:rFonts w:ascii="Arial" w:hAnsi="Arial"/>
          <w:b w:val="0"/>
          <w:i w:val="0"/>
          <w:sz w:val="20"/>
        </w:rPr>
        <w:t>•  pré-autorização em cartão de crédito corporativo, caução em dinheiro ou seguro-crédito/seguro-garantia, quando exigido pela CONSIGNANTE.</w:t>
      </w:r>
    </w:p>
    <w:p>
      <w:pPr>
        <w:keepNext w:val="0"/>
        <w:spacing w:before="0" w:after="120"/>
        <w:jc w:val="both"/>
      </w:pPr>
      <w:r>
        <w:rPr>
          <w:rFonts w:ascii="Arial" w:hAnsi="Arial"/>
          <w:b w:val="0"/>
          <w:i w:val="0"/>
          <w:sz w:val="20"/>
        </w:rPr>
        <w:t>8.5. A nota promissória será devolvida em até 5 (cinco) dias úteis após a quitação e a conferência final. Não sendo devolvida, é vedada a sua negociação, salvo em caso de inadimplemento.</w:t>
      </w:r>
    </w:p>
    <w:p>
      <w:pPr>
        <w:keepNext/>
        <w:spacing w:before="200" w:after="80"/>
        <w:jc w:val="left"/>
      </w:pPr>
      <w:r>
        <w:rPr>
          <w:rFonts w:ascii="Arial" w:hAnsi="Arial"/>
          <w:b/>
          <w:i w:val="0"/>
          <w:sz w:val="21"/>
        </w:rPr>
        <w:t>CLÁUSULA 9ª – DA INADIMPLÊNCIA</w:t>
      </w:r>
    </w:p>
    <w:p>
      <w:pPr>
        <w:keepNext w:val="0"/>
        <w:spacing w:before="0" w:after="120"/>
        <w:jc w:val="both"/>
      </w:pPr>
      <w:r>
        <w:rPr>
          <w:rFonts w:ascii="Arial" w:hAnsi="Arial"/>
          <w:b w:val="0"/>
          <w:i w:val="0"/>
          <w:sz w:val="20"/>
        </w:rPr>
        <w:t xml:space="preserve">9.1. O não pagamento no vencimento constitui a CONSIGNATÁRIA em mora de pleno direito, independentemente de notificação, incidindo sobre o débito: (a) multa moratória de 2% (dois por cento); (b) juros de mora de 1% (um por cento) ao mês, calculados </w:t>
      </w:r>
      <w:r>
        <w:rPr>
          <w:rFonts w:ascii="Arial" w:hAnsi="Arial"/>
          <w:b w:val="0"/>
          <w:i/>
          <w:sz w:val="20"/>
        </w:rPr>
        <w:t>pro rata die</w:t>
      </w:r>
      <w:r>
        <w:rPr>
          <w:rFonts w:ascii="Arial" w:hAnsi="Arial"/>
          <w:b w:val="0"/>
          <w:i w:val="0"/>
          <w:sz w:val="20"/>
        </w:rPr>
        <w:t>; (c) correção monetária pelo [IPCA]; e (d) honorários advocatícios de [10]% em cobrança extrajudicial e os fixados judicialmente, além de custas.</w:t>
      </w:r>
    </w:p>
    <w:p>
      <w:pPr>
        <w:keepNext w:val="0"/>
        <w:spacing w:before="0" w:after="120"/>
        <w:jc w:val="both"/>
      </w:pPr>
      <w:r>
        <w:rPr>
          <w:rFonts w:ascii="Arial" w:hAnsi="Arial"/>
          <w:b w:val="0"/>
          <w:i w:val="0"/>
          <w:sz w:val="20"/>
        </w:rPr>
        <w:t xml:space="preserve">9.2. A CONSIGNANTE poderá </w:t>
      </w:r>
      <w:r>
        <w:rPr>
          <w:rFonts w:ascii="Arial" w:hAnsi="Arial"/>
          <w:b/>
          <w:i w:val="0"/>
          <w:sz w:val="20"/>
        </w:rPr>
        <w:t>protestar</w:t>
      </w:r>
      <w:r>
        <w:rPr>
          <w:rFonts w:ascii="Arial" w:hAnsi="Arial"/>
          <w:b w:val="0"/>
          <w:i w:val="0"/>
          <w:sz w:val="20"/>
        </w:rPr>
        <w:t xml:space="preserve"> o título, inscrever a CONSIGNATÁRIA e os coobrigados em cadastros de inadimplência, executar a nota promissória e as garantias e acionar o aval e a fiança, cumulativamente.</w:t>
      </w:r>
    </w:p>
    <w:p>
      <w:pPr>
        <w:keepNext w:val="0"/>
        <w:spacing w:before="0" w:after="120"/>
        <w:jc w:val="both"/>
      </w:pPr>
      <w:r>
        <w:rPr>
          <w:rFonts w:ascii="Arial" w:hAnsi="Arial"/>
          <w:b w:val="0"/>
          <w:i w:val="0"/>
          <w:sz w:val="20"/>
        </w:rPr>
        <w:t>9.3. Este Termo, assinado por 2 (duas) testemunhas, e o Anexo II constituem título executivo extrajudicial (art. 784, III, do Código de Processo Civil), sem prejuízo da ação de cobrança e da reivindicação das mercadorias.</w:t>
      </w:r>
    </w:p>
    <w:p>
      <w:pPr>
        <w:keepNext w:val="0"/>
        <w:spacing w:before="0" w:after="120"/>
        <w:jc w:val="both"/>
      </w:pPr>
      <w:r>
        <w:rPr>
          <w:rFonts w:ascii="Arial" w:hAnsi="Arial"/>
          <w:b w:val="0"/>
          <w:i w:val="0"/>
          <w:sz w:val="20"/>
        </w:rPr>
        <w:t xml:space="preserve">9.4. O inadimplemento em qualquer consignação implica </w:t>
      </w:r>
      <w:r>
        <w:rPr>
          <w:rFonts w:ascii="Arial" w:hAnsi="Arial"/>
          <w:b/>
          <w:i w:val="0"/>
          <w:sz w:val="20"/>
        </w:rPr>
        <w:t>vencimento antecipado</w:t>
      </w:r>
      <w:r>
        <w:rPr>
          <w:rFonts w:ascii="Arial" w:hAnsi="Arial"/>
          <w:b w:val="0"/>
          <w:i w:val="0"/>
          <w:sz w:val="20"/>
        </w:rPr>
        <w:t xml:space="preserve"> de todas as obrigações com a CONSIGNANTE, suspensão imediata de novas remessas e direito de retomada das mercadorias onde estiverem, sem prejuízo das perdas e danos.</w:t>
      </w:r>
    </w:p>
    <w:p>
      <w:pPr>
        <w:keepNext w:val="0"/>
        <w:spacing w:before="0" w:after="120"/>
        <w:jc w:val="both"/>
      </w:pPr>
      <w:r>
        <w:rPr>
          <w:rFonts w:ascii="Arial" w:hAnsi="Arial"/>
          <w:b w:val="0"/>
          <w:i w:val="0"/>
          <w:sz w:val="20"/>
        </w:rPr>
        <w:t>9.5. A cobrança do preço integral pelo não retorno (Cláusula 4.4) tem natureza de preço e não de multa, não excluindo os encargos desta Cláusula em caso de atraso.</w:t>
      </w:r>
    </w:p>
    <w:p>
      <w:pPr>
        <w:keepNext/>
        <w:spacing w:before="200" w:after="80"/>
        <w:jc w:val="left"/>
      </w:pPr>
      <w:r>
        <w:rPr>
          <w:rFonts w:ascii="Arial" w:hAnsi="Arial"/>
          <w:b/>
          <w:i w:val="0"/>
          <w:sz w:val="21"/>
        </w:rPr>
        <w:t>CLÁUSULA 10ª – DAS OBRIGAÇÕES DA CONSIGNATÁRIA</w:t>
      </w:r>
    </w:p>
    <w:p>
      <w:pPr>
        <w:keepNext w:val="0"/>
        <w:spacing w:before="0" w:after="120"/>
        <w:jc w:val="both"/>
      </w:pPr>
      <w:r>
        <w:rPr>
          <w:rFonts w:ascii="Arial" w:hAnsi="Arial"/>
          <w:b w:val="0"/>
          <w:i w:val="0"/>
          <w:sz w:val="20"/>
        </w:rPr>
        <w:t>10.1. São obrigações da CONSIGNATÁRIA: (a) conservar e expor as mercadorias adequadamente; (b) vender apenas pelos canais autorizados; (c) emitir documento fiscal de suas vendas; (d) manter controle de estoque e entregá-lo à CONSIGNANTE quando solicitado; (e) não fazer afirmações sobre as mercadorias além das informadas pela CONSIGNANTE; (f) responder perante o consumidor final pela venda, sem direito de regresso, salvo vício de fabricação comprovado; (g) comunicar mudança de endereço, de sócios ou de controle em até 5 dias.</w:t>
      </w:r>
    </w:p>
    <w:p>
      <w:pPr>
        <w:keepNext/>
        <w:spacing w:before="200" w:after="80"/>
        <w:jc w:val="left"/>
      </w:pPr>
      <w:r>
        <w:rPr>
          <w:rFonts w:ascii="Arial" w:hAnsi="Arial"/>
          <w:b/>
          <w:i w:val="0"/>
          <w:sz w:val="21"/>
        </w:rPr>
        <w:t>CLÁUSULA 11ª – DAS OBRIGAÇÕES DA CONSIGNANTE</w:t>
      </w:r>
    </w:p>
    <w:p>
      <w:pPr>
        <w:keepNext w:val="0"/>
        <w:spacing w:before="0" w:after="120"/>
        <w:jc w:val="both"/>
      </w:pPr>
      <w:r>
        <w:rPr>
          <w:rFonts w:ascii="Arial" w:hAnsi="Arial"/>
          <w:b w:val="0"/>
          <w:i w:val="0"/>
          <w:sz w:val="20"/>
        </w:rPr>
        <w:t>11.1. São obrigações da CONSIGNANTE: (a) entregar as mercadorias conforme o Anexo I; (b) fornecer informações técnicas e materiais de apoio; (c) receber e conferir as mercadorias devolvidas no prazo da Cláusula 4.5; (d) dar quitação e devolver as garantias após o cumprimento integral.</w:t>
      </w:r>
    </w:p>
    <w:p>
      <w:pPr>
        <w:keepNext/>
        <w:spacing w:before="200" w:after="80"/>
        <w:jc w:val="left"/>
      </w:pPr>
      <w:r>
        <w:rPr>
          <w:rFonts w:ascii="Arial" w:hAnsi="Arial"/>
          <w:b/>
          <w:i w:val="0"/>
          <w:sz w:val="21"/>
        </w:rPr>
        <w:t>CLÁUSULA 12ª – DOS TRIBUTOS E DOCUMENTOS FISCAIS</w:t>
      </w:r>
    </w:p>
    <w:p>
      <w:pPr>
        <w:keepNext w:val="0"/>
        <w:spacing w:before="0" w:after="120"/>
        <w:jc w:val="both"/>
      </w:pPr>
      <w:r>
        <w:rPr>
          <w:rFonts w:ascii="Arial" w:hAnsi="Arial"/>
          <w:b w:val="0"/>
          <w:i w:val="0"/>
          <w:sz w:val="20"/>
        </w:rPr>
        <w:t>12.1. A CONSIGNANTE emitirá nota fiscal de remessa para demonstração na saída das mercadorias, e a CONSIGNATÁRIA a manterá junto às mercadorias durante o transporte e o evento. Na devolução, a mercadoria retornará acompanhada de documento fiscal de retorno, conforme a legislação. Após a apuração (Anexo II), a CONSIGNANTE emitirá nota fiscal de venda, em nome da CONSIGNATÁRIA, somente sobre as mercadorias vendidas, perdidas, avariadas ou não restituídas, com os tributos incidentes.</w:t>
      </w:r>
    </w:p>
    <w:p>
      <w:pPr>
        <w:keepNext w:val="0"/>
        <w:spacing w:before="0" w:after="120"/>
        <w:jc w:val="both"/>
      </w:pPr>
      <w:r>
        <w:rPr>
          <w:rFonts w:ascii="Arial" w:hAnsi="Arial"/>
          <w:b w:val="0"/>
          <w:i w:val="0"/>
          <w:sz w:val="20"/>
        </w:rPr>
        <w:t>12.2. Cada Parte responde pelos tributos de suas operações e pela documentação fiscal que lhe couber.</w:t>
      </w:r>
    </w:p>
    <w:p>
      <w:pPr>
        <w:keepNext/>
        <w:spacing w:before="200" w:after="80"/>
        <w:jc w:val="left"/>
      </w:pPr>
      <w:r>
        <w:rPr>
          <w:rFonts w:ascii="Arial" w:hAnsi="Arial"/>
          <w:b/>
          <w:i w:val="0"/>
          <w:sz w:val="21"/>
        </w:rPr>
        <w:t>CLÁUSULA 13ª – DA RESCISÃO</w:t>
      </w:r>
    </w:p>
    <w:p>
      <w:pPr>
        <w:keepNext w:val="0"/>
        <w:spacing w:before="0" w:after="120"/>
        <w:jc w:val="both"/>
      </w:pPr>
      <w:r>
        <w:rPr>
          <w:rFonts w:ascii="Arial" w:hAnsi="Arial"/>
          <w:b w:val="0"/>
          <w:i w:val="0"/>
          <w:sz w:val="20"/>
        </w:rPr>
        <w:t>13.1. A CONSIGNANTE poderá rescindir o Termo e retomar as mercadorias, mediante aviso de 24 horas, em caso de inadimplemento, descumprimento da Cláusula 5.4, risco de insolvência (pedido de recuperação judicial ou falência, protestos, cancelamento do evento) ou informação falsa. Na rescisão, os custos de retorno serão da CONSIGNATÁRIA.</w:t>
      </w:r>
    </w:p>
    <w:p>
      <w:pPr>
        <w:keepNext w:val="0"/>
        <w:spacing w:before="0" w:after="120"/>
        <w:jc w:val="both"/>
      </w:pPr>
      <w:r>
        <w:rPr>
          <w:rFonts w:ascii="Arial" w:hAnsi="Arial"/>
          <w:b w:val="0"/>
          <w:i w:val="0"/>
          <w:sz w:val="20"/>
        </w:rPr>
        <w:t>13.2. O cancelamento ou adiamento do evento não altera o prazo de 15 dias, nem a obrigação de pagar ou devolver.</w:t>
      </w:r>
    </w:p>
    <w:p>
      <w:pPr>
        <w:keepNext/>
        <w:spacing w:before="200" w:after="80"/>
        <w:jc w:val="left"/>
      </w:pPr>
      <w:r>
        <w:rPr>
          <w:rFonts w:ascii="Arial" w:hAnsi="Arial"/>
          <w:b/>
          <w:i w:val="0"/>
          <w:sz w:val="21"/>
        </w:rPr>
        <w:t>CLÁUSULA 14ª – DA PROTEÇÃO DE DADOS (LGPD)</w:t>
      </w:r>
    </w:p>
    <w:p>
      <w:pPr>
        <w:keepNext w:val="0"/>
        <w:spacing w:before="0" w:after="120"/>
        <w:jc w:val="both"/>
      </w:pPr>
      <w:r>
        <w:rPr>
          <w:rFonts w:ascii="Arial" w:hAnsi="Arial"/>
          <w:b w:val="0"/>
          <w:i w:val="0"/>
          <w:sz w:val="20"/>
        </w:rPr>
        <w:t>14.1. As Partes tratarão dados pessoais de sócios, representantes e avalistas apenas para as finalidades deste Termo (análise de crédito, execução, cobrança e cumprimento de obrigações legais), observada a Lei nº 13.709/2018, com base nos arts. 7º, V, VI e IX, e os titulares serão informados da consulta de crédito.</w:t>
      </w:r>
    </w:p>
    <w:p>
      <w:pPr>
        <w:keepNext/>
        <w:spacing w:before="200" w:after="80"/>
        <w:jc w:val="left"/>
      </w:pPr>
      <w:r>
        <w:rPr>
          <w:rFonts w:ascii="Arial" w:hAnsi="Arial"/>
          <w:b/>
          <w:i w:val="0"/>
          <w:sz w:val="21"/>
        </w:rPr>
        <w:t>CLÁUSULA 15ª – DAS DISPOSIÇÕES GERAIS</w:t>
      </w:r>
    </w:p>
    <w:p>
      <w:pPr>
        <w:keepNext w:val="0"/>
        <w:spacing w:before="0" w:after="120"/>
        <w:jc w:val="both"/>
      </w:pPr>
      <w:r>
        <w:rPr>
          <w:rFonts w:ascii="Arial" w:hAnsi="Arial"/>
          <w:b w:val="0"/>
          <w:i w:val="0"/>
          <w:sz w:val="20"/>
        </w:rPr>
        <w:t>15.1. O Termo não gera vínculo societário, de representação comercial ou trabalhista. Cada Parte responde por seus empregados e contratados.</w:t>
      </w:r>
    </w:p>
    <w:p>
      <w:pPr>
        <w:keepNext w:val="0"/>
        <w:spacing w:before="0" w:after="120"/>
        <w:jc w:val="both"/>
      </w:pPr>
      <w:r>
        <w:rPr>
          <w:rFonts w:ascii="Arial" w:hAnsi="Arial"/>
          <w:b w:val="0"/>
          <w:i w:val="0"/>
          <w:sz w:val="20"/>
        </w:rPr>
        <w:t>15.2. A tolerância de uma Parte quanto ao descumprimento não implica renúncia, nem altera as cláusulas. Alterações somente por escrito.</w:t>
      </w:r>
    </w:p>
    <w:p>
      <w:pPr>
        <w:keepNext w:val="0"/>
        <w:spacing w:before="0" w:after="120"/>
        <w:jc w:val="both"/>
      </w:pPr>
      <w:r>
        <w:rPr>
          <w:rFonts w:ascii="Arial" w:hAnsi="Arial"/>
          <w:b w:val="0"/>
          <w:i w:val="0"/>
          <w:sz w:val="20"/>
        </w:rPr>
        <w:t>15.3. A nulidade de uma cláusula não afeta as demais.</w:t>
      </w:r>
    </w:p>
    <w:p>
      <w:pPr>
        <w:keepNext w:val="0"/>
        <w:spacing w:before="0" w:after="120"/>
        <w:jc w:val="both"/>
      </w:pPr>
      <w:r>
        <w:rPr>
          <w:rFonts w:ascii="Arial" w:hAnsi="Arial"/>
          <w:b w:val="0"/>
          <w:i w:val="0"/>
          <w:sz w:val="20"/>
        </w:rPr>
        <w:t>15.4. As comunicações serão válidas se enviadas aos endereços e e-mails do Anexo I, cabendo a cada Parte informar mudanças.</w:t>
      </w:r>
    </w:p>
    <w:p>
      <w:pPr>
        <w:keepNext w:val="0"/>
        <w:spacing w:before="0" w:after="120"/>
        <w:jc w:val="both"/>
      </w:pPr>
      <w:r>
        <w:rPr>
          <w:rFonts w:ascii="Arial" w:hAnsi="Arial"/>
          <w:b w:val="0"/>
          <w:i w:val="0"/>
          <w:sz w:val="20"/>
        </w:rPr>
        <w:t>15.5. As Partes admitem a assinatura eletrônica (MP nº 2.200-2/2001 e Lei nº 14.063/2020), inclusive do Anexo I preenchido por meio digital, e reconhecem sua validade e autoria. O registro de aceite e o log de assinatura valem como prova.</w:t>
      </w:r>
    </w:p>
    <w:p>
      <w:pPr>
        <w:keepNext w:val="0"/>
        <w:spacing w:before="0" w:after="120"/>
        <w:jc w:val="both"/>
      </w:pPr>
      <w:r>
        <w:rPr>
          <w:rFonts w:ascii="Arial" w:hAnsi="Arial"/>
          <w:b w:val="0"/>
          <w:i w:val="0"/>
          <w:sz w:val="20"/>
        </w:rPr>
        <w:t>15.6. O Termo se aplica a cada nova solicitação aprovada pela CONSIGNANTE, que será formalizada por novo Anexo I, ficando as demais cláusulas inalteradas.</w:t>
      </w:r>
    </w:p>
    <w:p>
      <w:pPr>
        <w:keepNext/>
        <w:spacing w:before="200" w:after="80"/>
        <w:jc w:val="left"/>
      </w:pPr>
      <w:r>
        <w:rPr>
          <w:rFonts w:ascii="Arial" w:hAnsi="Arial"/>
          <w:b/>
          <w:i w:val="0"/>
          <w:sz w:val="21"/>
        </w:rPr>
        <w:t>CLÁUSULA 16ª – DO FORO</w:t>
      </w:r>
    </w:p>
    <w:p>
      <w:pPr>
        <w:keepNext w:val="0"/>
        <w:spacing w:before="0" w:after="120"/>
        <w:jc w:val="both"/>
      </w:pPr>
      <w:r>
        <w:rPr>
          <w:rFonts w:ascii="Arial" w:hAnsi="Arial"/>
          <w:b w:val="0"/>
          <w:i w:val="0"/>
          <w:sz w:val="20"/>
        </w:rPr>
        <w:t>16.1. Fica eleito o foro da Comarca de São Paulo/SP, com renúncia a qualquer outro, por mais privilegiado que seja, para dirimir questões oriundas deste Termo.</w:t>
      </w:r>
    </w:p>
    <w:p>
      <w:pPr>
        <w:keepNext w:val="0"/>
        <w:spacing w:before="0" w:after="120"/>
        <w:jc w:val="both"/>
      </w:pPr>
      <w:r>
        <w:rPr>
          <w:rFonts w:ascii="Arial" w:hAnsi="Arial"/>
          <w:b w:val="0"/>
          <w:i w:val="0"/>
          <w:sz w:val="20"/>
        </w:rPr>
        <w:t>E, por estarem justas e acordadas, as Partes firmam o presente em 2 (duas) vias de igual teor, na presença de 2 (duas) testemunhas.</w:t>
      </w:r>
    </w:p>
    <w:p>
      <w:pPr>
        <w:keepNext w:val="0"/>
        <w:spacing w:before="0" w:after="120"/>
        <w:jc w:val="both"/>
      </w:pPr>
      <w:r>
        <w:rPr>
          <w:rFonts w:ascii="Arial" w:hAnsi="Arial"/>
          <w:b w:val="0"/>
          <w:i w:val="0"/>
          <w:sz w:val="20"/>
        </w:rPr>
        <w:t>[Cidade], [dia] de [mês] de [ano].</w:t>
      </w:r>
    </w:p>
    <w:tbl>
      <w:tblPr>
        <w:tblW w:type="auto" w:w="0"/>
        <w:tblLayout w:type="autofi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51"/>
        <w:gridCol w:w="2351"/>
        <w:gridCol w:w="2351"/>
        <w:gridCol w:w="2351"/>
      </w:tblGrid>
      <w:tr>
        <w:tc>
          <w:tcPr>
            <w:tcW w:type="dxa" w:w="2351"/>
            <w:shd w:val="clear" w:color="auto" w:fill="EDE7DD"/>
          </w:tcPr>
          <w:p>
            <w:pPr>
              <w:spacing w:after="40" w:before="40"/>
              <w:jc w:val="left"/>
            </w:pPr>
            <w:r/>
            <w:r>
              <w:rPr>
                <w:rFonts w:ascii="Arial" w:hAnsi="Arial"/>
                <w:b/>
                <w:i w:val="0"/>
                <w:sz w:val="18"/>
              </w:rPr>
              <w:t>Parte</w:t>
            </w:r>
          </w:p>
        </w:tc>
        <w:tc>
          <w:tcPr>
            <w:tcW w:type="dxa" w:w="2351"/>
            <w:shd w:val="clear" w:color="auto" w:fill="EDE7DD"/>
          </w:tcPr>
          <w:p>
            <w:pPr>
              <w:spacing w:after="40" w:before="40"/>
              <w:jc w:val="left"/>
            </w:pPr>
            <w:r/>
            <w:r>
              <w:rPr>
                <w:rFonts w:ascii="Arial" w:hAnsi="Arial"/>
                <w:b/>
                <w:i w:val="0"/>
                <w:sz w:val="18"/>
              </w:rPr>
              <w:t>Nome / Cargo</w:t>
            </w:r>
          </w:p>
        </w:tc>
        <w:tc>
          <w:tcPr>
            <w:tcW w:type="dxa" w:w="2351"/>
            <w:shd w:val="clear" w:color="auto" w:fill="EDE7DD"/>
          </w:tcPr>
          <w:p>
            <w:pPr>
              <w:spacing w:after="40" w:before="40"/>
              <w:jc w:val="left"/>
            </w:pPr>
            <w:r/>
            <w:r>
              <w:rPr>
                <w:rFonts w:ascii="Arial" w:hAnsi="Arial"/>
                <w:b/>
                <w:i w:val="0"/>
                <w:sz w:val="18"/>
              </w:rPr>
              <w:t>CPF</w:t>
            </w:r>
          </w:p>
        </w:tc>
        <w:tc>
          <w:tcPr>
            <w:tcW w:type="dxa" w:w="2351"/>
            <w:shd w:val="clear" w:color="auto" w:fill="EDE7DD"/>
          </w:tcPr>
          <w:p>
            <w:pPr>
              <w:spacing w:after="40" w:before="40"/>
              <w:jc w:val="left"/>
            </w:pPr>
            <w:r/>
            <w:r>
              <w:rPr>
                <w:rFonts w:ascii="Arial" w:hAnsi="Arial"/>
                <w:b/>
                <w:i w:val="0"/>
                <w:sz w:val="18"/>
              </w:rPr>
              <w:t>Assinatura</w:t>
            </w:r>
          </w:p>
        </w:tc>
      </w:tr>
      <w:tr>
        <w:tc>
          <w:tcPr>
            <w:tcW w:type="dxa" w:w="2351"/>
          </w:tcPr>
          <w:p>
            <w:pPr>
              <w:spacing w:after="40" w:before="40"/>
              <w:jc w:val="left"/>
            </w:pPr>
            <w:r/>
            <w:r>
              <w:rPr>
                <w:rFonts w:ascii="Arial" w:hAnsi="Arial"/>
                <w:b w:val="0"/>
                <w:i w:val="0"/>
                <w:sz w:val="18"/>
              </w:rPr>
              <w:t>CONSIGNANTE</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p>
        </w:tc>
      </w:tr>
      <w:tr>
        <w:tc>
          <w:tcPr>
            <w:tcW w:type="dxa" w:w="2351"/>
          </w:tcPr>
          <w:p>
            <w:pPr>
              <w:spacing w:after="40" w:before="40"/>
              <w:jc w:val="left"/>
            </w:pPr>
            <w:r/>
            <w:r>
              <w:rPr>
                <w:rFonts w:ascii="Arial" w:hAnsi="Arial"/>
                <w:b w:val="0"/>
                <w:i w:val="0"/>
                <w:sz w:val="18"/>
              </w:rPr>
              <w:t>CONSIGNATÁRIA</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p>
        </w:tc>
      </w:tr>
      <w:tr>
        <w:tc>
          <w:tcPr>
            <w:tcW w:type="dxa" w:w="2351"/>
          </w:tcPr>
          <w:p>
            <w:pPr>
              <w:spacing w:after="40" w:before="40"/>
              <w:jc w:val="left"/>
            </w:pPr>
            <w:r/>
            <w:r>
              <w:rPr>
                <w:rFonts w:ascii="Arial" w:hAnsi="Arial"/>
                <w:b w:val="0"/>
                <w:i w:val="0"/>
                <w:sz w:val="18"/>
              </w:rPr>
              <w:t>Aval / Fiador (sócio)</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p>
        </w:tc>
      </w:tr>
      <w:tr>
        <w:tc>
          <w:tcPr>
            <w:tcW w:type="dxa" w:w="2351"/>
          </w:tcPr>
          <w:p>
            <w:pPr>
              <w:spacing w:after="40" w:before="40"/>
              <w:jc w:val="left"/>
            </w:pPr>
            <w:r/>
            <w:r>
              <w:rPr>
                <w:rFonts w:ascii="Arial" w:hAnsi="Arial"/>
                <w:b w:val="0"/>
                <w:i w:val="0"/>
                <w:sz w:val="18"/>
              </w:rPr>
              <w:t>Testemunha 1</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p>
        </w:tc>
      </w:tr>
      <w:tr>
        <w:tc>
          <w:tcPr>
            <w:tcW w:type="dxa" w:w="2351"/>
          </w:tcPr>
          <w:p>
            <w:pPr>
              <w:spacing w:after="40" w:before="40"/>
              <w:jc w:val="left"/>
            </w:pPr>
            <w:r/>
            <w:r>
              <w:rPr>
                <w:rFonts w:ascii="Arial" w:hAnsi="Arial"/>
                <w:b w:val="0"/>
                <w:i w:val="0"/>
                <w:sz w:val="18"/>
              </w:rPr>
              <w:t>Testemunha 2</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r>
              <w:rPr>
                <w:rFonts w:ascii="Arial" w:hAnsi="Arial"/>
                <w:b w:val="0"/>
                <w:i w:val="0"/>
                <w:sz w:val="18"/>
              </w:rPr>
              <w:t>[●]</w:t>
            </w:r>
          </w:p>
        </w:tc>
        <w:tc>
          <w:tcPr>
            <w:tcW w:type="dxa" w:w="2351"/>
          </w:tcPr>
          <w:p>
            <w:pPr>
              <w:spacing w:after="40" w:before="40"/>
              <w:jc w:val="left"/>
            </w:pPr>
            <w:r/>
          </w:p>
        </w:tc>
      </w:tr>
    </w:tbl>
    <w:p>
      <w:pPr>
        <w:spacing w:after="80"/>
      </w:pPr>
    </w:p>
    <w:p>
      <w:r>
        <w:br w:type="page"/>
      </w:r>
    </w:p>
    <w:p>
      <w:pPr>
        <w:keepNext/>
        <w:spacing w:before="200" w:after="80"/>
        <w:jc w:val="left"/>
      </w:pPr>
      <w:r>
        <w:rPr>
          <w:rFonts w:ascii="Arial" w:hAnsi="Arial"/>
          <w:b/>
          <w:i w:val="0"/>
          <w:sz w:val="21"/>
        </w:rPr>
        <w:t>ANEXO I – FORMULÁRIO DE SOLICITAÇÃO DE CONSIGNAÇÃO E INVENTÁRIO</w:t>
      </w:r>
    </w:p>
    <w:p>
      <w:pPr>
        <w:keepNext w:val="0"/>
        <w:spacing w:before="0" w:after="120"/>
        <w:jc w:val="both"/>
      </w:pPr>
      <w:r>
        <w:rPr>
          <w:rFonts w:ascii="Arial" w:hAnsi="Arial"/>
          <w:b w:val="0"/>
          <w:i w:val="0"/>
          <w:sz w:val="20"/>
        </w:rPr>
        <w:t>Preenchido pela empresa de eventos. A solicitação não garante a aprovação (Cláusula 8.1).</w:t>
      </w:r>
    </w:p>
    <w:p>
      <w:pPr>
        <w:keepNext/>
        <w:spacing w:before="0" w:after="120"/>
        <w:jc w:val="both"/>
      </w:pPr>
      <w:r>
        <w:rPr>
          <w:rFonts w:ascii="Arial" w:hAnsi="Arial"/>
          <w:b/>
          <w:i w:val="0"/>
          <w:sz w:val="20"/>
        </w:rPr>
        <w:t>A. Dados da empresa solicitante</w:t>
      </w:r>
    </w:p>
    <w:tbl>
      <w:tblPr>
        <w:tblW w:type="auto" w:w="0"/>
        <w:tblLayout w:type="autofi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702"/>
        <w:gridCol w:w="4702"/>
      </w:tblGrid>
      <w:tr>
        <w:tc>
          <w:tcPr>
            <w:tcW w:type="dxa" w:w="4702"/>
            <w:shd w:val="clear" w:color="auto" w:fill="EDE7DD"/>
          </w:tcPr>
          <w:p>
            <w:pPr>
              <w:spacing w:after="40" w:before="40"/>
              <w:jc w:val="left"/>
            </w:pPr>
            <w:r/>
            <w:r>
              <w:rPr>
                <w:rFonts w:ascii="Arial" w:hAnsi="Arial"/>
                <w:b/>
                <w:i w:val="0"/>
                <w:sz w:val="18"/>
              </w:rPr>
              <w:t>Campo</w:t>
            </w:r>
          </w:p>
        </w:tc>
        <w:tc>
          <w:tcPr>
            <w:tcW w:type="dxa" w:w="4702"/>
            <w:shd w:val="clear" w:color="auto" w:fill="EDE7DD"/>
          </w:tcPr>
          <w:p>
            <w:pPr>
              <w:spacing w:after="40" w:before="40"/>
              <w:jc w:val="left"/>
            </w:pPr>
            <w:r/>
            <w:r>
              <w:rPr>
                <w:rFonts w:ascii="Arial" w:hAnsi="Arial"/>
                <w:b/>
                <w:i w:val="0"/>
                <w:sz w:val="18"/>
              </w:rPr>
              <w:t>Preenchimento</w:t>
            </w:r>
          </w:p>
        </w:tc>
      </w:tr>
      <w:tr>
        <w:tc>
          <w:tcPr>
            <w:tcW w:type="dxa" w:w="4702"/>
          </w:tcPr>
          <w:p>
            <w:pPr>
              <w:spacing w:after="40" w:before="40"/>
              <w:jc w:val="left"/>
            </w:pPr>
            <w:r/>
            <w:r>
              <w:rPr>
                <w:rFonts w:ascii="Arial" w:hAnsi="Arial"/>
                <w:b w:val="0"/>
                <w:i w:val="0"/>
                <w:sz w:val="18"/>
              </w:rPr>
              <w:t>Razão social / nome fantasia</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CNPJ / Inscrição Estadual</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Endereço completo e CEP</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Tempo de atuação no mercado</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Responsável / cargo / CPF</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E-mail e telefone (WhatsApp)</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Dados bancários e principais referências comerciais (2)</w:t>
            </w:r>
          </w:p>
        </w:tc>
        <w:tc>
          <w:tcPr>
            <w:tcW w:type="dxa" w:w="4702"/>
          </w:tcPr>
          <w:p>
            <w:pPr>
              <w:spacing w:after="40" w:before="40"/>
              <w:jc w:val="left"/>
            </w:pPr>
            <w:r/>
          </w:p>
        </w:tc>
      </w:tr>
    </w:tbl>
    <w:p>
      <w:pPr>
        <w:spacing w:after="80"/>
      </w:pPr>
    </w:p>
    <w:p>
      <w:pPr>
        <w:keepNext/>
        <w:spacing w:before="0" w:after="120"/>
        <w:jc w:val="both"/>
      </w:pPr>
      <w:r>
        <w:rPr>
          <w:rFonts w:ascii="Arial" w:hAnsi="Arial"/>
          <w:b/>
          <w:i w:val="0"/>
          <w:sz w:val="20"/>
        </w:rPr>
        <w:t>B. Sócios / avalistas</w:t>
      </w:r>
    </w:p>
    <w:tbl>
      <w:tblPr>
        <w:tblW w:type="auto" w:w="0"/>
        <w:tblLayout w:type="autofi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51"/>
        <w:gridCol w:w="2351"/>
        <w:gridCol w:w="2351"/>
        <w:gridCol w:w="2351"/>
      </w:tblGrid>
      <w:tr>
        <w:tc>
          <w:tcPr>
            <w:tcW w:type="dxa" w:w="2351"/>
            <w:shd w:val="clear" w:color="auto" w:fill="EDE7DD"/>
          </w:tcPr>
          <w:p>
            <w:pPr>
              <w:spacing w:after="40" w:before="40"/>
              <w:jc w:val="left"/>
            </w:pPr>
            <w:r/>
            <w:r>
              <w:rPr>
                <w:rFonts w:ascii="Arial" w:hAnsi="Arial"/>
                <w:b/>
                <w:i w:val="0"/>
                <w:sz w:val="18"/>
              </w:rPr>
              <w:t>Nome</w:t>
            </w:r>
          </w:p>
        </w:tc>
        <w:tc>
          <w:tcPr>
            <w:tcW w:type="dxa" w:w="2351"/>
            <w:shd w:val="clear" w:color="auto" w:fill="EDE7DD"/>
          </w:tcPr>
          <w:p>
            <w:pPr>
              <w:spacing w:after="40" w:before="40"/>
              <w:jc w:val="left"/>
            </w:pPr>
            <w:r/>
            <w:r>
              <w:rPr>
                <w:rFonts w:ascii="Arial" w:hAnsi="Arial"/>
                <w:b/>
                <w:i w:val="0"/>
                <w:sz w:val="18"/>
              </w:rPr>
              <w:t>CPF</w:t>
            </w:r>
          </w:p>
        </w:tc>
        <w:tc>
          <w:tcPr>
            <w:tcW w:type="dxa" w:w="2351"/>
            <w:shd w:val="clear" w:color="auto" w:fill="EDE7DD"/>
          </w:tcPr>
          <w:p>
            <w:pPr>
              <w:spacing w:after="40" w:before="40"/>
              <w:jc w:val="left"/>
            </w:pPr>
            <w:r/>
            <w:r>
              <w:rPr>
                <w:rFonts w:ascii="Arial" w:hAnsi="Arial"/>
                <w:b/>
                <w:i w:val="0"/>
                <w:sz w:val="18"/>
              </w:rPr>
              <w:t>Participação (%)</w:t>
            </w:r>
          </w:p>
        </w:tc>
        <w:tc>
          <w:tcPr>
            <w:tcW w:type="dxa" w:w="2351"/>
            <w:shd w:val="clear" w:color="auto" w:fill="EDE7DD"/>
          </w:tcPr>
          <w:p>
            <w:pPr>
              <w:spacing w:after="40" w:before="40"/>
              <w:jc w:val="left"/>
            </w:pPr>
            <w:r/>
            <w:r>
              <w:rPr>
                <w:rFonts w:ascii="Arial" w:hAnsi="Arial"/>
                <w:b/>
                <w:i w:val="0"/>
                <w:sz w:val="18"/>
              </w:rPr>
              <w:t>Endereço / E-mail</w:t>
            </w:r>
          </w:p>
        </w:tc>
      </w:tr>
      <w:tr>
        <w:tc>
          <w:tcPr>
            <w:tcW w:type="dxa" w:w="2351"/>
          </w:tcPr>
          <w:p>
            <w:pPr>
              <w:spacing w:after="200" w:before="40"/>
              <w:jc w:val="left"/>
            </w:pPr>
            <w:r/>
          </w:p>
        </w:tc>
        <w:tc>
          <w:tcPr>
            <w:tcW w:type="dxa" w:w="2351"/>
          </w:tcPr>
          <w:p>
            <w:pPr>
              <w:spacing w:after="200" w:before="40"/>
              <w:jc w:val="left"/>
            </w:pPr>
            <w:r/>
          </w:p>
        </w:tc>
        <w:tc>
          <w:tcPr>
            <w:tcW w:type="dxa" w:w="2351"/>
          </w:tcPr>
          <w:p>
            <w:pPr>
              <w:spacing w:after="200" w:before="40"/>
              <w:jc w:val="left"/>
            </w:pPr>
            <w:r/>
          </w:p>
        </w:tc>
        <w:tc>
          <w:tcPr>
            <w:tcW w:type="dxa" w:w="2351"/>
          </w:tcPr>
          <w:p>
            <w:pPr>
              <w:spacing w:after="200" w:before="40"/>
              <w:jc w:val="left"/>
            </w:pPr>
            <w:r/>
          </w:p>
        </w:tc>
      </w:tr>
      <w:tr>
        <w:tc>
          <w:tcPr>
            <w:tcW w:type="dxa" w:w="2351"/>
          </w:tcPr>
          <w:p>
            <w:pPr>
              <w:spacing w:after="200" w:before="40"/>
              <w:jc w:val="left"/>
            </w:pPr>
            <w:r/>
          </w:p>
        </w:tc>
        <w:tc>
          <w:tcPr>
            <w:tcW w:type="dxa" w:w="2351"/>
          </w:tcPr>
          <w:p>
            <w:pPr>
              <w:spacing w:after="200" w:before="40"/>
              <w:jc w:val="left"/>
            </w:pPr>
            <w:r/>
          </w:p>
        </w:tc>
        <w:tc>
          <w:tcPr>
            <w:tcW w:type="dxa" w:w="2351"/>
          </w:tcPr>
          <w:p>
            <w:pPr>
              <w:spacing w:after="200" w:before="40"/>
              <w:jc w:val="left"/>
            </w:pPr>
            <w:r/>
          </w:p>
        </w:tc>
        <w:tc>
          <w:tcPr>
            <w:tcW w:type="dxa" w:w="2351"/>
          </w:tcPr>
          <w:p>
            <w:pPr>
              <w:spacing w:after="200" w:before="40"/>
              <w:jc w:val="left"/>
            </w:pPr>
            <w:r/>
          </w:p>
        </w:tc>
      </w:tr>
    </w:tbl>
    <w:p>
      <w:pPr>
        <w:spacing w:after="80"/>
      </w:pPr>
    </w:p>
    <w:p>
      <w:pPr>
        <w:keepNext/>
        <w:spacing w:before="0" w:after="120"/>
        <w:jc w:val="both"/>
      </w:pPr>
      <w:r>
        <w:rPr>
          <w:rFonts w:ascii="Arial" w:hAnsi="Arial"/>
          <w:b/>
          <w:i w:val="0"/>
          <w:sz w:val="20"/>
        </w:rPr>
        <w:t>C. Dados do evento</w:t>
      </w:r>
    </w:p>
    <w:tbl>
      <w:tblPr>
        <w:tblW w:type="auto" w:w="0"/>
        <w:tblLayout w:type="autofi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702"/>
        <w:gridCol w:w="4702"/>
      </w:tblGrid>
      <w:tr>
        <w:tc>
          <w:tcPr>
            <w:tcW w:type="dxa" w:w="4702"/>
            <w:shd w:val="clear" w:color="auto" w:fill="EDE7DD"/>
          </w:tcPr>
          <w:p>
            <w:pPr>
              <w:spacing w:after="40" w:before="40"/>
              <w:jc w:val="left"/>
            </w:pPr>
            <w:r/>
            <w:r>
              <w:rPr>
                <w:rFonts w:ascii="Arial" w:hAnsi="Arial"/>
                <w:b/>
                <w:i w:val="0"/>
                <w:sz w:val="18"/>
              </w:rPr>
              <w:t>Campo</w:t>
            </w:r>
          </w:p>
        </w:tc>
        <w:tc>
          <w:tcPr>
            <w:tcW w:type="dxa" w:w="4702"/>
            <w:shd w:val="clear" w:color="auto" w:fill="EDE7DD"/>
          </w:tcPr>
          <w:p>
            <w:pPr>
              <w:spacing w:after="40" w:before="40"/>
              <w:jc w:val="left"/>
            </w:pPr>
            <w:r/>
            <w:r>
              <w:rPr>
                <w:rFonts w:ascii="Arial" w:hAnsi="Arial"/>
                <w:b/>
                <w:i w:val="0"/>
                <w:sz w:val="18"/>
              </w:rPr>
              <w:t>Preenchimento</w:t>
            </w:r>
          </w:p>
        </w:tc>
      </w:tr>
      <w:tr>
        <w:tc>
          <w:tcPr>
            <w:tcW w:type="dxa" w:w="4702"/>
          </w:tcPr>
          <w:p>
            <w:pPr>
              <w:spacing w:after="40" w:before="40"/>
              <w:jc w:val="left"/>
            </w:pPr>
            <w:r/>
            <w:r>
              <w:rPr>
                <w:rFonts w:ascii="Arial" w:hAnsi="Arial"/>
                <w:b w:val="0"/>
                <w:i w:val="0"/>
                <w:sz w:val="18"/>
              </w:rPr>
              <w:t>Nome do evento</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Local / cidade / UF</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Datas (montagem, evento, desmontagem)</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Público estimado / contratante</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Local de entrega e de devolução</w:t>
            </w:r>
          </w:p>
        </w:tc>
        <w:tc>
          <w:tcPr>
            <w:tcW w:type="dxa" w:w="4702"/>
          </w:tcPr>
          <w:p>
            <w:pPr>
              <w:spacing w:after="40" w:before="40"/>
              <w:jc w:val="left"/>
            </w:pPr>
            <w:r/>
          </w:p>
        </w:tc>
      </w:tr>
    </w:tbl>
    <w:p>
      <w:pPr>
        <w:spacing w:after="80"/>
      </w:pPr>
    </w:p>
    <w:p>
      <w:pPr>
        <w:keepNext/>
        <w:spacing w:before="0" w:after="120"/>
        <w:jc w:val="both"/>
      </w:pPr>
      <w:r>
        <w:rPr>
          <w:rFonts w:ascii="Arial" w:hAnsi="Arial"/>
          <w:b/>
          <w:i w:val="0"/>
          <w:sz w:val="20"/>
        </w:rPr>
        <w:t>D. Mercadorias solicitadas e inventário</w:t>
      </w:r>
    </w:p>
    <w:tbl>
      <w:tblPr>
        <w:tblW w:type="auto" w:w="0"/>
        <w:tblLayout w:type="autofi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176"/>
        <w:gridCol w:w="1176"/>
        <w:gridCol w:w="1176"/>
        <w:gridCol w:w="1176"/>
        <w:gridCol w:w="1176"/>
        <w:gridCol w:w="1176"/>
        <w:gridCol w:w="1176"/>
        <w:gridCol w:w="1176"/>
      </w:tblGrid>
      <w:tr>
        <w:tc>
          <w:tcPr>
            <w:tcW w:type="dxa" w:w="1176"/>
            <w:shd w:val="clear" w:color="auto" w:fill="EDE7DD"/>
          </w:tcPr>
          <w:p>
            <w:pPr>
              <w:spacing w:after="40" w:before="40"/>
              <w:jc w:val="left"/>
            </w:pPr>
            <w:r/>
            <w:r>
              <w:rPr>
                <w:rFonts w:ascii="Arial" w:hAnsi="Arial"/>
                <w:b/>
                <w:i w:val="0"/>
                <w:sz w:val="17"/>
              </w:rPr>
              <w:t>Código / SKU</w:t>
            </w:r>
          </w:p>
        </w:tc>
        <w:tc>
          <w:tcPr>
            <w:tcW w:type="dxa" w:w="1176"/>
            <w:shd w:val="clear" w:color="auto" w:fill="EDE7DD"/>
          </w:tcPr>
          <w:p>
            <w:pPr>
              <w:spacing w:after="40" w:before="40"/>
              <w:jc w:val="left"/>
            </w:pPr>
            <w:r/>
            <w:r>
              <w:rPr>
                <w:rFonts w:ascii="Arial" w:hAnsi="Arial"/>
                <w:b/>
                <w:i w:val="0"/>
                <w:sz w:val="17"/>
              </w:rPr>
              <w:t>Descrição</w:t>
            </w:r>
          </w:p>
        </w:tc>
        <w:tc>
          <w:tcPr>
            <w:tcW w:type="dxa" w:w="1176"/>
            <w:shd w:val="clear" w:color="auto" w:fill="EDE7DD"/>
          </w:tcPr>
          <w:p>
            <w:pPr>
              <w:spacing w:after="40" w:before="40"/>
              <w:jc w:val="left"/>
            </w:pPr>
            <w:r/>
            <w:r>
              <w:rPr>
                <w:rFonts w:ascii="Arial" w:hAnsi="Arial"/>
                <w:b/>
                <w:i w:val="0"/>
                <w:sz w:val="17"/>
              </w:rPr>
              <w:t>Lote / validade</w:t>
            </w:r>
          </w:p>
        </w:tc>
        <w:tc>
          <w:tcPr>
            <w:tcW w:type="dxa" w:w="1176"/>
            <w:shd w:val="clear" w:color="auto" w:fill="EDE7DD"/>
          </w:tcPr>
          <w:p>
            <w:pPr>
              <w:spacing w:after="40" w:before="40"/>
              <w:jc w:val="left"/>
            </w:pPr>
            <w:r/>
            <w:r>
              <w:rPr>
                <w:rFonts w:ascii="Arial" w:hAnsi="Arial"/>
                <w:b/>
                <w:i w:val="0"/>
                <w:sz w:val="17"/>
              </w:rPr>
              <w:t>Qtd.</w:t>
            </w:r>
          </w:p>
        </w:tc>
        <w:tc>
          <w:tcPr>
            <w:tcW w:type="dxa" w:w="1176"/>
            <w:shd w:val="clear" w:color="auto" w:fill="EDE7DD"/>
          </w:tcPr>
          <w:p>
            <w:pPr>
              <w:spacing w:after="40" w:before="40"/>
              <w:jc w:val="left"/>
            </w:pPr>
            <w:r/>
            <w:r>
              <w:rPr>
                <w:rFonts w:ascii="Arial" w:hAnsi="Arial"/>
                <w:b/>
                <w:i w:val="0"/>
                <w:sz w:val="17"/>
              </w:rPr>
              <w:t>Preço de consignação unit. (R$)</w:t>
            </w:r>
          </w:p>
        </w:tc>
        <w:tc>
          <w:tcPr>
            <w:tcW w:type="dxa" w:w="1176"/>
            <w:shd w:val="clear" w:color="auto" w:fill="EDE7DD"/>
          </w:tcPr>
          <w:p>
            <w:pPr>
              <w:spacing w:after="40" w:before="40"/>
              <w:jc w:val="left"/>
            </w:pPr>
            <w:r/>
            <w:r>
              <w:rPr>
                <w:rFonts w:ascii="Arial" w:hAnsi="Arial"/>
                <w:b/>
                <w:i w:val="0"/>
                <w:sz w:val="17"/>
              </w:rPr>
              <w:t>Preço mín. de venda (R$)</w:t>
            </w:r>
          </w:p>
        </w:tc>
        <w:tc>
          <w:tcPr>
            <w:tcW w:type="dxa" w:w="1176"/>
            <w:shd w:val="clear" w:color="auto" w:fill="EDE7DD"/>
          </w:tcPr>
          <w:p>
            <w:pPr>
              <w:spacing w:after="40" w:before="40"/>
              <w:jc w:val="left"/>
            </w:pPr>
            <w:r/>
            <w:r>
              <w:rPr>
                <w:rFonts w:ascii="Arial" w:hAnsi="Arial"/>
                <w:b/>
                <w:i w:val="0"/>
                <w:sz w:val="17"/>
              </w:rPr>
              <w:t>Total (R$)</w:t>
            </w:r>
          </w:p>
        </w:tc>
        <w:tc>
          <w:tcPr>
            <w:tcW w:type="dxa" w:w="1176"/>
            <w:shd w:val="clear" w:color="auto" w:fill="EDE7DD"/>
          </w:tcPr>
          <w:p>
            <w:pPr>
              <w:spacing w:after="40" w:before="40"/>
              <w:jc w:val="left"/>
            </w:pPr>
            <w:r/>
            <w:r>
              <w:rPr>
                <w:rFonts w:ascii="Arial" w:hAnsi="Arial"/>
                <w:b/>
                <w:i w:val="0"/>
                <w:sz w:val="17"/>
              </w:rPr>
              <w:t>Estado na entrega</w:t>
            </w:r>
          </w:p>
        </w:tc>
      </w:tr>
      <w:tr>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r>
      <w:tr>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c>
          <w:tcPr>
            <w:tcW w:type="dxa" w:w="1176"/>
          </w:tcPr>
          <w:p>
            <w:pPr>
              <w:spacing w:after="200" w:before="40"/>
              <w:jc w:val="left"/>
            </w:pPr>
            <w:r/>
          </w:p>
        </w:tc>
      </w:tr>
      <w:tr>
        <w:tc>
          <w:tcPr>
            <w:tcW w:type="dxa" w:w="1176"/>
          </w:tcPr>
          <w:p>
            <w:pPr>
              <w:spacing w:after="40" w:before="40"/>
              <w:jc w:val="left"/>
            </w:pPr>
            <w:r/>
          </w:p>
        </w:tc>
        <w:tc>
          <w:tcPr>
            <w:tcW w:type="dxa" w:w="1176"/>
          </w:tcPr>
          <w:p>
            <w:pPr>
              <w:spacing w:after="40" w:before="40"/>
              <w:jc w:val="left"/>
            </w:pPr>
            <w:r/>
          </w:p>
        </w:tc>
        <w:tc>
          <w:tcPr>
            <w:tcW w:type="dxa" w:w="1176"/>
          </w:tcPr>
          <w:p>
            <w:pPr>
              <w:spacing w:after="40" w:before="40"/>
              <w:jc w:val="left"/>
            </w:pPr>
            <w:r/>
          </w:p>
        </w:tc>
        <w:tc>
          <w:tcPr>
            <w:tcW w:type="dxa" w:w="1176"/>
          </w:tcPr>
          <w:p>
            <w:pPr>
              <w:spacing w:after="40" w:before="40"/>
              <w:jc w:val="left"/>
            </w:pPr>
            <w:r/>
          </w:p>
        </w:tc>
        <w:tc>
          <w:tcPr>
            <w:tcW w:type="dxa" w:w="1176"/>
          </w:tcPr>
          <w:p>
            <w:pPr>
              <w:spacing w:after="40" w:before="40"/>
              <w:jc w:val="left"/>
            </w:pPr>
            <w:r/>
          </w:p>
        </w:tc>
        <w:tc>
          <w:tcPr>
            <w:tcW w:type="dxa" w:w="1176"/>
          </w:tcPr>
          <w:p>
            <w:pPr>
              <w:spacing w:after="40" w:before="40"/>
              <w:jc w:val="left"/>
            </w:pPr>
            <w:r/>
            <w:r>
              <w:rPr>
                <w:rFonts w:ascii="Arial" w:hAnsi="Arial"/>
                <w:b/>
                <w:i w:val="0"/>
                <w:sz w:val="17"/>
              </w:rPr>
              <w:t>Total</w:t>
            </w:r>
          </w:p>
        </w:tc>
        <w:tc>
          <w:tcPr>
            <w:tcW w:type="dxa" w:w="1176"/>
          </w:tcPr>
          <w:p>
            <w:pPr>
              <w:spacing w:after="40" w:before="40"/>
              <w:jc w:val="left"/>
            </w:pPr>
            <w:r/>
          </w:p>
        </w:tc>
        <w:tc>
          <w:tcPr>
            <w:tcW w:type="dxa" w:w="1176"/>
          </w:tcPr>
          <w:p>
            <w:pPr>
              <w:spacing w:after="40" w:before="40"/>
              <w:jc w:val="left"/>
            </w:pPr>
            <w:r/>
          </w:p>
        </w:tc>
      </w:tr>
    </w:tbl>
    <w:p>
      <w:pPr>
        <w:spacing w:after="80"/>
      </w:pPr>
    </w:p>
    <w:p>
      <w:pPr>
        <w:keepNext/>
        <w:spacing w:before="0" w:after="120"/>
        <w:jc w:val="both"/>
      </w:pPr>
      <w:r>
        <w:rPr>
          <w:rFonts w:ascii="Arial" w:hAnsi="Arial"/>
          <w:b/>
          <w:i w:val="0"/>
          <w:sz w:val="20"/>
        </w:rPr>
        <w:t>E. Garantias oferecidas</w:t>
      </w:r>
      <w:r>
        <w:rPr>
          <w:rFonts w:ascii="Arial" w:hAnsi="Arial"/>
          <w:b w:val="0"/>
          <w:i w:val="0"/>
          <w:sz w:val="20"/>
        </w:rPr>
        <w:t xml:space="preserve"> (marcar)</w:t>
      </w:r>
    </w:p>
    <w:p>
      <w:pPr>
        <w:keepNext w:val="0"/>
        <w:spacing w:before="0" w:after="60"/>
        <w:ind w:left="454"/>
        <w:jc w:val="both"/>
      </w:pPr>
      <w:r>
        <w:rPr>
          <w:rFonts w:ascii="Arial" w:hAnsi="Arial"/>
          <w:b w:val="0"/>
          <w:i w:val="0"/>
          <w:sz w:val="20"/>
        </w:rPr>
        <w:t>☐ Nota promissória com aval dos sócios</w:t>
      </w:r>
    </w:p>
    <w:p>
      <w:pPr>
        <w:keepNext w:val="0"/>
        <w:spacing w:before="0" w:after="60"/>
        <w:ind w:left="454"/>
        <w:jc w:val="both"/>
      </w:pPr>
      <w:r>
        <w:rPr>
          <w:rFonts w:ascii="Arial" w:hAnsi="Arial"/>
          <w:b w:val="0"/>
          <w:i w:val="0"/>
          <w:sz w:val="20"/>
        </w:rPr>
        <w:t>☐ Fiança / aval pessoal</w:t>
      </w:r>
    </w:p>
    <w:p>
      <w:pPr>
        <w:keepNext w:val="0"/>
        <w:spacing w:before="0" w:after="60"/>
        <w:ind w:left="454"/>
        <w:jc w:val="both"/>
      </w:pPr>
      <w:r>
        <w:rPr>
          <w:rFonts w:ascii="Arial" w:hAnsi="Arial"/>
          <w:b w:val="0"/>
          <w:i w:val="0"/>
          <w:sz w:val="20"/>
        </w:rPr>
        <w:t>☐ Pré-autorização em cartão de crédito / caução</w:t>
      </w:r>
    </w:p>
    <w:p>
      <w:pPr>
        <w:keepNext w:val="0"/>
        <w:spacing w:before="0" w:after="60"/>
        <w:ind w:left="454"/>
        <w:jc w:val="both"/>
      </w:pPr>
      <w:r>
        <w:rPr>
          <w:rFonts w:ascii="Arial" w:hAnsi="Arial"/>
          <w:b w:val="0"/>
          <w:i w:val="0"/>
          <w:sz w:val="20"/>
        </w:rPr>
        <w:t>☐ Seguro-crédito / seguro-garantia</w:t>
      </w:r>
    </w:p>
    <w:p>
      <w:pPr>
        <w:keepNext w:val="0"/>
        <w:spacing w:before="0" w:after="60"/>
        <w:ind w:left="454"/>
        <w:jc w:val="both"/>
      </w:pPr>
      <w:r>
        <w:rPr>
          <w:rFonts w:ascii="Arial" w:hAnsi="Arial"/>
          <w:b w:val="0"/>
          <w:i w:val="0"/>
          <w:sz w:val="20"/>
        </w:rPr>
        <w:t>☐ Apólice de seguro do evento incluindo as mercadorias</w:t>
      </w:r>
    </w:p>
    <w:p>
      <w:pPr>
        <w:keepNext/>
        <w:spacing w:before="0" w:after="120"/>
        <w:jc w:val="both"/>
      </w:pPr>
      <w:r>
        <w:rPr>
          <w:rFonts w:ascii="Arial" w:hAnsi="Arial"/>
          <w:b/>
          <w:i w:val="0"/>
          <w:sz w:val="20"/>
        </w:rPr>
        <w:t>F. Declarações e aceite</w:t>
      </w:r>
    </w:p>
    <w:p>
      <w:pPr>
        <w:keepNext w:val="0"/>
        <w:spacing w:before="0" w:after="120"/>
        <w:jc w:val="both"/>
      </w:pPr>
      <w:r>
        <w:rPr>
          <w:rFonts w:ascii="Arial" w:hAnsi="Arial"/>
          <w:b w:val="0"/>
          <w:i w:val="0"/>
          <w:sz w:val="20"/>
        </w:rPr>
        <w:t>Declaro que as informações são verdadeiras, li e aceito o Termo de Consignação, em especial: prazo de 15 dias (Cláusula 4.1), cobrança do valor integral na falta de devolução (4.4), devolução por minha conta (4.3), risco de perda e avaria (Cláusula 5) e consulta de crédito (8.2).</w:t>
      </w:r>
    </w:p>
    <w:p>
      <w:pPr>
        <w:keepNext w:val="0"/>
        <w:spacing w:before="0" w:after="120"/>
        <w:jc w:val="both"/>
      </w:pPr>
      <w:r>
        <w:rPr>
          <w:rFonts w:ascii="Arial" w:hAnsi="Arial"/>
          <w:b w:val="0"/>
          <w:i w:val="0"/>
          <w:sz w:val="20"/>
        </w:rPr>
        <w:t>Data: [●] · Assinatura do responsável: [●]</w:t>
      </w:r>
    </w:p>
    <w:p>
      <w:pPr>
        <w:keepNext/>
        <w:spacing w:before="0" w:after="120"/>
        <w:jc w:val="both"/>
      </w:pPr>
      <w:r>
        <w:rPr>
          <w:rFonts w:ascii="Arial" w:hAnsi="Arial"/>
          <w:b/>
          <w:i w:val="0"/>
          <w:sz w:val="20"/>
        </w:rPr>
        <w:t>G. Uso interno da CONSIGNANTE</w:t>
      </w:r>
    </w:p>
    <w:tbl>
      <w:tblPr>
        <w:tblW w:type="auto" w:w="0"/>
        <w:tblLayout w:type="autofi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702"/>
        <w:gridCol w:w="4702"/>
      </w:tblGrid>
      <w:tr>
        <w:tc>
          <w:tcPr>
            <w:tcW w:type="dxa" w:w="4702"/>
            <w:shd w:val="clear" w:color="auto" w:fill="EDE7DD"/>
          </w:tcPr>
          <w:p>
            <w:pPr>
              <w:spacing w:after="40" w:before="40"/>
              <w:jc w:val="left"/>
            </w:pPr>
            <w:r/>
            <w:r>
              <w:rPr>
                <w:rFonts w:ascii="Arial" w:hAnsi="Arial"/>
                <w:b/>
                <w:i w:val="0"/>
                <w:sz w:val="18"/>
              </w:rPr>
              <w:t>Campo</w:t>
            </w:r>
          </w:p>
        </w:tc>
        <w:tc>
          <w:tcPr>
            <w:tcW w:type="dxa" w:w="4702"/>
            <w:shd w:val="clear" w:color="auto" w:fill="EDE7DD"/>
          </w:tcPr>
          <w:p>
            <w:pPr>
              <w:spacing w:after="40" w:before="40"/>
              <w:jc w:val="left"/>
            </w:pPr>
            <w:r/>
            <w:r>
              <w:rPr>
                <w:rFonts w:ascii="Arial" w:hAnsi="Arial"/>
                <w:b/>
                <w:i w:val="0"/>
                <w:sz w:val="18"/>
              </w:rPr>
              <w:t>Preenchimento</w:t>
            </w:r>
          </w:p>
        </w:tc>
      </w:tr>
      <w:tr>
        <w:tc>
          <w:tcPr>
            <w:tcW w:type="dxa" w:w="4702"/>
          </w:tcPr>
          <w:p>
            <w:pPr>
              <w:spacing w:after="40" w:before="40"/>
              <w:jc w:val="left"/>
            </w:pPr>
            <w:r/>
            <w:r>
              <w:rPr>
                <w:rFonts w:ascii="Arial" w:hAnsi="Arial"/>
                <w:b w:val="0"/>
                <w:i w:val="0"/>
                <w:sz w:val="18"/>
              </w:rPr>
              <w:t>Consulta de crédito (score / restrições)</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Limite aprovado (R$)</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Aprovado por / data</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NF de remessa para demonstração nº / data de recebimento / boleto nº</w:t>
            </w:r>
          </w:p>
        </w:tc>
        <w:tc>
          <w:tcPr>
            <w:tcW w:type="dxa" w:w="4702"/>
          </w:tcPr>
          <w:p>
            <w:pPr>
              <w:spacing w:after="40" w:before="40"/>
              <w:jc w:val="left"/>
            </w:pPr>
            <w:r/>
          </w:p>
        </w:tc>
      </w:tr>
      <w:tr>
        <w:tc>
          <w:tcPr>
            <w:tcW w:type="dxa" w:w="4702"/>
          </w:tcPr>
          <w:p>
            <w:pPr>
              <w:spacing w:after="40" w:before="40"/>
              <w:jc w:val="left"/>
            </w:pPr>
            <w:r/>
            <w:r>
              <w:rPr>
                <w:rFonts w:ascii="Arial" w:hAnsi="Arial"/>
                <w:b w:val="0"/>
                <w:i w:val="0"/>
                <w:sz w:val="18"/>
              </w:rPr>
              <w:t>Vencimento (recebimento + 15 dias)</w:t>
            </w:r>
          </w:p>
        </w:tc>
        <w:tc>
          <w:tcPr>
            <w:tcW w:type="dxa" w:w="4702"/>
          </w:tcPr>
          <w:p>
            <w:pPr>
              <w:spacing w:after="40" w:before="40"/>
              <w:jc w:val="left"/>
            </w:pPr>
            <w:r/>
          </w:p>
        </w:tc>
      </w:tr>
    </w:tbl>
    <w:p>
      <w:pPr>
        <w:spacing w:after="80"/>
      </w:pPr>
    </w:p>
    <w:p>
      <w:r>
        <w:br w:type="page"/>
      </w:r>
    </w:p>
    <w:p>
      <w:pPr>
        <w:keepNext/>
        <w:spacing w:before="200" w:after="80"/>
        <w:jc w:val="left"/>
      </w:pPr>
      <w:r>
        <w:rPr>
          <w:rFonts w:ascii="Arial" w:hAnsi="Arial"/>
          <w:b/>
          <w:i w:val="0"/>
          <w:sz w:val="21"/>
        </w:rPr>
        <w:t>ANEXO II – RELATÓRIO DE ACERTO E DEVOLUÇÃO</w:t>
      </w:r>
    </w:p>
    <w:tbl>
      <w:tblPr>
        <w:tblW w:type="auto" w:w="0"/>
        <w:tblLayout w:type="autofi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7"/>
        <w:gridCol w:w="1567"/>
        <w:gridCol w:w="1567"/>
        <w:gridCol w:w="1567"/>
        <w:gridCol w:w="1567"/>
        <w:gridCol w:w="1567"/>
      </w:tblGrid>
      <w:tr>
        <w:tc>
          <w:tcPr>
            <w:tcW w:type="dxa" w:w="1567"/>
            <w:shd w:val="clear" w:color="auto" w:fill="EDE7DD"/>
          </w:tcPr>
          <w:p>
            <w:pPr>
              <w:spacing w:after="40" w:before="40"/>
              <w:jc w:val="left"/>
            </w:pPr>
            <w:r/>
            <w:r>
              <w:rPr>
                <w:rFonts w:ascii="Arial" w:hAnsi="Arial"/>
                <w:b/>
                <w:i w:val="0"/>
                <w:sz w:val="17"/>
              </w:rPr>
              <w:t>Código / SKU</w:t>
            </w:r>
          </w:p>
        </w:tc>
        <w:tc>
          <w:tcPr>
            <w:tcW w:type="dxa" w:w="1567"/>
            <w:shd w:val="clear" w:color="auto" w:fill="EDE7DD"/>
          </w:tcPr>
          <w:p>
            <w:pPr>
              <w:spacing w:after="40" w:before="40"/>
              <w:jc w:val="left"/>
            </w:pPr>
            <w:r/>
            <w:r>
              <w:rPr>
                <w:rFonts w:ascii="Arial" w:hAnsi="Arial"/>
                <w:b/>
                <w:i w:val="0"/>
                <w:sz w:val="17"/>
              </w:rPr>
              <w:t>Qtd. entregue</w:t>
            </w:r>
          </w:p>
        </w:tc>
        <w:tc>
          <w:tcPr>
            <w:tcW w:type="dxa" w:w="1567"/>
            <w:shd w:val="clear" w:color="auto" w:fill="EDE7DD"/>
          </w:tcPr>
          <w:p>
            <w:pPr>
              <w:spacing w:after="40" w:before="40"/>
              <w:jc w:val="left"/>
            </w:pPr>
            <w:r/>
            <w:r>
              <w:rPr>
                <w:rFonts w:ascii="Arial" w:hAnsi="Arial"/>
                <w:b/>
                <w:i w:val="0"/>
                <w:sz w:val="17"/>
              </w:rPr>
              <w:t>Qtd. vendida</w:t>
            </w:r>
          </w:p>
        </w:tc>
        <w:tc>
          <w:tcPr>
            <w:tcW w:type="dxa" w:w="1567"/>
            <w:shd w:val="clear" w:color="auto" w:fill="EDE7DD"/>
          </w:tcPr>
          <w:p>
            <w:pPr>
              <w:spacing w:after="40" w:before="40"/>
              <w:jc w:val="left"/>
            </w:pPr>
            <w:r/>
            <w:r>
              <w:rPr>
                <w:rFonts w:ascii="Arial" w:hAnsi="Arial"/>
                <w:b/>
                <w:i w:val="0"/>
                <w:sz w:val="17"/>
              </w:rPr>
              <w:t>Qtd. devolvida</w:t>
            </w:r>
          </w:p>
        </w:tc>
        <w:tc>
          <w:tcPr>
            <w:tcW w:type="dxa" w:w="1567"/>
            <w:shd w:val="clear" w:color="auto" w:fill="EDE7DD"/>
          </w:tcPr>
          <w:p>
            <w:pPr>
              <w:spacing w:after="40" w:before="40"/>
              <w:jc w:val="left"/>
            </w:pPr>
            <w:r/>
            <w:r>
              <w:rPr>
                <w:rFonts w:ascii="Arial" w:hAnsi="Arial"/>
                <w:b/>
                <w:i w:val="0"/>
                <w:sz w:val="17"/>
              </w:rPr>
              <w:t>Qtd. perdida / avariada</w:t>
            </w:r>
          </w:p>
        </w:tc>
        <w:tc>
          <w:tcPr>
            <w:tcW w:type="dxa" w:w="1567"/>
            <w:shd w:val="clear" w:color="auto" w:fill="EDE7DD"/>
          </w:tcPr>
          <w:p>
            <w:pPr>
              <w:spacing w:after="40" w:before="40"/>
              <w:jc w:val="left"/>
            </w:pPr>
            <w:r/>
            <w:r>
              <w:rPr>
                <w:rFonts w:ascii="Arial" w:hAnsi="Arial"/>
                <w:b/>
                <w:i w:val="0"/>
                <w:sz w:val="17"/>
              </w:rPr>
              <w:t>Valor a pagar (R$)</w:t>
            </w:r>
          </w:p>
        </w:tc>
      </w:tr>
      <w:tr>
        <w:tc>
          <w:tcPr>
            <w:tcW w:type="dxa" w:w="1567"/>
          </w:tcPr>
          <w:p>
            <w:pPr>
              <w:spacing w:after="200" w:before="40"/>
              <w:jc w:val="left"/>
            </w:pPr>
            <w:r/>
          </w:p>
        </w:tc>
        <w:tc>
          <w:tcPr>
            <w:tcW w:type="dxa" w:w="1567"/>
          </w:tcPr>
          <w:p>
            <w:pPr>
              <w:spacing w:after="200" w:before="40"/>
              <w:jc w:val="left"/>
            </w:pPr>
            <w:r/>
          </w:p>
        </w:tc>
        <w:tc>
          <w:tcPr>
            <w:tcW w:type="dxa" w:w="1567"/>
          </w:tcPr>
          <w:p>
            <w:pPr>
              <w:spacing w:after="200" w:before="40"/>
              <w:jc w:val="left"/>
            </w:pPr>
            <w:r/>
          </w:p>
        </w:tc>
        <w:tc>
          <w:tcPr>
            <w:tcW w:type="dxa" w:w="1567"/>
          </w:tcPr>
          <w:p>
            <w:pPr>
              <w:spacing w:after="200" w:before="40"/>
              <w:jc w:val="left"/>
            </w:pPr>
            <w:r/>
          </w:p>
        </w:tc>
        <w:tc>
          <w:tcPr>
            <w:tcW w:type="dxa" w:w="1567"/>
          </w:tcPr>
          <w:p>
            <w:pPr>
              <w:spacing w:after="200" w:before="40"/>
              <w:jc w:val="left"/>
            </w:pPr>
            <w:r/>
          </w:p>
        </w:tc>
        <w:tc>
          <w:tcPr>
            <w:tcW w:type="dxa" w:w="1567"/>
          </w:tcPr>
          <w:p>
            <w:pPr>
              <w:spacing w:after="200" w:before="40"/>
              <w:jc w:val="left"/>
            </w:pPr>
            <w:r/>
          </w:p>
        </w:tc>
      </w:tr>
      <w:tr>
        <w:tc>
          <w:tcPr>
            <w:tcW w:type="dxa" w:w="1567"/>
          </w:tcPr>
          <w:p>
            <w:pPr>
              <w:spacing w:after="40" w:before="40"/>
              <w:jc w:val="left"/>
            </w:pPr>
            <w:r/>
          </w:p>
        </w:tc>
        <w:tc>
          <w:tcPr>
            <w:tcW w:type="dxa" w:w="1567"/>
          </w:tcPr>
          <w:p>
            <w:pPr>
              <w:spacing w:after="40" w:before="40"/>
              <w:jc w:val="left"/>
            </w:pPr>
            <w:r/>
          </w:p>
        </w:tc>
        <w:tc>
          <w:tcPr>
            <w:tcW w:type="dxa" w:w="1567"/>
          </w:tcPr>
          <w:p>
            <w:pPr>
              <w:spacing w:after="40" w:before="40"/>
              <w:jc w:val="left"/>
            </w:pPr>
            <w:r/>
          </w:p>
        </w:tc>
        <w:tc>
          <w:tcPr>
            <w:tcW w:type="dxa" w:w="1567"/>
          </w:tcPr>
          <w:p>
            <w:pPr>
              <w:spacing w:after="40" w:before="40"/>
              <w:jc w:val="left"/>
            </w:pPr>
            <w:r/>
          </w:p>
        </w:tc>
        <w:tc>
          <w:tcPr>
            <w:tcW w:type="dxa" w:w="1567"/>
          </w:tcPr>
          <w:p>
            <w:pPr>
              <w:spacing w:after="40" w:before="40"/>
              <w:jc w:val="left"/>
            </w:pPr>
            <w:r/>
          </w:p>
        </w:tc>
        <w:tc>
          <w:tcPr>
            <w:tcW w:type="dxa" w:w="1567"/>
          </w:tcPr>
          <w:p>
            <w:pPr>
              <w:spacing w:after="40" w:before="40"/>
              <w:jc w:val="left"/>
            </w:pPr>
            <w:r/>
            <w:r>
              <w:rPr>
                <w:rFonts w:ascii="Arial" w:hAnsi="Arial"/>
                <w:b/>
                <w:i w:val="0"/>
                <w:sz w:val="17"/>
              </w:rPr>
              <w:t>Total:</w:t>
            </w:r>
          </w:p>
        </w:tc>
      </w:tr>
    </w:tbl>
    <w:p>
      <w:pPr>
        <w:spacing w:after="80"/>
      </w:pPr>
    </w:p>
    <w:p>
      <w:pPr>
        <w:keepNext w:val="0"/>
        <w:spacing w:before="0" w:after="120"/>
        <w:jc w:val="both"/>
      </w:pPr>
      <w:r>
        <w:rPr>
          <w:rFonts w:ascii="Arial" w:hAnsi="Arial"/>
          <w:b w:val="0"/>
          <w:i w:val="0"/>
          <w:sz w:val="20"/>
        </w:rPr>
        <w:t>Data da devolução e novo boleto nº (se houver): [●] · Conferência por: [●]</w:t>
      </w:r>
    </w:p>
    <w:sectPr>
      <w:headerReference r:id="rId6" w:type="default"/>
      <w:headerReference r:id="rId7" w:type="first"/>
      <w:footerReference r:id="rId8" w:type="default"/>
      <w:footerReference r:id="rId9" w:type="first"/>
      <w:pgSz w:h="15840" w:w="12240" w:orient="portrait"/>
      <w:pgMar w:bottom="1417" w:top="1417" w:left="1701" w:right="1134" w:header="1133.8582677165355" w:footer="1133.8582677165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spacing w:line="240" w:lineRule="auto"/>
      <w:jc w:val="center"/>
      <w:rPr>
        <w:sz w:val="20"/>
        <w:szCs w:val="20"/>
      </w:rPr>
    </w:pPr>
    <w:r w:rsidDel="00000000" w:rsidR="00000000" w:rsidRPr="00000000">
      <w:rPr>
        <w:rtl w:val="0"/>
      </w:rPr>
    </w:r>
  </w:p>
  <w:p w:rsidR="00000000" w:rsidDel="00000000" w:rsidP="00000000" w:rsidRDefault="00000000" w:rsidRPr="00000000" w14:paraId="00000003">
    <w:pPr>
      <w:spacing w:line="240" w:lineRule="auto"/>
      <w:jc w:val="center"/>
      <w:rPr>
        <w:sz w:val="20"/>
        <w:szCs w:val="20"/>
      </w:rPr>
    </w:pPr>
    <w:r w:rsidDel="00000000" w:rsidR="00000000" w:rsidRPr="00000000">
      <w:rPr>
        <w:rtl w:val="0"/>
      </w:rPr>
    </w:r>
  </w:p>
  <w:p w:rsidR="00000000" w:rsidDel="00000000" w:rsidP="00000000" w:rsidRDefault="00000000" w:rsidRPr="00000000" w14:paraId="00000004">
    <w:pPr>
      <w:spacing w:line="240" w:lineRule="auto"/>
      <w:jc w:val="right"/>
      <w:rPr>
        <w:sz w:val="20"/>
        <w:szCs w:val="20"/>
      </w:rPr>
    </w:pPr>
    <w:r w:rsidDel="00000000" w:rsidR="00000000" w:rsidRPr="00000000">
      <w:rPr>
        <w:sz w:val="20"/>
        <w:szCs w:val="20"/>
        <w:rtl w:val="0"/>
      </w:rPr>
      <w:t xml:space="preserve">Dankah Brasil Indústria e Comércio LTDA</w:t>
    </w:r>
  </w:p>
  <w:p w:rsidR="00000000" w:rsidDel="00000000" w:rsidP="00000000" w:rsidRDefault="00000000" w:rsidRPr="00000000" w14:paraId="00000005">
    <w:pPr>
      <w:spacing w:line="240" w:lineRule="auto"/>
      <w:jc w:val="right"/>
      <w:rPr>
        <w:sz w:val="20"/>
        <w:szCs w:val="20"/>
      </w:rPr>
    </w:pPr>
    <w:r w:rsidDel="00000000" w:rsidR="00000000" w:rsidRPr="00000000">
      <w:rPr>
        <w:sz w:val="20"/>
        <w:szCs w:val="20"/>
        <w:rtl w:val="0"/>
      </w:rPr>
      <w:t xml:space="preserve">22.332.030/0001-38</w:t>
    </w:r>
  </w:p>
  <w:p w:rsidR="00000000" w:rsidDel="00000000" w:rsidP="00000000" w:rsidRDefault="00000000" w:rsidRPr="00000000" w14:paraId="00000006">
    <w:pPr>
      <w:spacing w:line="240" w:lineRule="auto"/>
      <w:jc w:val="right"/>
      <w:rPr>
        <w:sz w:val="20"/>
        <w:szCs w:val="20"/>
      </w:rPr>
    </w:pPr>
    <w:r w:rsidDel="00000000" w:rsidR="00000000" w:rsidRPr="00000000">
      <w:rPr>
        <w:sz w:val="20"/>
        <w:szCs w:val="20"/>
        <w:rtl w:val="0"/>
      </w:rPr>
      <w:t xml:space="preserve">Av. Angélica , 2503, cj 46, Consolação</w:t>
    </w:r>
  </w:p>
  <w:p w:rsidR="00000000" w:rsidDel="00000000" w:rsidP="00000000" w:rsidRDefault="00000000" w:rsidRPr="00000000" w14:paraId="00000007">
    <w:pPr>
      <w:spacing w:line="240" w:lineRule="auto"/>
      <w:jc w:val="right"/>
      <w:rPr>
        <w:sz w:val="20"/>
        <w:szCs w:val="20"/>
      </w:rPr>
    </w:pPr>
    <w:r w:rsidDel="00000000" w:rsidR="00000000" w:rsidRPr="00000000">
      <w:rPr>
        <w:sz w:val="20"/>
        <w:szCs w:val="20"/>
        <w:rtl w:val="0"/>
      </w:rPr>
      <w:t xml:space="preserve">São Paulo-SP</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pict>
        <v:shape id="WordPictureWatermark1" style="position:absolute;width:537.6750000000001pt;height:540.75pt;rotation:0;z-index:-503316481;mso-position-horizontal-relative:margin;mso-position-horizontal:absolute;margin-left:-37.05000000000004pt;mso-position-vertical-relative:margin;mso-position-vertical:absolute;margin-top:-20.208147760826776pt;" alt="" type="#_x0000_t75">
          <v:imagedata blacklevel="22938f" cropbottom="0f" cropleft="13804f" cropright="14262f" croptop="0f" gain="19661f" r:id="rId1" o:title="image3.png"/>
        </v:shape>
      </w:pict>
    </w:r>
    <w:r w:rsidDel="00000000" w:rsidR="00000000" w:rsidRPr="00000000">
      <w:rPr/>
      <w:drawing>
        <wp:inline distB="114300" distT="114300" distL="114300" distR="114300">
          <wp:extent cx="801053" cy="801053"/>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01053" cy="80105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200025</wp:posOffset>
          </wp:positionV>
          <wp:extent cx="1591628" cy="317057"/>
          <wp:effectExtent b="0" l="0" r="0" t="0"/>
          <wp:wrapNone/>
          <wp:docPr id="2"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591628" cy="31705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pict>
        <v:shape id="WordPictureWatermark2" style="position:absolute;width:470.25000000000006pt;height:264.3865300146413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eastAsia="Arial"/>
      <w:sz w:val="20"/>
    </w:rPr>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