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29"/>
        <w:jc w:val="both"/>
        <w:rPr>
          <w:rFonts w:ascii="Times New Roman" w:hAnsi="Times New Roman" w:cs="Times New Roman" w:eastAsia="Times New Roman"/>
          <w:sz w:val="44"/>
        </w:rPr>
      </w:pPr>
      <w:r>
        <w:rPr>
          <w:rFonts w:ascii="Times New Roman" w:hAnsi="Times New Roman" w:cs="Times New Roman" w:eastAsia="Times New Roman"/>
          <w:sz w:val="44"/>
        </w:rPr>
      </w:r>
      <w:r>
        <w:rPr>
          <w:rFonts w:ascii="Times New Roman" w:hAnsi="Times New Roman" w:cs="Times New Roman" w:eastAsia="Times New Roman"/>
          <w:sz w:val="44"/>
        </w:rPr>
        <w:t xml:space="preserve">Обмеження щодо відтворення придбаних творів</w:t>
      </w:r>
      <w:r>
        <w:rPr>
          <w:rFonts w:ascii="Times New Roman" w:hAnsi="Times New Roman" w:cs="Times New Roman" w:eastAsia="Times New Roman"/>
          <w:sz w:val="44"/>
        </w:rPr>
      </w:r>
      <w:r>
        <w:rPr>
          <w:rFonts w:ascii="Times New Roman" w:hAnsi="Times New Roman" w:cs="Times New Roman" w:eastAsia="Times New Roman"/>
          <w:sz w:val="44"/>
        </w:rPr>
      </w:r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Юрченко Богдана. ТВ-61 мп 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Із визначення термінів із закону :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відтворення - виготовлення одного або більше примірників твору або фонограми в будь-якій матеріальній формі. </w:t>
      </w:r>
      <w:r>
        <w:rPr>
          <w:rFonts w:ascii="Times New Roman" w:hAnsi="Times New Roman" w:cs="Times New Roman" w:eastAsia="Times New Roman"/>
          <w:sz w:val="28"/>
        </w:rPr>
        <w:t xml:space="preserve">Примірник - це результат будь-якого відтворення твору;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Із закону України </w:t>
      </w:r>
      <w:r>
        <w:rPr>
          <w:rFonts w:ascii="Times New Roman" w:hAnsi="Times New Roman" w:cs="Times New Roman" w:eastAsia="Times New Roman"/>
          <w:sz w:val="28"/>
        </w:rPr>
        <w:t xml:space="preserve">про авторське право і суміжні права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Стаття 25. Вільне відтворення творів у особистих цілях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1. Допускається без дозволу автора (чи іншої особи, яка має авторське право) і без виплати авторської винагороди відтворювати виключно в особистих цілях або для кола сім'ї попередньо правомірно оприлюднені твори, крім: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а) творів архітектури у формі будівель і споруд;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б) комп'ютерних програм, за винятком випадків, передбачених статтею 24 цього Закону;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в) репрографічного відтворення книг, нотних текстів і оригінальних творів образотворчого мистецтва, за винятком випадків, передбачених статтями 22 і 23 цього Закону;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2. Твори і виконання, зафіксовані у фонограмах, відеограмах, їх примірниках, а також аудіовізуальні твори та їх примірники допускається відтворювати у домашніх умовах виключно в особистих цілях або для кола сім'ї без дозволу автора (авторів), виконавців, ви</w:t>
      </w:r>
      <w:r>
        <w:rPr>
          <w:rFonts w:ascii="Times New Roman" w:hAnsi="Times New Roman" w:cs="Times New Roman" w:eastAsia="Times New Roman"/>
          <w:sz w:val="28"/>
        </w:rPr>
        <w:t xml:space="preserve">робників фонограм, виробників відеограм, але з виплатою їм винагороди. Особливості виплати винагороди у цьому випадку визначені статтею 42 цього Закону.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Відповідальність за незаконне відтворення творів, тобто створення примірників визначена у кримінальному кодексі України: </w:t>
      </w:r>
      <w:r>
        <w:rPr>
          <w:rFonts w:ascii="Times New Roman" w:hAnsi="Times New Roman" w:cs="Times New Roman" w:eastAsia="Times New Roman"/>
          <w:sz w:val="28"/>
        </w:rPr>
        <w:t xml:space="preserve">Стаття 176. “Порушення авторського права і суміжних прав”.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Загалом карається від 200 до 1000 неоподаткованих мінімумів доходів громадян в найпростішому випадку і від 2000 до 3000 неоподаткованих мінімумів доходів громадян або позбавленням волі від 3 до 6 років у найгіршому.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1. Незаконне відтворення, розповсюдження творів науки, літератури і мистецтва, комп’ютерних програм і баз даних, а так само незаконне відтворення, розповсюдження виконань, фонограм, відеограм і програм мовлення, їх незаконне тиражування та розповсюдження на</w:t>
      </w:r>
      <w:r>
        <w:rPr>
          <w:rFonts w:ascii="Times New Roman" w:hAnsi="Times New Roman" w:cs="Times New Roman" w:eastAsia="Times New Roman"/>
          <w:sz w:val="28"/>
        </w:rPr>
        <w:t xml:space="preserve"> аудіо- та відеокасетах, дискетах, інших носіях інформації, камкординг, кардшейрінг або інше умисне порушення авторського права і суміжних прав, а також фінансування таких дій, якщо це завдало матеріальної шкоди у значному розмірі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караються штрафом від двохсот до тисячі неоподатковуваних мінімумів доходів громадян або виправними роботами на строк до двох років, або позбавленням волі на той самий строк.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2. Ті самі дії, якщо вони вчинені повторно, або за попередньою змовою групою осіб, або завдали матеріальної шкоди у великому розмірі </w:t>
      </w:r>
      <w:r>
        <w:rPr>
          <w:rFonts w:ascii="Times New Roman" w:hAnsi="Times New Roman" w:cs="Times New Roman" w:eastAsia="Times New Roman"/>
          <w:sz w:val="28"/>
        </w:rPr>
        <w:t xml:space="preserve">караються штрафом від тисячі до двох тисяч неоподатковуваних мінімумів доходів громадян або виправними роботами на строк до двох років, або позбавленням волі на строк від двох до п'яти років.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</w:pPr>
      <w:r>
        <w:rPr>
          <w:rFonts w:ascii="Times New Roman" w:hAnsi="Times New Roman" w:cs="Times New Roman" w:eastAsia="Times New Roman"/>
          <w:sz w:val="28"/>
        </w:rPr>
        <w:t xml:space="preserve">3. Дії, передбачені частинами першою або другою цієї статті, вчинені службовою особою з використанням службового становища або організованою групою, або якщо вони завдали матеріальної шкоди в особливо великому розмірі, </w:t>
      </w:r>
      <w:r>
        <w:rPr>
          <w:rFonts w:ascii="Times New Roman" w:hAnsi="Times New Roman" w:cs="Times New Roman" w:eastAsia="Times New Roman"/>
          <w:sz w:val="28"/>
        </w:rPr>
        <w:t xml:space="preserve">караються штрафом від двох тисяч до трьох тисяч неоподатковуваних мінімумів доходів громадян або позбавленням волі на строк від трьох до шести років, з позбавленням права обіймати певні посади чи займатися певною діяльністю на строк до трьох років або без т</w:t>
      </w:r>
      <w:r>
        <w:rPr>
          <w:rFonts w:ascii="Times New Roman" w:hAnsi="Times New Roman" w:cs="Times New Roman" w:eastAsia="Times New Roman"/>
          <w:sz w:val="28"/>
        </w:rPr>
        <w:t xml:space="preserve">акого.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2020-10-18T21:45:43Z</dcterms:modified>
</cp:coreProperties>
</file>