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pPr>
      <w:r>
        <w:rPr>
          <w:rFonts w:ascii="Calibri" w:hAnsi="Calibri"/>
          <w:b/>
          <w:color w:val="1E3A8A"/>
          <w:sz w:val="22"/>
        </w:rPr>
        <w:t>CYBERSECURITY ASSESSMENT &amp; PENETRATION TESTING REPORT</w:t>
      </w:r>
    </w:p>
    <w:p>
      <w:pPr>
        <w:spacing w:after="160"/>
      </w:pPr>
      <w:r>
        <w:rPr>
          <w:rFonts w:ascii="Calibri" w:hAnsi="Calibri"/>
          <w:b/>
          <w:color w:val="0F172A"/>
          <w:sz w:val="52"/>
        </w:rPr>
        <w:t>E-Commerce Gateway &amp; Auth Audit</w:t>
      </w:r>
    </w:p>
    <w:p>
      <w:pPr>
        <w:spacing w:after="1600"/>
      </w:pPr>
      <w:r>
        <w:rPr>
          <w:rFonts w:ascii="Calibri" w:hAnsi="Calibri"/>
          <w:color w:val="64748B"/>
          <w:sz w:val="26"/>
        </w:rPr>
        <w:t>Vulnerability Assessment &amp; Penetration Testing (VAPT) Findings &amp; Remediation Roadmap</w:t>
      </w:r>
    </w:p>
    <w:tbl>
      <w:tblPr>
        <w:tblW w:type="auto" w:w="0"/>
        <w:jc w:val="left"/>
        <w:tblLayout w:type="fixed"/>
        <w:tblLook w:firstColumn="1" w:firstRow="1" w:lastColumn="0" w:lastRow="0" w:noHBand="0" w:noVBand="1" w:val="04A0"/>
      </w:tblPr>
      <w:tblGrid>
        <w:gridCol w:w="4680"/>
        <w:gridCol w:w="4680"/>
      </w:tblGrid>
      <w:tr>
        <w:tc>
          <w:tcPr>
            <w:tcW w:type="dxa" w:w="3168"/>
            <w:tcMar>
              <w:top w:w="60" w:type="dxa"/>
              <w:bottom w:w="60" w:type="dxa"/>
              <w:left w:w="60" w:type="dxa"/>
              <w:right w:w="60" w:type="dxa"/>
            </w:tcMar>
          </w:tcPr>
          <w:p>
            <w:r>
              <w:rPr>
                <w:rFonts w:ascii="Calibri" w:hAnsi="Calibri"/>
                <w:b/>
                <w:color w:val="1E3A8A"/>
                <w:sz w:val="20"/>
              </w:rPr>
              <w:t>Target URL / Host:</w:t>
            </w:r>
          </w:p>
        </w:tc>
        <w:tc>
          <w:tcPr>
            <w:tcW w:type="dxa" w:w="6192"/>
            <w:tcMar>
              <w:top w:w="60" w:type="dxa"/>
              <w:bottom w:w="60" w:type="dxa"/>
              <w:left w:w="60" w:type="dxa"/>
              <w:right w:w="60" w:type="dxa"/>
            </w:tcMar>
          </w:tcPr>
          <w:p>
            <w:r>
              <w:rPr>
                <w:rFonts w:ascii="Calibri" w:hAnsi="Calibri"/>
                <w:sz w:val="20"/>
              </w:rPr>
              <w:t>https://shop.tracegate.lab</w:t>
            </w:r>
          </w:p>
        </w:tc>
      </w:tr>
      <w:tr>
        <w:tc>
          <w:tcPr>
            <w:tcW w:type="dxa" w:w="3168"/>
            <w:tcMar>
              <w:top w:w="60" w:type="dxa"/>
              <w:bottom w:w="60" w:type="dxa"/>
              <w:left w:w="60" w:type="dxa"/>
              <w:right w:w="60" w:type="dxa"/>
            </w:tcMar>
          </w:tcPr>
          <w:p>
            <w:r>
              <w:rPr>
                <w:rFonts w:ascii="Calibri" w:hAnsi="Calibri"/>
                <w:b/>
                <w:color w:val="1E3A8A"/>
                <w:sz w:val="20"/>
              </w:rPr>
              <w:t>Environment:</w:t>
            </w:r>
          </w:p>
        </w:tc>
        <w:tc>
          <w:tcPr>
            <w:tcW w:type="dxa" w:w="6192"/>
            <w:tcMar>
              <w:top w:w="60" w:type="dxa"/>
              <w:bottom w:w="60" w:type="dxa"/>
              <w:left w:w="60" w:type="dxa"/>
              <w:right w:w="60" w:type="dxa"/>
            </w:tcMar>
          </w:tcPr>
          <w:p>
            <w:r>
              <w:rPr>
                <w:rFonts w:ascii="Calibri" w:hAnsi="Calibri"/>
                <w:sz w:val="20"/>
              </w:rPr>
              <w:t>Web Application (Staging)</w:t>
            </w:r>
          </w:p>
        </w:tc>
      </w:tr>
      <w:tr>
        <w:tc>
          <w:tcPr>
            <w:tcW w:type="dxa" w:w="3168"/>
            <w:tcMar>
              <w:top w:w="60" w:type="dxa"/>
              <w:bottom w:w="60" w:type="dxa"/>
              <w:left w:w="60" w:type="dxa"/>
              <w:right w:w="60" w:type="dxa"/>
            </w:tcMar>
          </w:tcPr>
          <w:p>
            <w:r>
              <w:rPr>
                <w:rFonts w:ascii="Calibri" w:hAnsi="Calibri"/>
                <w:b/>
                <w:color w:val="1E3A8A"/>
                <w:sz w:val="20"/>
              </w:rPr>
              <w:t>Assessment Methodology:</w:t>
            </w:r>
          </w:p>
        </w:tc>
        <w:tc>
          <w:tcPr>
            <w:tcW w:type="dxa" w:w="6192"/>
            <w:tcMar>
              <w:top w:w="60" w:type="dxa"/>
              <w:bottom w:w="60" w:type="dxa"/>
              <w:left w:w="60" w:type="dxa"/>
              <w:right w:w="60" w:type="dxa"/>
            </w:tcMar>
          </w:tcPr>
          <w:p>
            <w:r>
              <w:rPr>
                <w:rFonts w:ascii="Calibri" w:hAnsi="Calibri"/>
                <w:sz w:val="20"/>
              </w:rPr>
              <w:t>OWASP Web Security Testing Guide (WSTG v4.2) &amp; PTES</w:t>
            </w:r>
          </w:p>
        </w:tc>
      </w:tr>
      <w:tr>
        <w:tc>
          <w:tcPr>
            <w:tcW w:type="dxa" w:w="3168"/>
            <w:tcMar>
              <w:top w:w="60" w:type="dxa"/>
              <w:bottom w:w="60" w:type="dxa"/>
              <w:left w:w="60" w:type="dxa"/>
              <w:right w:w="60" w:type="dxa"/>
            </w:tcMar>
          </w:tcPr>
          <w:p>
            <w:r>
              <w:rPr>
                <w:rFonts w:ascii="Calibri" w:hAnsi="Calibri"/>
                <w:b/>
                <w:color w:val="1E3A8A"/>
                <w:sz w:val="20"/>
              </w:rPr>
              <w:t>Assessment Date:</w:t>
            </w:r>
          </w:p>
        </w:tc>
        <w:tc>
          <w:tcPr>
            <w:tcW w:type="dxa" w:w="6192"/>
            <w:tcMar>
              <w:top w:w="60" w:type="dxa"/>
              <w:bottom w:w="60" w:type="dxa"/>
              <w:left w:w="60" w:type="dxa"/>
              <w:right w:w="60" w:type="dxa"/>
            </w:tcMar>
          </w:tcPr>
          <w:p>
            <w:r>
              <w:rPr>
                <w:rFonts w:ascii="Calibri" w:hAnsi="Calibri"/>
                <w:sz w:val="20"/>
              </w:rPr>
              <w:t>September 05, 2026</w:t>
            </w:r>
          </w:p>
        </w:tc>
      </w:tr>
      <w:tr>
        <w:tc>
          <w:tcPr>
            <w:tcW w:type="dxa" w:w="3168"/>
            <w:tcMar>
              <w:top w:w="60" w:type="dxa"/>
              <w:bottom w:w="60" w:type="dxa"/>
              <w:left w:w="60" w:type="dxa"/>
              <w:right w:w="60" w:type="dxa"/>
            </w:tcMar>
          </w:tcPr>
          <w:p>
            <w:r>
              <w:rPr>
                <w:rFonts w:ascii="Calibri" w:hAnsi="Calibri"/>
                <w:b/>
                <w:color w:val="1E3A8A"/>
                <w:sz w:val="20"/>
              </w:rPr>
              <w:t>Document Version:</w:t>
            </w:r>
          </w:p>
        </w:tc>
        <w:tc>
          <w:tcPr>
            <w:tcW w:type="dxa" w:w="6192"/>
            <w:tcMar>
              <w:top w:w="60" w:type="dxa"/>
              <w:bottom w:w="60" w:type="dxa"/>
              <w:left w:w="60" w:type="dxa"/>
              <w:right w:w="60" w:type="dxa"/>
            </w:tcMar>
          </w:tcPr>
          <w:p>
            <w:r>
              <w:rPr>
                <w:rFonts w:ascii="Calibri" w:hAnsi="Calibri"/>
                <w:sz w:val="20"/>
              </w:rPr>
              <w:t>v1.0</w:t>
            </w:r>
          </w:p>
        </w:tc>
      </w:tr>
      <w:tr>
        <w:tc>
          <w:tcPr>
            <w:tcW w:type="dxa" w:w="3168"/>
            <w:tcMar>
              <w:top w:w="60" w:type="dxa"/>
              <w:bottom w:w="60" w:type="dxa"/>
              <w:left w:w="60" w:type="dxa"/>
              <w:right w:w="60" w:type="dxa"/>
            </w:tcMar>
          </w:tcPr>
          <w:p>
            <w:r>
              <w:rPr>
                <w:rFonts w:ascii="Calibri" w:hAnsi="Calibri"/>
                <w:b/>
                <w:color w:val="1E3A8A"/>
                <w:sz w:val="20"/>
              </w:rPr>
              <w:t>Lead Security Assessor:</w:t>
            </w:r>
          </w:p>
        </w:tc>
        <w:tc>
          <w:tcPr>
            <w:tcW w:type="dxa" w:w="6192"/>
            <w:tcMar>
              <w:top w:w="60" w:type="dxa"/>
              <w:bottom w:w="60" w:type="dxa"/>
              <w:left w:w="60" w:type="dxa"/>
              <w:right w:w="60" w:type="dxa"/>
            </w:tcMar>
          </w:tcPr>
          <w:p>
            <w:r>
              <w:rPr>
                <w:rFonts w:ascii="Calibri" w:hAnsi="Calibri"/>
                <w:sz w:val="20"/>
              </w:rPr>
              <w:t>undefined</w:t>
            </w:r>
          </w:p>
        </w:tc>
      </w:tr>
      <w:tr>
        <w:tc>
          <w:tcPr>
            <w:tcW w:type="dxa" w:w="3168"/>
            <w:tcMar>
              <w:top w:w="60" w:type="dxa"/>
              <w:bottom w:w="60" w:type="dxa"/>
              <w:left w:w="60" w:type="dxa"/>
              <w:right w:w="60" w:type="dxa"/>
            </w:tcMar>
          </w:tcPr>
          <w:p>
            <w:r>
              <w:rPr>
                <w:rFonts w:ascii="Calibri" w:hAnsi="Calibri"/>
                <w:b/>
                <w:color w:val="1E3A8A"/>
                <w:sz w:val="20"/>
              </w:rPr>
              <w:t>Classification:</w:t>
            </w:r>
          </w:p>
        </w:tc>
        <w:tc>
          <w:tcPr>
            <w:tcW w:type="dxa" w:w="6192"/>
            <w:tcMar>
              <w:top w:w="60" w:type="dxa"/>
              <w:bottom w:w="60" w:type="dxa"/>
              <w:left w:w="60" w:type="dxa"/>
              <w:right w:w="60" w:type="dxa"/>
            </w:tcMar>
          </w:tcPr>
          <w:p>
            <w:r>
              <w:rPr>
                <w:rFonts w:ascii="Calibri" w:hAnsi="Calibri"/>
                <w:b/>
                <w:color w:val="B91C1C"/>
                <w:sz w:val="20"/>
              </w:rPr>
              <w:t>CONFIDENTIAL / STRICTLY PROPRIETARY</w:t>
            </w:r>
          </w:p>
        </w:tc>
      </w:tr>
    </w:tbl>
    <w:p>
      <w:r>
        <w:br w:type="page"/>
      </w:r>
    </w:p>
    <w:p>
      <w:pPr>
        <w:pStyle w:val="Heading1"/>
        <w:keepNext/>
        <w:spacing w:before="280" w:after="120"/>
      </w:pPr>
      <w:r>
        <w:rPr>
          <w:rFonts w:ascii="Calibri" w:hAnsi="Calibri"/>
          <w:b/>
          <w:color w:val="1E3A8A"/>
          <w:sz w:val="32"/>
        </w:rPr>
        <w:t>Document Control &amp; Version History</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00" w:type="dxa"/>
              <w:bottom w:w="100" w:type="dxa"/>
              <w:left w:w="100" w:type="dxa"/>
              <w:right w:w="100" w:type="dxa"/>
            </w:tcMar>
          </w:tcPr>
          <w:p>
            <w:r>
              <w:rPr>
                <w:rFonts w:ascii="Calibri" w:hAnsi="Calibri"/>
                <w:b/>
                <w:color w:val="FFFFFF"/>
                <w:sz w:val="19"/>
              </w:rPr>
              <w:t>Version</w:t>
            </w:r>
          </w:p>
        </w:tc>
        <w:tc>
          <w:tcPr>
            <w:tcW w:type="dxa" w:w="2160"/>
            <w:shd w:fill="1E3A8A"/>
            <w:tcMar>
              <w:top w:w="100" w:type="dxa"/>
              <w:bottom w:w="100" w:type="dxa"/>
              <w:left w:w="100" w:type="dxa"/>
              <w:right w:w="100" w:type="dxa"/>
            </w:tcMar>
          </w:tcPr>
          <w:p>
            <w:r>
              <w:rPr>
                <w:rFonts w:ascii="Calibri" w:hAnsi="Calibri"/>
                <w:b/>
                <w:color w:val="FFFFFF"/>
                <w:sz w:val="19"/>
              </w:rPr>
              <w:t>Date</w:t>
            </w:r>
          </w:p>
        </w:tc>
        <w:tc>
          <w:tcPr>
            <w:tcW w:type="dxa" w:w="2592"/>
            <w:shd w:fill="1E3A8A"/>
            <w:tcMar>
              <w:top w:w="100" w:type="dxa"/>
              <w:bottom w:w="100" w:type="dxa"/>
              <w:left w:w="100" w:type="dxa"/>
              <w:right w:w="100" w:type="dxa"/>
            </w:tcMar>
          </w:tcPr>
          <w:p>
            <w:r>
              <w:rPr>
                <w:rFonts w:ascii="Calibri" w:hAnsi="Calibri"/>
                <w:b/>
                <w:color w:val="FFFFFF"/>
                <w:sz w:val="19"/>
              </w:rPr>
              <w:t>Author</w:t>
            </w:r>
          </w:p>
        </w:tc>
        <w:tc>
          <w:tcPr>
            <w:tcW w:type="dxa" w:w="3168"/>
            <w:shd w:fill="1E3A8A"/>
            <w:tcMar>
              <w:top w:w="100" w:type="dxa"/>
              <w:bottom w:w="100" w:type="dxa"/>
              <w:left w:w="100" w:type="dxa"/>
              <w:right w:w="100" w:type="dxa"/>
            </w:tcMar>
          </w:tcPr>
          <w:p>
            <w:r>
              <w:rPr>
                <w:rFonts w:ascii="Calibri" w:hAnsi="Calibri"/>
                <w:b/>
                <w:color w:val="FFFFFF"/>
                <w:sz w:val="19"/>
              </w:rPr>
              <w:t>Change Summary</w:t>
            </w:r>
          </w:p>
        </w:tc>
      </w:tr>
      <w:tr>
        <w:tc>
          <w:tcPr>
            <w:tcW w:type="dxa" w:w="1440"/>
            <w:tcMar>
              <w:top w:w="80" w:type="dxa"/>
              <w:bottom w:w="80" w:type="dxa"/>
              <w:left w:w="100" w:type="dxa"/>
              <w:right w:w="100" w:type="dxa"/>
            </w:tcMar>
          </w:tcPr>
          <w:p>
            <w:r>
              <w:rPr>
                <w:rFonts w:ascii="Calibri" w:hAnsi="Calibri"/>
                <w:sz w:val="18"/>
              </w:rPr>
              <w:t>v1.0</w:t>
            </w:r>
          </w:p>
        </w:tc>
        <w:tc>
          <w:tcPr>
            <w:tcW w:type="dxa" w:w="2160"/>
            <w:tcMar>
              <w:top w:w="80" w:type="dxa"/>
              <w:bottom w:w="80" w:type="dxa"/>
              <w:left w:w="100" w:type="dxa"/>
              <w:right w:w="100" w:type="dxa"/>
            </w:tcMar>
          </w:tcPr>
          <w:p>
            <w:r>
              <w:rPr>
                <w:rFonts w:ascii="Calibri" w:hAnsi="Calibri"/>
                <w:sz w:val="18"/>
              </w:rPr>
              <w:t>2026-09-05</w:t>
            </w:r>
          </w:p>
        </w:tc>
        <w:tc>
          <w:tcPr>
            <w:tcW w:type="dxa" w:w="2592"/>
            <w:tcMar>
              <w:top w:w="80" w:type="dxa"/>
              <w:bottom w:w="80" w:type="dxa"/>
              <w:left w:w="100" w:type="dxa"/>
              <w:right w:w="100" w:type="dxa"/>
            </w:tcMar>
          </w:tcPr>
          <w:p>
            <w:r>
              <w:rPr>
                <w:rFonts w:ascii="Calibri" w:hAnsi="Calibri"/>
                <w:sz w:val="18"/>
              </w:rPr>
              <w:t>undefined</w:t>
            </w:r>
          </w:p>
        </w:tc>
        <w:tc>
          <w:tcPr>
            <w:tcW w:type="dxa" w:w="3168"/>
            <w:tcMar>
              <w:top w:w="80" w:type="dxa"/>
              <w:bottom w:w="80" w:type="dxa"/>
              <w:left w:w="100" w:type="dxa"/>
              <w:right w:w="100" w:type="dxa"/>
            </w:tcMar>
          </w:tcPr>
          <w:p>
            <w:r>
              <w:rPr>
                <w:rFonts w:ascii="Calibri" w:hAnsi="Calibri"/>
                <w:sz w:val="18"/>
              </w:rPr>
              <w:t>Compiled VAPT Report with 7 verified finding(s)</w:t>
            </w:r>
          </w:p>
        </w:tc>
      </w:tr>
    </w:tbl>
    <w:p>
      <w:r>
        <w:br w:type="page"/>
      </w:r>
    </w:p>
    <w:p>
      <w:pPr>
        <w:pStyle w:val="Heading1"/>
        <w:keepNext/>
        <w:spacing w:before="280" w:after="120"/>
      </w:pPr>
      <w:r>
        <w:rPr>
          <w:rFonts w:ascii="Calibri" w:hAnsi="Calibri"/>
          <w:b/>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Mar>
              <w:top w:w="50" w:type="dxa"/>
              <w:bottom w:w="50" w:type="dxa"/>
              <w:left w:w="40" w:type="dxa"/>
              <w:right w:w="40" w:type="dxa"/>
            </w:tcMar>
          </w:tcPr>
          <w:p>
            <w:r>
              <w:rPr>
                <w:rFonts w:ascii="Calibri" w:hAnsi="Calibri"/>
                <w:b/>
                <w:color w:val="1E3A8A"/>
                <w:sz w:val="20"/>
              </w:rPr>
              <w:t>1. Executive Summary &amp; Findings Severity Matrix</w:t>
            </w:r>
          </w:p>
        </w:tc>
        <w:tc>
          <w:tcPr>
            <w:tcW w:type="dxa" w:w="1440"/>
            <w:tcMar>
              <w:top w:w="50" w:type="dxa"/>
              <w:bottom w:w="50" w:type="dxa"/>
              <w:left w:w="40" w:type="dxa"/>
              <w:right w:w="40" w:type="dxa"/>
            </w:tcMar>
          </w:tcPr>
          <w:p>
            <w:pPr>
              <w:jc w:val="right"/>
            </w:pPr>
            <w:r>
              <w:rPr>
                <w:rFonts w:ascii="Calibri" w:hAnsi="Calibri"/>
                <w:color w:val="64748B"/>
                <w:sz w:val="19"/>
              </w:rPr>
              <w:t>Section 1</w:t>
            </w:r>
          </w:p>
        </w:tc>
      </w:tr>
      <w:tr>
        <w:tc>
          <w:tcPr>
            <w:tcW w:type="dxa" w:w="7920"/>
            <w:tcMar>
              <w:top w:w="50" w:type="dxa"/>
              <w:bottom w:w="50" w:type="dxa"/>
              <w:left w:w="40" w:type="dxa"/>
              <w:right w:w="40" w:type="dxa"/>
            </w:tcMar>
          </w:tcPr>
          <w:p>
            <w:r>
              <w:rPr>
                <w:rFonts w:ascii="Calibri" w:hAnsi="Calibri"/>
                <w:b/>
                <w:color w:val="1E3A8A"/>
                <w:sz w:val="20"/>
              </w:rPr>
              <w:t>2. Assessment Scope &amp; Target Architecture</w:t>
            </w:r>
          </w:p>
        </w:tc>
        <w:tc>
          <w:tcPr>
            <w:tcW w:type="dxa" w:w="1440"/>
            <w:tcMar>
              <w:top w:w="50" w:type="dxa"/>
              <w:bottom w:w="50" w:type="dxa"/>
              <w:left w:w="40" w:type="dxa"/>
              <w:right w:w="40" w:type="dxa"/>
            </w:tcMar>
          </w:tcPr>
          <w:p>
            <w:pPr>
              <w:jc w:val="right"/>
            </w:pPr>
            <w:r>
              <w:rPr>
                <w:rFonts w:ascii="Calibri" w:hAnsi="Calibri"/>
                <w:color w:val="64748B"/>
                <w:sz w:val="19"/>
              </w:rPr>
              <w:t>Section 2</w:t>
            </w:r>
          </w:p>
        </w:tc>
      </w:tr>
      <w:tr>
        <w:tc>
          <w:tcPr>
            <w:tcW w:type="dxa" w:w="7920"/>
            <w:tcMar>
              <w:top w:w="50" w:type="dxa"/>
              <w:bottom w:w="50" w:type="dxa"/>
              <w:left w:w="40" w:type="dxa"/>
              <w:right w:w="40" w:type="dxa"/>
            </w:tcMar>
          </w:tcPr>
          <w:p>
            <w:r>
              <w:rPr>
                <w:rFonts w:ascii="Calibri" w:hAnsi="Calibri"/>
                <w:b/>
                <w:color w:val="1E3A8A"/>
                <w:sz w:val="20"/>
              </w:rPr>
              <w:t>3. Testing Methodology &amp; Security Standards</w:t>
            </w:r>
          </w:p>
        </w:tc>
        <w:tc>
          <w:tcPr>
            <w:tcW w:type="dxa" w:w="1440"/>
            <w:tcMar>
              <w:top w:w="50" w:type="dxa"/>
              <w:bottom w:w="50" w:type="dxa"/>
              <w:left w:w="40" w:type="dxa"/>
              <w:right w:w="40" w:type="dxa"/>
            </w:tcMar>
          </w:tcPr>
          <w:p>
            <w:pPr>
              <w:jc w:val="right"/>
            </w:pPr>
            <w:r>
              <w:rPr>
                <w:rFonts w:ascii="Calibri" w:hAnsi="Calibri"/>
                <w:color w:val="64748B"/>
                <w:sz w:val="19"/>
              </w:rPr>
              <w:t>Section 3</w:t>
            </w:r>
          </w:p>
        </w:tc>
      </w:tr>
      <w:tr>
        <w:tc>
          <w:tcPr>
            <w:tcW w:type="dxa" w:w="7920"/>
            <w:tcMar>
              <w:top w:w="50" w:type="dxa"/>
              <w:bottom w:w="50" w:type="dxa"/>
              <w:left w:w="40" w:type="dxa"/>
              <w:right w:w="40" w:type="dxa"/>
            </w:tcMar>
          </w:tcPr>
          <w:p>
            <w:r>
              <w:rPr>
                <w:rFonts w:ascii="Calibri" w:hAnsi="Calibri"/>
                <w:b/>
                <w:color w:val="1E3A8A"/>
                <w:sz w:val="20"/>
              </w:rPr>
              <w:t>4. Security Test Coverage &amp; Verification Matrix</w:t>
            </w:r>
          </w:p>
        </w:tc>
        <w:tc>
          <w:tcPr>
            <w:tcW w:type="dxa" w:w="1440"/>
            <w:tcMar>
              <w:top w:w="50" w:type="dxa"/>
              <w:bottom w:w="50" w:type="dxa"/>
              <w:left w:w="40" w:type="dxa"/>
              <w:right w:w="40" w:type="dxa"/>
            </w:tcMar>
          </w:tcPr>
          <w:p>
            <w:pPr>
              <w:jc w:val="right"/>
            </w:pPr>
            <w:r>
              <w:rPr>
                <w:rFonts w:ascii="Calibri" w:hAnsi="Calibri"/>
                <w:color w:val="64748B"/>
                <w:sz w:val="19"/>
              </w:rPr>
              <w:t>Section 4</w:t>
            </w:r>
          </w:p>
        </w:tc>
      </w:tr>
      <w:tr>
        <w:tc>
          <w:tcPr>
            <w:tcW w:type="dxa" w:w="7920"/>
            <w:tcMar>
              <w:top w:w="50" w:type="dxa"/>
              <w:bottom w:w="50" w:type="dxa"/>
              <w:left w:w="40" w:type="dxa"/>
              <w:right w:w="40" w:type="dxa"/>
            </w:tcMar>
          </w:tcPr>
          <w:p>
            <w:r>
              <w:rPr>
                <w:rFonts w:ascii="Calibri" w:hAnsi="Calibri"/>
                <w:b/>
                <w:color w:val="1E3A8A"/>
                <w:sz w:val="20"/>
              </w:rPr>
              <w:t>5. Summary of Confirmed Vulnerabilities</w:t>
            </w:r>
          </w:p>
        </w:tc>
        <w:tc>
          <w:tcPr>
            <w:tcW w:type="dxa" w:w="1440"/>
            <w:tcMar>
              <w:top w:w="50" w:type="dxa"/>
              <w:bottom w:w="50" w:type="dxa"/>
              <w:left w:w="40" w:type="dxa"/>
              <w:right w:w="40" w:type="dxa"/>
            </w:tcMar>
          </w:tcPr>
          <w:p>
            <w:pPr>
              <w:jc w:val="right"/>
            </w:pPr>
            <w:r>
              <w:rPr>
                <w:rFonts w:ascii="Calibri" w:hAnsi="Calibri"/>
                <w:color w:val="64748B"/>
                <w:sz w:val="19"/>
              </w:rPr>
              <w:t>Section 5</w:t>
            </w:r>
          </w:p>
        </w:tc>
      </w:tr>
      <w:tr>
        <w:tc>
          <w:tcPr>
            <w:tcW w:type="dxa" w:w="7920"/>
            <w:tcMar>
              <w:top w:w="50" w:type="dxa"/>
              <w:bottom w:w="50" w:type="dxa"/>
              <w:left w:w="40" w:type="dxa"/>
              <w:right w:w="40" w:type="dxa"/>
            </w:tcMar>
          </w:tcPr>
          <w:p>
            <w:r>
              <w:rPr>
                <w:rFonts w:ascii="Calibri" w:hAnsi="Calibri"/>
                <w:b/>
                <w:color w:val="1E3A8A"/>
                <w:sz w:val="20"/>
              </w:rPr>
              <w:t>6. Detailed Technical Findings &amp; Proof of Concept</w:t>
            </w:r>
          </w:p>
        </w:tc>
        <w:tc>
          <w:tcPr>
            <w:tcW w:type="dxa" w:w="1440"/>
            <w:tcMar>
              <w:top w:w="50" w:type="dxa"/>
              <w:bottom w:w="50" w:type="dxa"/>
              <w:left w:w="40" w:type="dxa"/>
              <w:right w:w="40" w:type="dxa"/>
            </w:tcMar>
          </w:tcPr>
          <w:p>
            <w:pPr>
              <w:jc w:val="right"/>
            </w:pPr>
            <w:r>
              <w:rPr>
                <w:rFonts w:ascii="Calibri" w:hAnsi="Calibri"/>
                <w:color w:val="64748B"/>
                <w:sz w:val="19"/>
              </w:rPr>
              <w:t>Section 6</w:t>
            </w:r>
          </w:p>
        </w:tc>
      </w:tr>
      <w:tr>
        <w:tc>
          <w:tcPr>
            <w:tcW w:type="dxa" w:w="7920"/>
            <w:tcMar>
              <w:top w:w="50" w:type="dxa"/>
              <w:bottom w:w="50" w:type="dxa"/>
              <w:left w:w="40" w:type="dxa"/>
              <w:right w:w="40" w:type="dxa"/>
            </w:tcMar>
          </w:tcPr>
          <w:p>
            <w:r>
              <w:rPr>
                <w:rFonts w:ascii="Calibri" w:hAnsi="Calibri"/>
                <w:b/>
                <w:color w:val="1E3A8A"/>
                <w:sz w:val="20"/>
              </w:rPr>
              <w:t>7. Prioritized Remediation Action Plan</w:t>
            </w:r>
          </w:p>
        </w:tc>
        <w:tc>
          <w:tcPr>
            <w:tcW w:type="dxa" w:w="1440"/>
            <w:tcMar>
              <w:top w:w="50" w:type="dxa"/>
              <w:bottom w:w="50" w:type="dxa"/>
              <w:left w:w="40" w:type="dxa"/>
              <w:right w:w="40" w:type="dxa"/>
            </w:tcMar>
          </w:tcPr>
          <w:p>
            <w:pPr>
              <w:jc w:val="right"/>
            </w:pPr>
            <w:r>
              <w:rPr>
                <w:rFonts w:ascii="Calibri" w:hAnsi="Calibri"/>
                <w:color w:val="64748B"/>
                <w:sz w:val="19"/>
              </w:rPr>
              <w:t>Section 7</w:t>
            </w:r>
          </w:p>
        </w:tc>
      </w:tr>
      <w:tr>
        <w:tc>
          <w:tcPr>
            <w:tcW w:type="dxa" w:w="7920"/>
            <w:tcMar>
              <w:top w:w="50" w:type="dxa"/>
              <w:bottom w:w="50" w:type="dxa"/>
              <w:left w:w="40" w:type="dxa"/>
              <w:right w:w="40" w:type="dxa"/>
            </w:tcMar>
          </w:tcPr>
          <w:p>
            <w:r>
              <w:rPr>
                <w:rFonts w:ascii="Calibri" w:hAnsi="Calibri"/>
                <w:b/>
                <w:color w:val="1E3A8A"/>
                <w:sz w:val="20"/>
              </w:rPr>
              <w:t>8. Assessment Conclusion &amp; Formal Sign-Off</w:t>
            </w:r>
          </w:p>
        </w:tc>
        <w:tc>
          <w:tcPr>
            <w:tcW w:type="dxa" w:w="1440"/>
            <w:tcMar>
              <w:top w:w="50" w:type="dxa"/>
              <w:bottom w:w="50" w:type="dxa"/>
              <w:left w:w="40" w:type="dxa"/>
              <w:right w:w="40" w:type="dxa"/>
            </w:tcMar>
          </w:tcPr>
          <w:p>
            <w:pPr>
              <w:jc w:val="right"/>
            </w:pPr>
            <w:r>
              <w:rPr>
                <w:rFonts w:ascii="Calibri" w:hAnsi="Calibri"/>
                <w:color w:val="64748B"/>
                <w:sz w:val="19"/>
              </w:rPr>
              <w:t>Section 8</w:t>
            </w:r>
          </w:p>
        </w:tc>
      </w:tr>
    </w:tbl>
    <w:p>
      <w:r>
        <w:br w:type="page"/>
      </w:r>
    </w:p>
    <w:p>
      <w:pPr>
        <w:pStyle w:val="Heading1"/>
        <w:keepNext/>
        <w:spacing w:before="280" w:after="120"/>
      </w:pPr>
      <w:r>
        <w:rPr>
          <w:rFonts w:ascii="Calibri" w:hAnsi="Calibri"/>
          <w:b/>
          <w:color w:val="1E3A8A"/>
          <w:sz w:val="32"/>
        </w:rPr>
        <w:t>1. Executive Summary</w:t>
      </w:r>
    </w:p>
    <w:p>
      <w:pPr>
        <w:spacing w:after="200"/>
      </w:pPr>
      <w:r>
        <w:t>Tracegate conducted an authorized Vulnerability Assessment and Penetration Testing (VAPT) evaluation against the target application 'E-Commerce Gateway &amp; Auth Audit' located at https://shop.tracegate.lab. The primary objective of this assessment was to identify security weaknesses, evaluate authentication and access control boundaries, assess input validation safeguards, and provide actionable technical remediation guidance to harden the target architecture against unauthorized exploitation.</w:t>
      </w:r>
    </w:p>
    <w:p>
      <w:r>
        <w:rPr>
          <w:b/>
        </w:rPr>
        <w:t xml:space="preserve">Executive Risk Rating: </w:t>
      </w:r>
      <w:r>
        <w:rPr>
          <w:b/>
          <w:color w:val="B91C1C"/>
        </w:rPr>
        <w:t>ELEVATED / CRITICAL</w:t>
      </w:r>
      <w:r>
        <w:t xml:space="preserve"> — The assessment identified 7 confirmed security findings within the tested scope, including 4 Critical, 2 High, 0 Medium, 1 Low, and 0 Informational severity issues.</w:t>
      </w:r>
    </w:p>
    <w:tbl>
      <w:tblPr>
        <w:tblW w:type="auto" w:w="0"/>
        <w:jc w:val="center"/>
        <w:tblLook w:firstColumn="1" w:firstRow="1" w:lastColumn="0" w:lastRow="0" w:noHBand="0" w:noVBand="1" w:val="04A0"/>
      </w:tblPr>
      <w:tblGrid>
        <w:gridCol w:w="3120"/>
        <w:gridCol w:w="3120"/>
        <w:gridCol w:w="3120"/>
      </w:tblGrid>
      <w:tr>
        <w:tc>
          <w:tcPr>
            <w:tcW w:type="dxa" w:w="2880"/>
            <w:shd w:fill="1E3A8A"/>
            <w:tcMar>
              <w:top w:w="100" w:type="dxa"/>
              <w:bottom w:w="100" w:type="dxa"/>
              <w:left w:w="100" w:type="dxa"/>
              <w:right w:w="100" w:type="dxa"/>
            </w:tcMar>
          </w:tcPr>
          <w:p>
            <w:r>
              <w:rPr>
                <w:rFonts w:ascii="Calibri" w:hAnsi="Calibri"/>
                <w:b/>
                <w:color w:val="FFFFFF"/>
                <w:sz w:val="19"/>
              </w:rPr>
              <w:t>Severity Level</w:t>
            </w:r>
          </w:p>
        </w:tc>
        <w:tc>
          <w:tcPr>
            <w:tcW w:type="dxa" w:w="2880"/>
            <w:shd w:fill="1E3A8A"/>
            <w:tcMar>
              <w:top w:w="100" w:type="dxa"/>
              <w:bottom w:w="100" w:type="dxa"/>
              <w:left w:w="100" w:type="dxa"/>
              <w:right w:w="100" w:type="dxa"/>
            </w:tcMar>
          </w:tcPr>
          <w:p>
            <w:r>
              <w:rPr>
                <w:rFonts w:ascii="Calibri" w:hAnsi="Calibri"/>
                <w:b/>
                <w:color w:val="FFFFFF"/>
                <w:sz w:val="19"/>
              </w:rPr>
              <w:t>Findings Identified</w:t>
            </w:r>
          </w:p>
        </w:tc>
        <w:tc>
          <w:tcPr>
            <w:tcW w:type="dxa" w:w="3600"/>
            <w:shd w:fill="1E3A8A"/>
            <w:tcMar>
              <w:top w:w="100" w:type="dxa"/>
              <w:bottom w:w="100" w:type="dxa"/>
              <w:left w:w="100" w:type="dxa"/>
              <w:right w:w="100" w:type="dxa"/>
            </w:tcMar>
          </w:tcPr>
          <w:p>
            <w:r>
              <w:rPr>
                <w:rFonts w:ascii="Calibri" w:hAnsi="Calibri"/>
                <w:b/>
                <w:color w:val="FFFFFF"/>
                <w:sz w:val="19"/>
              </w:rPr>
              <w:t>Recommended Remediation SLA</w:t>
            </w:r>
          </w:p>
        </w:tc>
      </w:tr>
      <w:tr>
        <w:tc>
          <w:tcPr>
            <w:tcW w:type="dxa" w:w="2880"/>
            <w:tcMar>
              <w:top w:w="80" w:type="dxa"/>
              <w:bottom w:w="80" w:type="dxa"/>
              <w:left w:w="100" w:type="dxa"/>
              <w:right w:w="100" w:type="dxa"/>
            </w:tcMar>
          </w:tcPr>
          <w:p>
            <w:r>
              <w:rPr>
                <w:rFonts w:ascii="Calibri" w:hAnsi="Calibri"/>
                <w:b/>
                <w:color w:val="B91C1C"/>
                <w:sz w:val="18"/>
              </w:rPr>
              <w:t>CRITICAL</w:t>
            </w:r>
          </w:p>
        </w:tc>
        <w:tc>
          <w:tcPr>
            <w:tcW w:type="dxa" w:w="2880"/>
            <w:tcMar>
              <w:top w:w="80" w:type="dxa"/>
              <w:bottom w:w="80" w:type="dxa"/>
              <w:left w:w="100" w:type="dxa"/>
              <w:right w:w="100" w:type="dxa"/>
            </w:tcMar>
          </w:tcPr>
          <w:p>
            <w:r>
              <w:rPr>
                <w:rFonts w:ascii="Calibri" w:hAnsi="Calibri"/>
                <w:b/>
                <w:sz w:val="18"/>
              </w:rPr>
              <w:t>4</w:t>
            </w:r>
          </w:p>
        </w:tc>
        <w:tc>
          <w:tcPr>
            <w:tcW w:type="dxa" w:w="3600"/>
            <w:tcMar>
              <w:top w:w="80" w:type="dxa"/>
              <w:bottom w:w="80" w:type="dxa"/>
              <w:left w:w="100" w:type="dxa"/>
              <w:right w:w="100" w:type="dxa"/>
            </w:tcMar>
          </w:tcPr>
          <w:p>
            <w:r>
              <w:rPr>
                <w:rFonts w:ascii="Calibri" w:hAnsi="Calibri"/>
                <w:sz w:val="18"/>
              </w:rPr>
              <w:t>Immediate (Within 24-48 Hours)</w:t>
            </w:r>
          </w:p>
        </w:tc>
      </w:tr>
      <w:tr>
        <w:tc>
          <w:tcPr>
            <w:tcW w:type="dxa" w:w="2880"/>
            <w:tcMar>
              <w:top w:w="80" w:type="dxa"/>
              <w:bottom w:w="80" w:type="dxa"/>
              <w:left w:w="100" w:type="dxa"/>
              <w:right w:w="100" w:type="dxa"/>
            </w:tcMar>
            <w:shd w:fill="F1F5F9"/>
          </w:tcPr>
          <w:p>
            <w:r>
              <w:rPr>
                <w:rFonts w:ascii="Calibri" w:hAnsi="Calibri"/>
                <w:b/>
                <w:color w:val="C2410C"/>
                <w:sz w:val="18"/>
              </w:rPr>
              <w:t>HIGH</w:t>
            </w:r>
          </w:p>
        </w:tc>
        <w:tc>
          <w:tcPr>
            <w:tcW w:type="dxa" w:w="2880"/>
            <w:tcMar>
              <w:top w:w="80" w:type="dxa"/>
              <w:bottom w:w="80" w:type="dxa"/>
              <w:left w:w="100" w:type="dxa"/>
              <w:right w:w="100" w:type="dxa"/>
            </w:tcMar>
            <w:shd w:fill="F1F5F9"/>
          </w:tcPr>
          <w:p>
            <w:r>
              <w:rPr>
                <w:rFonts w:ascii="Calibri" w:hAnsi="Calibri"/>
                <w:b/>
                <w:sz w:val="18"/>
              </w:rPr>
              <w:t>2</w:t>
            </w:r>
          </w:p>
        </w:tc>
        <w:tc>
          <w:tcPr>
            <w:tcW w:type="dxa" w:w="3600"/>
            <w:tcMar>
              <w:top w:w="80" w:type="dxa"/>
              <w:bottom w:w="80" w:type="dxa"/>
              <w:left w:w="100" w:type="dxa"/>
              <w:right w:w="100" w:type="dxa"/>
            </w:tcMar>
            <w:shd w:fill="F1F5F9"/>
          </w:tcPr>
          <w:p>
            <w:r>
              <w:rPr>
                <w:rFonts w:ascii="Calibri" w:hAnsi="Calibri"/>
                <w:sz w:val="18"/>
              </w:rPr>
              <w:t>Urgent (Within 7 Days)</w:t>
            </w:r>
          </w:p>
        </w:tc>
      </w:tr>
      <w:tr>
        <w:tc>
          <w:tcPr>
            <w:tcW w:type="dxa" w:w="2880"/>
            <w:tcMar>
              <w:top w:w="80" w:type="dxa"/>
              <w:bottom w:w="80" w:type="dxa"/>
              <w:left w:w="100" w:type="dxa"/>
              <w:right w:w="100" w:type="dxa"/>
            </w:tcMar>
          </w:tcPr>
          <w:p>
            <w:r>
              <w:rPr>
                <w:rFonts w:ascii="Calibri" w:hAnsi="Calibri"/>
                <w:b/>
                <w:color w:val="B45309"/>
                <w:sz w:val="18"/>
              </w:rPr>
              <w:t>MEDIUM</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Moderate (Within 30 Days)</w:t>
            </w:r>
          </w:p>
        </w:tc>
      </w:tr>
      <w:tr>
        <w:tc>
          <w:tcPr>
            <w:tcW w:type="dxa" w:w="2880"/>
            <w:tcMar>
              <w:top w:w="80" w:type="dxa"/>
              <w:bottom w:w="80" w:type="dxa"/>
              <w:left w:w="100" w:type="dxa"/>
              <w:right w:w="100" w:type="dxa"/>
            </w:tcMar>
            <w:shd w:fill="F1F5F9"/>
          </w:tcPr>
          <w:p>
            <w:r>
              <w:rPr>
                <w:rFonts w:ascii="Calibri" w:hAnsi="Calibri"/>
                <w:b/>
                <w:color w:val="047857"/>
                <w:sz w:val="18"/>
              </w:rPr>
              <w:t>LOW</w:t>
            </w:r>
          </w:p>
        </w:tc>
        <w:tc>
          <w:tcPr>
            <w:tcW w:type="dxa" w:w="2880"/>
            <w:tcMar>
              <w:top w:w="80" w:type="dxa"/>
              <w:bottom w:w="80" w:type="dxa"/>
              <w:left w:w="100" w:type="dxa"/>
              <w:right w:w="100" w:type="dxa"/>
            </w:tcMar>
            <w:shd w:fill="F1F5F9"/>
          </w:tcPr>
          <w:p>
            <w:r>
              <w:rPr>
                <w:rFonts w:ascii="Calibri" w:hAnsi="Calibri"/>
                <w:b/>
                <w:sz w:val="18"/>
              </w:rPr>
              <w:t>1</w:t>
            </w:r>
          </w:p>
        </w:tc>
        <w:tc>
          <w:tcPr>
            <w:tcW w:type="dxa" w:w="3600"/>
            <w:tcMar>
              <w:top w:w="80" w:type="dxa"/>
              <w:bottom w:w="80" w:type="dxa"/>
              <w:left w:w="100" w:type="dxa"/>
              <w:right w:w="100" w:type="dxa"/>
            </w:tcMar>
            <w:shd w:fill="F1F5F9"/>
          </w:tcPr>
          <w:p>
            <w:r>
              <w:rPr>
                <w:rFonts w:ascii="Calibri" w:hAnsi="Calibri"/>
                <w:sz w:val="18"/>
              </w:rPr>
              <w:t>Standard (Within 90 Days)</w:t>
            </w:r>
          </w:p>
        </w:tc>
      </w:tr>
      <w:tr>
        <w:tc>
          <w:tcPr>
            <w:tcW w:type="dxa" w:w="2880"/>
            <w:tcMar>
              <w:top w:w="80" w:type="dxa"/>
              <w:bottom w:w="80" w:type="dxa"/>
              <w:left w:w="100" w:type="dxa"/>
              <w:right w:w="100" w:type="dxa"/>
            </w:tcMar>
          </w:tcPr>
          <w:p>
            <w:r>
              <w:rPr>
                <w:rFonts w:ascii="Calibri" w:hAnsi="Calibri"/>
                <w:b/>
                <w:color w:val="0284C7"/>
                <w:sz w:val="18"/>
              </w:rPr>
              <w:t>INFORMATIONAL</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Best Practice / Discretionary</w:t>
            </w:r>
          </w:p>
        </w:tc>
      </w:tr>
    </w:tbl>
    <w:p>
      <w:pPr>
        <w:pStyle w:val="Heading1"/>
        <w:keepNext/>
        <w:spacing w:before="280" w:after="120"/>
      </w:pPr>
      <w:r>
        <w:rPr>
          <w:rFonts w:ascii="Calibri" w:hAnsi="Calibri"/>
          <w:b/>
          <w:color w:val="1E3A8A"/>
          <w:sz w:val="32"/>
        </w:rPr>
        <w:t>2. Assessment Scope &amp; Target Architecture</w:t>
      </w:r>
    </w:p>
    <w:p>
      <w:r>
        <w:t>The testing activities were conducted strictly within the bounds authorized by the project scope:</w:t>
        <w:br/>
        <w:t>• Target URL: https://shop.tracegate.lab</w:t>
        <w:br/>
        <w:t>• Environment: Web Application (Staging)</w:t>
        <w:br/>
        <w:t>• Scope Description: Authorized penetration test assessing user registration, multi-factor authentication, and payment handling.</w:t>
        <w:br/>
        <w:t>• Scope Notes: Scope includes checkout, account reset, and cart endpoints.</w:t>
      </w:r>
    </w:p>
    <w:p>
      <w:pPr>
        <w:pStyle w:val="Heading1"/>
        <w:keepNext/>
        <w:spacing w:before="280" w:after="120"/>
      </w:pPr>
      <w:r>
        <w:rPr>
          <w:rFonts w:ascii="Calibri" w:hAnsi="Calibri"/>
          <w:b/>
          <w:color w:val="1E3A8A"/>
          <w:sz w:val="32"/>
        </w:rPr>
        <w:t>3. Testing Methodology &amp; Standards</w:t>
      </w:r>
    </w:p>
    <w:p>
      <w:r>
        <w:t>Tracegate testing methodology aligns with industry-standard web security evaluation frameworks, primarily OWASP Web Security Testing Guide (WSTG v4.2) &amp; PTES. The assessment followed a structured five-phase security workflow:</w:t>
        <w:br/>
        <w:t>1. Reconnaissance &amp; Surface Inspection: Evaluation of target endpoints, user inputs, and workflows.</w:t>
        <w:br/>
        <w:t>2. Visual Feature &amp; Workflow Classification: Contextual analysis of application surfaces and targeted test selection.</w:t>
        <w:br/>
        <w:t>3. Security Control Testing: Execution of prioritized security assessment procedures tailored to target components.</w:t>
        <w:br/>
        <w:t>4. Manual Verification &amp; Proof of Concept: Validation of anomalous behaviors with crafted payloads to confirm exploitative impact.</w:t>
        <w:br/>
        <w:t>5. Remediation Roadmap Development: Formulation of actionable, code-level recommendations and defensive mitigations.</w:t>
      </w:r>
    </w:p>
    <w:p>
      <w:pPr>
        <w:pStyle w:val="Heading1"/>
        <w:keepNext/>
        <w:spacing w:before="280" w:after="120"/>
      </w:pPr>
      <w:r>
        <w:rPr>
          <w:rFonts w:ascii="Calibri" w:hAnsi="Calibri"/>
          <w:b/>
          <w:color w:val="1E3A8A"/>
          <w:sz w:val="32"/>
        </w:rPr>
        <w:t>4. Security Test Coverage &amp; Verification Matrix</w:t>
      </w:r>
    </w:p>
    <w:p>
      <w:r>
        <w:t>A total of 4 security test procedures were designated for this assessment scope. Tests completed: 0 | Verified clean controls: 0 | Confirmed findings: 0. The table below details all evaluated controls and verified findings status.</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Mar>
              <w:top w:w="100" w:type="dxa"/>
              <w:bottom w:w="100" w:type="dxa"/>
              <w:left w:w="100" w:type="dxa"/>
              <w:right w:w="100" w:type="dxa"/>
            </w:tcMar>
          </w:tcPr>
          <w:p>
            <w:r>
              <w:rPr>
                <w:rFonts w:ascii="Calibri" w:hAnsi="Calibri"/>
                <w:b/>
                <w:color w:val="FFFFFF"/>
                <w:sz w:val="18"/>
              </w:rPr>
              <w:t>Test ID</w:t>
            </w:r>
          </w:p>
        </w:tc>
        <w:tc>
          <w:tcPr>
            <w:tcW w:type="dxa" w:w="3744"/>
            <w:shd w:fill="1E3A8A"/>
            <w:tcMar>
              <w:top w:w="100" w:type="dxa"/>
              <w:bottom w:w="100" w:type="dxa"/>
              <w:left w:w="100" w:type="dxa"/>
              <w:right w:w="100" w:type="dxa"/>
            </w:tcMar>
          </w:tcPr>
          <w:p>
            <w:r>
              <w:rPr>
                <w:rFonts w:ascii="Calibri" w:hAnsi="Calibri"/>
                <w:b/>
                <w:color w:val="FFFFFF"/>
                <w:sz w:val="18"/>
              </w:rPr>
              <w:t>Security Control</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872"/>
            <w:shd w:fill="1E3A8A"/>
            <w:tcMar>
              <w:top w:w="100" w:type="dxa"/>
              <w:bottom w:w="100" w:type="dxa"/>
              <w:left w:w="100" w:type="dxa"/>
              <w:right w:w="100" w:type="dxa"/>
            </w:tcMar>
          </w:tcPr>
          <w:p>
            <w:r>
              <w:rPr>
                <w:rFonts w:ascii="Calibri" w:hAnsi="Calibri"/>
                <w:b/>
                <w:color w:val="FFFFFF"/>
                <w:sz w:val="18"/>
              </w:rPr>
              <w:t>Verification Status</w:t>
            </w:r>
          </w:p>
        </w:tc>
      </w:tr>
      <w:tr>
        <w:tc>
          <w:tcPr>
            <w:tcW w:type="dxa" w:w="2304"/>
            <w:tcMar>
              <w:top w:w="60" w:type="dxa"/>
              <w:bottom w:w="60" w:type="dxa"/>
              <w:left w:w="80" w:type="dxa"/>
              <w:right w:w="80" w:type="dxa"/>
            </w:tcMar>
          </w:tcPr>
          <w:p>
            <w:r>
              <w:rPr>
                <w:rFonts w:ascii="Calibri" w:hAnsi="Calibri"/>
                <w:sz w:val="17"/>
              </w:rPr>
              <w:t>upload-unrestricted-ext</w:t>
            </w:r>
          </w:p>
        </w:tc>
        <w:tc>
          <w:tcPr>
            <w:tcW w:type="dxa" w:w="3744"/>
            <w:tcMar>
              <w:top w:w="60" w:type="dxa"/>
              <w:bottom w:w="60" w:type="dxa"/>
              <w:left w:w="80" w:type="dxa"/>
              <w:right w:w="80" w:type="dxa"/>
            </w:tcMar>
          </w:tcPr>
          <w:p>
            <w:r>
              <w:rPr>
                <w:rFonts w:ascii="Calibri" w:hAnsi="Calibri"/>
                <w:sz w:val="17"/>
              </w:rPr>
              <w:t>Arbitrary File Upload via Unrestricted Extension Validation</w:t>
            </w:r>
          </w:p>
        </w:tc>
        <w:tc>
          <w:tcPr>
            <w:tcW w:type="dxa" w:w="1440"/>
            <w:tcMar>
              <w:top w:w="60" w:type="dxa"/>
              <w:bottom w:w="60" w:type="dxa"/>
              <w:left w:w="80" w:type="dxa"/>
              <w:right w:w="80" w:type="dxa"/>
            </w:tcMar>
          </w:tcPr>
          <w:p>
            <w:r>
              <w:rPr>
                <w:rFonts w:ascii="Calibri" w:hAnsi="Calibri"/>
                <w:sz w:val="17"/>
              </w:rPr>
              <w:t>CWE-434</w:t>
            </w:r>
          </w:p>
        </w:tc>
        <w:tc>
          <w:tcPr>
            <w:tcW w:type="dxa" w:w="1872"/>
            <w:tcMar>
              <w:top w:w="60" w:type="dxa"/>
              <w:bottom w:w="60" w:type="dxa"/>
              <w:left w:w="80" w:type="dxa"/>
              <w:right w:w="80" w:type="dxa"/>
            </w:tcMar>
          </w:tcPr>
          <w:p>
            <w:r>
              <w:rPr>
                <w:rFonts w:ascii="Calibri" w:hAnsi="Calibri"/>
                <w:b/>
                <w:color w:val="64748B"/>
                <w:sz w:val="17"/>
              </w:rPr>
              <w:t>Not Tested</w:t>
            </w:r>
          </w:p>
        </w:tc>
      </w:tr>
      <w:tr>
        <w:tc>
          <w:tcPr>
            <w:tcW w:type="dxa" w:w="2304"/>
            <w:tcMar>
              <w:top w:w="60" w:type="dxa"/>
              <w:bottom w:w="60" w:type="dxa"/>
              <w:left w:w="80" w:type="dxa"/>
              <w:right w:w="80" w:type="dxa"/>
            </w:tcMar>
            <w:shd w:fill="F1F5F9"/>
          </w:tcPr>
          <w:p>
            <w:r>
              <w:rPr>
                <w:rFonts w:ascii="Calibri" w:hAnsi="Calibri"/>
                <w:sz w:val="17"/>
              </w:rPr>
              <w:t>upload-path-traversal</w:t>
            </w:r>
          </w:p>
        </w:tc>
        <w:tc>
          <w:tcPr>
            <w:tcW w:type="dxa" w:w="3744"/>
            <w:tcMar>
              <w:top w:w="60" w:type="dxa"/>
              <w:bottom w:w="60" w:type="dxa"/>
              <w:left w:w="80" w:type="dxa"/>
              <w:right w:w="80" w:type="dxa"/>
            </w:tcMar>
            <w:shd w:fill="F1F5F9"/>
          </w:tcPr>
          <w:p>
            <w:r>
              <w:rPr>
                <w:rFonts w:ascii="Calibri" w:hAnsi="Calibri"/>
                <w:sz w:val="17"/>
              </w:rPr>
              <w:t>Path Traversal &amp; Destination Storage Directory Escapes</w:t>
            </w:r>
          </w:p>
        </w:tc>
        <w:tc>
          <w:tcPr>
            <w:tcW w:type="dxa" w:w="1440"/>
            <w:tcMar>
              <w:top w:w="60" w:type="dxa"/>
              <w:bottom w:w="60" w:type="dxa"/>
              <w:left w:w="80" w:type="dxa"/>
              <w:right w:w="80" w:type="dxa"/>
            </w:tcMar>
            <w:shd w:fill="F1F5F9"/>
          </w:tcPr>
          <w:p>
            <w:r>
              <w:rPr>
                <w:rFonts w:ascii="Calibri" w:hAnsi="Calibri"/>
                <w:sz w:val="17"/>
              </w:rPr>
              <w:t>CWE-22</w:t>
            </w:r>
          </w:p>
        </w:tc>
        <w:tc>
          <w:tcPr>
            <w:tcW w:type="dxa" w:w="1872"/>
            <w:tcMar>
              <w:top w:w="60" w:type="dxa"/>
              <w:bottom w:w="60" w:type="dxa"/>
              <w:left w:w="80" w:type="dxa"/>
              <w:right w:w="80" w:type="dxa"/>
            </w:tcMar>
            <w:shd w:fill="F1F5F9"/>
          </w:tcPr>
          <w:p>
            <w:r>
              <w:rPr>
                <w:rFonts w:ascii="Calibri" w:hAnsi="Calibri"/>
                <w:b/>
                <w:color w:val="64748B"/>
                <w:sz w:val="17"/>
              </w:rPr>
              <w:t>Not Tested</w:t>
            </w:r>
          </w:p>
        </w:tc>
      </w:tr>
      <w:tr>
        <w:tc>
          <w:tcPr>
            <w:tcW w:type="dxa" w:w="2304"/>
            <w:tcMar>
              <w:top w:w="60" w:type="dxa"/>
              <w:bottom w:w="60" w:type="dxa"/>
              <w:left w:w="80" w:type="dxa"/>
              <w:right w:w="80" w:type="dxa"/>
            </w:tcMar>
          </w:tcPr>
          <w:p>
            <w:r>
              <w:rPr>
                <w:rFonts w:ascii="Calibri" w:hAnsi="Calibri"/>
                <w:sz w:val="17"/>
              </w:rPr>
              <w:t>upload-content-type-spoof</w:t>
            </w:r>
          </w:p>
        </w:tc>
        <w:tc>
          <w:tcPr>
            <w:tcW w:type="dxa" w:w="3744"/>
            <w:tcMar>
              <w:top w:w="60" w:type="dxa"/>
              <w:bottom w:w="60" w:type="dxa"/>
              <w:left w:w="80" w:type="dxa"/>
              <w:right w:w="80" w:type="dxa"/>
            </w:tcMar>
          </w:tcPr>
          <w:p>
            <w:r>
              <w:rPr>
                <w:rFonts w:ascii="Calibri" w:hAnsi="Calibri"/>
                <w:sz w:val="17"/>
              </w:rPr>
              <w:t>MIME-Type &amp; Magic Byte Validation Spoofing</w:t>
            </w:r>
          </w:p>
        </w:tc>
        <w:tc>
          <w:tcPr>
            <w:tcW w:type="dxa" w:w="1440"/>
            <w:tcMar>
              <w:top w:w="60" w:type="dxa"/>
              <w:bottom w:w="60" w:type="dxa"/>
              <w:left w:w="80" w:type="dxa"/>
              <w:right w:w="80" w:type="dxa"/>
            </w:tcMar>
          </w:tcPr>
          <w:p>
            <w:r>
              <w:rPr>
                <w:rFonts w:ascii="Calibri" w:hAnsi="Calibri"/>
                <w:sz w:val="17"/>
              </w:rPr>
              <w:t>CWE-434</w:t>
            </w:r>
          </w:p>
        </w:tc>
        <w:tc>
          <w:tcPr>
            <w:tcW w:type="dxa" w:w="1872"/>
            <w:tcMar>
              <w:top w:w="60" w:type="dxa"/>
              <w:bottom w:w="60" w:type="dxa"/>
              <w:left w:w="80" w:type="dxa"/>
              <w:right w:w="80" w:type="dxa"/>
            </w:tcMar>
          </w:tcPr>
          <w:p>
            <w:r>
              <w:rPr>
                <w:rFonts w:ascii="Calibri" w:hAnsi="Calibri"/>
                <w:b/>
                <w:color w:val="64748B"/>
                <w:sz w:val="17"/>
              </w:rPr>
              <w:t>Not Tested</w:t>
            </w:r>
          </w:p>
        </w:tc>
      </w:tr>
      <w:tr>
        <w:tc>
          <w:tcPr>
            <w:tcW w:type="dxa" w:w="2304"/>
            <w:tcMar>
              <w:top w:w="60" w:type="dxa"/>
              <w:bottom w:w="60" w:type="dxa"/>
              <w:left w:w="80" w:type="dxa"/>
              <w:right w:w="80" w:type="dxa"/>
            </w:tcMar>
            <w:shd w:fill="F1F5F9"/>
          </w:tcPr>
          <w:p>
            <w:r>
              <w:rPr>
                <w:rFonts w:ascii="Calibri" w:hAnsi="Calibri"/>
                <w:sz w:val="17"/>
              </w:rPr>
              <w:t>upload-svg-xss</w:t>
            </w:r>
          </w:p>
        </w:tc>
        <w:tc>
          <w:tcPr>
            <w:tcW w:type="dxa" w:w="3744"/>
            <w:tcMar>
              <w:top w:w="60" w:type="dxa"/>
              <w:bottom w:w="60" w:type="dxa"/>
              <w:left w:w="80" w:type="dxa"/>
              <w:right w:w="80" w:type="dxa"/>
            </w:tcMar>
            <w:shd w:fill="F1F5F9"/>
          </w:tcPr>
          <w:p>
            <w:r>
              <w:rPr>
                <w:rFonts w:ascii="Calibri" w:hAnsi="Calibri"/>
                <w:sz w:val="17"/>
              </w:rPr>
              <w:t>Stored XSS via Malicious SVG Image Upload</w:t>
            </w:r>
          </w:p>
        </w:tc>
        <w:tc>
          <w:tcPr>
            <w:tcW w:type="dxa" w:w="1440"/>
            <w:tcMar>
              <w:top w:w="60" w:type="dxa"/>
              <w:bottom w:w="60" w:type="dxa"/>
              <w:left w:w="80" w:type="dxa"/>
              <w:right w:w="80" w:type="dxa"/>
            </w:tcMar>
            <w:shd w:fill="F1F5F9"/>
          </w:tcPr>
          <w:p>
            <w:r>
              <w:rPr>
                <w:rFonts w:ascii="Calibri" w:hAnsi="Calibri"/>
                <w:sz w:val="17"/>
              </w:rPr>
              <w:t>CWE-79</w:t>
            </w:r>
          </w:p>
        </w:tc>
        <w:tc>
          <w:tcPr>
            <w:tcW w:type="dxa" w:w="1872"/>
            <w:tcMar>
              <w:top w:w="60" w:type="dxa"/>
              <w:bottom w:w="60" w:type="dxa"/>
              <w:left w:w="80" w:type="dxa"/>
              <w:right w:w="80" w:type="dxa"/>
            </w:tcMar>
            <w:shd w:fill="F1F5F9"/>
          </w:tcPr>
          <w:p>
            <w:r>
              <w:rPr>
                <w:rFonts w:ascii="Calibri" w:hAnsi="Calibri"/>
                <w:b/>
                <w:color w:val="64748B"/>
                <w:sz w:val="17"/>
              </w:rPr>
              <w:t>Not Tested</w:t>
            </w:r>
          </w:p>
        </w:tc>
      </w:tr>
    </w:tbl>
    <w:p>
      <w:r>
        <w:br w:type="page"/>
      </w:r>
    </w:p>
    <w:p>
      <w:pPr>
        <w:pStyle w:val="Heading1"/>
        <w:keepNext/>
        <w:spacing w:before="280" w:after="120"/>
      </w:pPr>
      <w:r>
        <w:rPr>
          <w:rFonts w:ascii="Calibri" w:hAnsi="Calibri"/>
          <w:b/>
          <w:color w:val="1E3A8A"/>
          <w:sz w:val="32"/>
        </w:rPr>
        <w:t>5. Summary of Confirmed Vulnerabilities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3A8A"/>
            <w:tcMar>
              <w:top w:w="100" w:type="dxa"/>
              <w:bottom w:w="100" w:type="dxa"/>
              <w:left w:w="100" w:type="dxa"/>
              <w:right w:w="100" w:type="dxa"/>
            </w:tcMar>
          </w:tcPr>
          <w:p>
            <w:r>
              <w:rPr>
                <w:rFonts w:ascii="Calibri" w:hAnsi="Calibri"/>
                <w:b/>
                <w:color w:val="FFFFFF"/>
                <w:sz w:val="18"/>
              </w:rPr>
              <w:t>Finding ID</w:t>
            </w:r>
          </w:p>
        </w:tc>
        <w:tc>
          <w:tcPr>
            <w:tcW w:type="dxa" w:w="4032"/>
            <w:shd w:fill="1E3A8A"/>
            <w:tcMar>
              <w:top w:w="100" w:type="dxa"/>
              <w:bottom w:w="100" w:type="dxa"/>
              <w:left w:w="100" w:type="dxa"/>
              <w:right w:w="100" w:type="dxa"/>
            </w:tcMar>
          </w:tcPr>
          <w:p>
            <w:r>
              <w:rPr>
                <w:rFonts w:ascii="Calibri" w:hAnsi="Calibri"/>
                <w:b/>
                <w:color w:val="FFFFFF"/>
                <w:sz w:val="18"/>
              </w:rPr>
              <w:t>Vulnerability Title</w:t>
            </w:r>
          </w:p>
        </w:tc>
        <w:tc>
          <w:tcPr>
            <w:tcW w:type="dxa" w:w="1584"/>
            <w:shd w:fill="1E3A8A"/>
            <w:tcMar>
              <w:top w:w="100" w:type="dxa"/>
              <w:bottom w:w="100" w:type="dxa"/>
              <w:left w:w="100" w:type="dxa"/>
              <w:right w:w="100" w:type="dxa"/>
            </w:tcMar>
          </w:tcPr>
          <w:p>
            <w:r>
              <w:rPr>
                <w:rFonts w:ascii="Calibri" w:hAnsi="Calibri"/>
                <w:b/>
                <w:color w:val="FFFFFF"/>
                <w:sz w:val="18"/>
              </w:rPr>
              <w:t>Severity</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152"/>
            <w:shd w:fill="1E3A8A"/>
            <w:tcMar>
              <w:top w:w="100" w:type="dxa"/>
              <w:bottom w:w="100" w:type="dxa"/>
              <w:left w:w="100" w:type="dxa"/>
              <w:right w:w="100" w:type="dxa"/>
            </w:tcMar>
          </w:tcPr>
          <w:p>
            <w:r>
              <w:rPr>
                <w:rFonts w:ascii="Calibri" w:hAnsi="Calibri"/>
                <w:b/>
                <w:color w:val="FFFFFF"/>
                <w:sz w:val="18"/>
              </w:rPr>
              <w:t>Status</w:t>
            </w:r>
          </w:p>
        </w:tc>
      </w:tr>
      <w:tr>
        <w:tc>
          <w:tcPr>
            <w:tcW w:type="dxa" w:w="1584"/>
            <w:tcMar>
              <w:top w:w="60" w:type="dxa"/>
              <w:bottom w:w="60" w:type="dxa"/>
              <w:left w:w="80" w:type="dxa"/>
              <w:right w:w="80" w:type="dxa"/>
            </w:tcMar>
          </w:tcPr>
          <w:p>
            <w:r>
              <w:rPr>
                <w:rFonts w:ascii="Calibri" w:hAnsi="Calibri"/>
                <w:b/>
                <w:sz w:val="17"/>
              </w:rPr>
              <w:t>VULN-001</w:t>
            </w:r>
          </w:p>
        </w:tc>
        <w:tc>
          <w:tcPr>
            <w:tcW w:type="dxa" w:w="4032"/>
            <w:tcMar>
              <w:top w:w="60" w:type="dxa"/>
              <w:bottom w:w="60" w:type="dxa"/>
              <w:left w:w="80" w:type="dxa"/>
              <w:right w:w="80" w:type="dxa"/>
            </w:tcMar>
          </w:tcPr>
          <w:p>
            <w:r>
              <w:rPr>
                <w:rFonts w:ascii="Calibri" w:hAnsi="Calibri"/>
                <w:sz w:val="17"/>
              </w:rPr>
              <w:t>Arbitrary File Upload via Unrestricted Extension Validation</w:t>
            </w:r>
          </w:p>
        </w:tc>
        <w:tc>
          <w:tcPr>
            <w:tcW w:type="dxa" w:w="1584"/>
            <w:tcMar>
              <w:top w:w="60" w:type="dxa"/>
              <w:bottom w:w="60" w:type="dxa"/>
              <w:left w:w="80" w:type="dxa"/>
              <w:right w:w="80" w:type="dxa"/>
            </w:tcMar>
          </w:tcPr>
          <w:p>
            <w:r>
              <w:rPr>
                <w:rFonts w:ascii="Calibri" w:hAnsi="Calibri"/>
                <w:b/>
                <w:color w:val="B91C1C"/>
                <w:sz w:val="17"/>
              </w:rPr>
              <w:t>CRITICAL</w:t>
            </w:r>
          </w:p>
        </w:tc>
        <w:tc>
          <w:tcPr>
            <w:tcW w:type="dxa" w:w="1440"/>
            <w:tcMar>
              <w:top w:w="60" w:type="dxa"/>
              <w:bottom w:w="60" w:type="dxa"/>
              <w:left w:w="80" w:type="dxa"/>
              <w:right w:w="80" w:type="dxa"/>
            </w:tcMar>
          </w:tcPr>
          <w:p>
            <w:r>
              <w:rPr>
                <w:rFonts w:ascii="Calibri" w:hAnsi="Calibri"/>
                <w:sz w:val="17"/>
              </w:rPr>
              <w:t>CWE-434</w:t>
            </w:r>
          </w:p>
        </w:tc>
        <w:tc>
          <w:tcPr>
            <w:tcW w:type="dxa" w:w="1152"/>
            <w:tcMar>
              <w:top w:w="60" w:type="dxa"/>
              <w:bottom w:w="60" w:type="dxa"/>
              <w:left w:w="80" w:type="dxa"/>
              <w:right w:w="80" w:type="dxa"/>
            </w:tcMar>
          </w:tcPr>
          <w:p>
            <w:r>
              <w:rPr>
                <w:rFonts w:ascii="Calibri" w:hAnsi="Calibri"/>
                <w:sz w:val="17"/>
              </w:rPr>
              <w:t>Open</w:t>
            </w:r>
          </w:p>
        </w:tc>
      </w:tr>
      <w:tr>
        <w:tc>
          <w:tcPr>
            <w:tcW w:type="dxa" w:w="1584"/>
            <w:tcMar>
              <w:top w:w="60" w:type="dxa"/>
              <w:bottom w:w="60" w:type="dxa"/>
              <w:left w:w="80" w:type="dxa"/>
              <w:right w:w="80" w:type="dxa"/>
            </w:tcMar>
            <w:shd w:fill="F1F5F9"/>
          </w:tcPr>
          <w:p>
            <w:r>
              <w:rPr>
                <w:rFonts w:ascii="Calibri" w:hAnsi="Calibri"/>
                <w:b/>
                <w:sz w:val="17"/>
              </w:rPr>
              <w:t>VULN-002</w:t>
            </w:r>
          </w:p>
        </w:tc>
        <w:tc>
          <w:tcPr>
            <w:tcW w:type="dxa" w:w="4032"/>
            <w:tcMar>
              <w:top w:w="60" w:type="dxa"/>
              <w:bottom w:w="60" w:type="dxa"/>
              <w:left w:w="80" w:type="dxa"/>
              <w:right w:w="80" w:type="dxa"/>
            </w:tcMar>
            <w:shd w:fill="F1F5F9"/>
          </w:tcPr>
          <w:p>
            <w:r>
              <w:rPr>
                <w:rFonts w:ascii="Calibri" w:hAnsi="Calibri"/>
                <w:sz w:val="17"/>
              </w:rPr>
              <w:t>Path Traversal &amp; Destination Storage Directory Escapes</w:t>
            </w:r>
          </w:p>
        </w:tc>
        <w:tc>
          <w:tcPr>
            <w:tcW w:type="dxa" w:w="1584"/>
            <w:tcMar>
              <w:top w:w="60" w:type="dxa"/>
              <w:bottom w:w="60" w:type="dxa"/>
              <w:left w:w="80" w:type="dxa"/>
              <w:right w:w="80" w:type="dxa"/>
            </w:tcMar>
            <w:shd w:fill="F1F5F9"/>
          </w:tcPr>
          <w:p>
            <w:r>
              <w:rPr>
                <w:rFonts w:ascii="Calibri" w:hAnsi="Calibri"/>
                <w:b/>
                <w:color w:val="B91C1C"/>
                <w:sz w:val="17"/>
              </w:rPr>
              <w:t>CRITICAL</w:t>
            </w:r>
          </w:p>
        </w:tc>
        <w:tc>
          <w:tcPr>
            <w:tcW w:type="dxa" w:w="1440"/>
            <w:tcMar>
              <w:top w:w="60" w:type="dxa"/>
              <w:bottom w:w="60" w:type="dxa"/>
              <w:left w:w="80" w:type="dxa"/>
              <w:right w:w="80" w:type="dxa"/>
            </w:tcMar>
            <w:shd w:fill="F1F5F9"/>
          </w:tcPr>
          <w:p>
            <w:r>
              <w:rPr>
                <w:rFonts w:ascii="Calibri" w:hAnsi="Calibri"/>
                <w:sz w:val="17"/>
              </w:rPr>
              <w:t>CWE-22</w:t>
            </w:r>
          </w:p>
        </w:tc>
        <w:tc>
          <w:tcPr>
            <w:tcW w:type="dxa" w:w="1152"/>
            <w:tcMar>
              <w:top w:w="60" w:type="dxa"/>
              <w:bottom w:w="60" w:type="dxa"/>
              <w:left w:w="80" w:type="dxa"/>
              <w:right w:w="80" w:type="dxa"/>
            </w:tcMar>
            <w:shd w:fill="F1F5F9"/>
          </w:tcPr>
          <w:p>
            <w:r>
              <w:rPr>
                <w:rFonts w:ascii="Calibri" w:hAnsi="Calibri"/>
                <w:sz w:val="17"/>
              </w:rPr>
              <w:t>Open</w:t>
            </w:r>
          </w:p>
        </w:tc>
      </w:tr>
      <w:tr>
        <w:tc>
          <w:tcPr>
            <w:tcW w:type="dxa" w:w="1584"/>
            <w:tcMar>
              <w:top w:w="60" w:type="dxa"/>
              <w:bottom w:w="60" w:type="dxa"/>
              <w:left w:w="80" w:type="dxa"/>
              <w:right w:w="80" w:type="dxa"/>
            </w:tcMar>
          </w:tcPr>
          <w:p>
            <w:r>
              <w:rPr>
                <w:rFonts w:ascii="Calibri" w:hAnsi="Calibri"/>
                <w:b/>
                <w:sz w:val="17"/>
              </w:rPr>
              <w:t>VULN-003</w:t>
            </w:r>
          </w:p>
        </w:tc>
        <w:tc>
          <w:tcPr>
            <w:tcW w:type="dxa" w:w="4032"/>
            <w:tcMar>
              <w:top w:w="60" w:type="dxa"/>
              <w:bottom w:w="60" w:type="dxa"/>
              <w:left w:w="80" w:type="dxa"/>
              <w:right w:w="80" w:type="dxa"/>
            </w:tcMar>
          </w:tcPr>
          <w:p>
            <w:r>
              <w:rPr>
                <w:rFonts w:ascii="Calibri" w:hAnsi="Calibri"/>
                <w:sz w:val="17"/>
              </w:rPr>
              <w:t>Two-Factor Authentication (2FA) Implementation Bypass</w:t>
            </w:r>
          </w:p>
        </w:tc>
        <w:tc>
          <w:tcPr>
            <w:tcW w:type="dxa" w:w="1584"/>
            <w:tcMar>
              <w:top w:w="60" w:type="dxa"/>
              <w:bottom w:w="60" w:type="dxa"/>
              <w:left w:w="80" w:type="dxa"/>
              <w:right w:w="80" w:type="dxa"/>
            </w:tcMar>
          </w:tcPr>
          <w:p>
            <w:r>
              <w:rPr>
                <w:rFonts w:ascii="Calibri" w:hAnsi="Calibri"/>
                <w:b/>
                <w:color w:val="B91C1C"/>
                <w:sz w:val="17"/>
              </w:rPr>
              <w:t>CRITICAL</w:t>
            </w:r>
          </w:p>
        </w:tc>
        <w:tc>
          <w:tcPr>
            <w:tcW w:type="dxa" w:w="1440"/>
            <w:tcMar>
              <w:top w:w="60" w:type="dxa"/>
              <w:bottom w:w="60" w:type="dxa"/>
              <w:left w:w="80" w:type="dxa"/>
              <w:right w:w="80" w:type="dxa"/>
            </w:tcMar>
          </w:tcPr>
          <w:p>
            <w:r>
              <w:rPr>
                <w:rFonts w:ascii="Calibri" w:hAnsi="Calibri"/>
                <w:sz w:val="17"/>
              </w:rPr>
              <w:t>CWE-288</w:t>
            </w:r>
          </w:p>
        </w:tc>
        <w:tc>
          <w:tcPr>
            <w:tcW w:type="dxa" w:w="1152"/>
            <w:tcMar>
              <w:top w:w="60" w:type="dxa"/>
              <w:bottom w:w="60" w:type="dxa"/>
              <w:left w:w="80" w:type="dxa"/>
              <w:right w:w="80" w:type="dxa"/>
            </w:tcMar>
          </w:tcPr>
          <w:p>
            <w:r>
              <w:rPr>
                <w:rFonts w:ascii="Calibri" w:hAnsi="Calibri"/>
                <w:sz w:val="17"/>
              </w:rPr>
              <w:t>Open</w:t>
            </w:r>
          </w:p>
        </w:tc>
      </w:tr>
      <w:tr>
        <w:tc>
          <w:tcPr>
            <w:tcW w:type="dxa" w:w="1584"/>
            <w:tcMar>
              <w:top w:w="60" w:type="dxa"/>
              <w:bottom w:w="60" w:type="dxa"/>
              <w:left w:w="80" w:type="dxa"/>
              <w:right w:w="80" w:type="dxa"/>
            </w:tcMar>
            <w:shd w:fill="F1F5F9"/>
          </w:tcPr>
          <w:p>
            <w:r>
              <w:rPr>
                <w:rFonts w:ascii="Calibri" w:hAnsi="Calibri"/>
                <w:b/>
                <w:sz w:val="17"/>
              </w:rPr>
              <w:t>VULN-004</w:t>
            </w:r>
          </w:p>
        </w:tc>
        <w:tc>
          <w:tcPr>
            <w:tcW w:type="dxa" w:w="4032"/>
            <w:tcMar>
              <w:top w:w="60" w:type="dxa"/>
              <w:bottom w:w="60" w:type="dxa"/>
              <w:left w:w="80" w:type="dxa"/>
              <w:right w:w="80" w:type="dxa"/>
            </w:tcMar>
            <w:shd w:fill="F1F5F9"/>
          </w:tcPr>
          <w:p>
            <w:r>
              <w:rPr>
                <w:rFonts w:ascii="Calibri" w:hAnsi="Calibri"/>
                <w:sz w:val="17"/>
              </w:rPr>
              <w:t>Authentication Bypass (SQL Injection / Logic Flaws)</w:t>
            </w:r>
          </w:p>
        </w:tc>
        <w:tc>
          <w:tcPr>
            <w:tcW w:type="dxa" w:w="1584"/>
            <w:tcMar>
              <w:top w:w="60" w:type="dxa"/>
              <w:bottom w:w="60" w:type="dxa"/>
              <w:left w:w="80" w:type="dxa"/>
              <w:right w:w="80" w:type="dxa"/>
            </w:tcMar>
            <w:shd w:fill="F1F5F9"/>
          </w:tcPr>
          <w:p>
            <w:r>
              <w:rPr>
                <w:rFonts w:ascii="Calibri" w:hAnsi="Calibri"/>
                <w:b/>
                <w:color w:val="B91C1C"/>
                <w:sz w:val="17"/>
              </w:rPr>
              <w:t>CRITICAL</w:t>
            </w:r>
          </w:p>
        </w:tc>
        <w:tc>
          <w:tcPr>
            <w:tcW w:type="dxa" w:w="1440"/>
            <w:tcMar>
              <w:top w:w="60" w:type="dxa"/>
              <w:bottom w:w="60" w:type="dxa"/>
              <w:left w:w="80" w:type="dxa"/>
              <w:right w:w="80" w:type="dxa"/>
            </w:tcMar>
            <w:shd w:fill="F1F5F9"/>
          </w:tcPr>
          <w:p>
            <w:r>
              <w:rPr>
                <w:rFonts w:ascii="Calibri" w:hAnsi="Calibri"/>
                <w:sz w:val="17"/>
              </w:rPr>
              <w:t>CWE-287</w:t>
            </w:r>
          </w:p>
        </w:tc>
        <w:tc>
          <w:tcPr>
            <w:tcW w:type="dxa" w:w="1152"/>
            <w:tcMar>
              <w:top w:w="60" w:type="dxa"/>
              <w:bottom w:w="60" w:type="dxa"/>
              <w:left w:w="80" w:type="dxa"/>
              <w:right w:w="80" w:type="dxa"/>
            </w:tcMar>
            <w:shd w:fill="F1F5F9"/>
          </w:tcPr>
          <w:p>
            <w:r>
              <w:rPr>
                <w:rFonts w:ascii="Calibri" w:hAnsi="Calibri"/>
                <w:sz w:val="17"/>
              </w:rPr>
              <w:t>Open</w:t>
            </w:r>
          </w:p>
        </w:tc>
      </w:tr>
      <w:tr>
        <w:tc>
          <w:tcPr>
            <w:tcW w:type="dxa" w:w="1584"/>
            <w:tcMar>
              <w:top w:w="60" w:type="dxa"/>
              <w:bottom w:w="60" w:type="dxa"/>
              <w:left w:w="80" w:type="dxa"/>
              <w:right w:w="80" w:type="dxa"/>
            </w:tcMar>
          </w:tcPr>
          <w:p>
            <w:r>
              <w:rPr>
                <w:rFonts w:ascii="Calibri" w:hAnsi="Calibri"/>
                <w:b/>
                <w:sz w:val="17"/>
              </w:rPr>
              <w:t>VULN-005</w:t>
            </w:r>
          </w:p>
        </w:tc>
        <w:tc>
          <w:tcPr>
            <w:tcW w:type="dxa" w:w="4032"/>
            <w:tcMar>
              <w:top w:w="60" w:type="dxa"/>
              <w:bottom w:w="60" w:type="dxa"/>
              <w:left w:w="80" w:type="dxa"/>
              <w:right w:w="80" w:type="dxa"/>
            </w:tcMar>
          </w:tcPr>
          <w:p>
            <w:r>
              <w:rPr>
                <w:rFonts w:ascii="Calibri" w:hAnsi="Calibri"/>
                <w:sz w:val="17"/>
              </w:rPr>
              <w:t>Stored XSS via Malicious SVG Image Upload</w:t>
            </w:r>
          </w:p>
        </w:tc>
        <w:tc>
          <w:tcPr>
            <w:tcW w:type="dxa" w:w="1584"/>
            <w:tcMar>
              <w:top w:w="60" w:type="dxa"/>
              <w:bottom w:w="60" w:type="dxa"/>
              <w:left w:w="80" w:type="dxa"/>
              <w:right w:w="80" w:type="dxa"/>
            </w:tcMar>
          </w:tcPr>
          <w:p>
            <w:r>
              <w:rPr>
                <w:rFonts w:ascii="Calibri" w:hAnsi="Calibri"/>
                <w:b/>
                <w:color w:val="C2410C"/>
                <w:sz w:val="17"/>
              </w:rPr>
              <w:t>HIGH</w:t>
            </w:r>
          </w:p>
        </w:tc>
        <w:tc>
          <w:tcPr>
            <w:tcW w:type="dxa" w:w="1440"/>
            <w:tcMar>
              <w:top w:w="60" w:type="dxa"/>
              <w:bottom w:w="60" w:type="dxa"/>
              <w:left w:w="80" w:type="dxa"/>
              <w:right w:w="80" w:type="dxa"/>
            </w:tcMar>
          </w:tcPr>
          <w:p>
            <w:r>
              <w:rPr>
                <w:rFonts w:ascii="Calibri" w:hAnsi="Calibri"/>
                <w:sz w:val="17"/>
              </w:rPr>
              <w:t>CWE-79</w:t>
            </w:r>
          </w:p>
        </w:tc>
        <w:tc>
          <w:tcPr>
            <w:tcW w:type="dxa" w:w="1152"/>
            <w:tcMar>
              <w:top w:w="60" w:type="dxa"/>
              <w:bottom w:w="60" w:type="dxa"/>
              <w:left w:w="80" w:type="dxa"/>
              <w:right w:w="80" w:type="dxa"/>
            </w:tcMar>
          </w:tcPr>
          <w:p>
            <w:r>
              <w:rPr>
                <w:rFonts w:ascii="Calibri" w:hAnsi="Calibri"/>
                <w:sz w:val="17"/>
              </w:rPr>
              <w:t>Open</w:t>
            </w:r>
          </w:p>
        </w:tc>
      </w:tr>
      <w:tr>
        <w:tc>
          <w:tcPr>
            <w:tcW w:type="dxa" w:w="1584"/>
            <w:tcMar>
              <w:top w:w="60" w:type="dxa"/>
              <w:bottom w:w="60" w:type="dxa"/>
              <w:left w:w="80" w:type="dxa"/>
              <w:right w:w="80" w:type="dxa"/>
            </w:tcMar>
            <w:shd w:fill="F1F5F9"/>
          </w:tcPr>
          <w:p>
            <w:r>
              <w:rPr>
                <w:rFonts w:ascii="Calibri" w:hAnsi="Calibri"/>
                <w:b/>
                <w:sz w:val="17"/>
              </w:rPr>
              <w:t>VULN-006</w:t>
            </w:r>
          </w:p>
        </w:tc>
        <w:tc>
          <w:tcPr>
            <w:tcW w:type="dxa" w:w="4032"/>
            <w:tcMar>
              <w:top w:w="60" w:type="dxa"/>
              <w:bottom w:w="60" w:type="dxa"/>
              <w:left w:w="80" w:type="dxa"/>
              <w:right w:w="80" w:type="dxa"/>
            </w:tcMar>
            <w:shd w:fill="F1F5F9"/>
          </w:tcPr>
          <w:p>
            <w:r>
              <w:rPr>
                <w:rFonts w:ascii="Calibri" w:hAnsi="Calibri"/>
                <w:sz w:val="17"/>
              </w:rPr>
              <w:t>Username &amp; Account Enumeration</w:t>
            </w:r>
          </w:p>
        </w:tc>
        <w:tc>
          <w:tcPr>
            <w:tcW w:type="dxa" w:w="1584"/>
            <w:tcMar>
              <w:top w:w="60" w:type="dxa"/>
              <w:bottom w:w="60" w:type="dxa"/>
              <w:left w:w="80" w:type="dxa"/>
              <w:right w:w="80" w:type="dxa"/>
            </w:tcMar>
            <w:shd w:fill="F1F5F9"/>
          </w:tcPr>
          <w:p>
            <w:r>
              <w:rPr>
                <w:rFonts w:ascii="Calibri" w:hAnsi="Calibri"/>
                <w:b/>
                <w:color w:val="C2410C"/>
                <w:sz w:val="17"/>
              </w:rPr>
              <w:t>HIGH</w:t>
            </w:r>
          </w:p>
        </w:tc>
        <w:tc>
          <w:tcPr>
            <w:tcW w:type="dxa" w:w="1440"/>
            <w:tcMar>
              <w:top w:w="60" w:type="dxa"/>
              <w:bottom w:w="60" w:type="dxa"/>
              <w:left w:w="80" w:type="dxa"/>
              <w:right w:w="80" w:type="dxa"/>
            </w:tcMar>
            <w:shd w:fill="F1F5F9"/>
          </w:tcPr>
          <w:p>
            <w:r>
              <w:rPr>
                <w:rFonts w:ascii="Calibri" w:hAnsi="Calibri"/>
                <w:sz w:val="17"/>
              </w:rPr>
              <w:t>CWE-204</w:t>
            </w:r>
          </w:p>
        </w:tc>
        <w:tc>
          <w:tcPr>
            <w:tcW w:type="dxa" w:w="1152"/>
            <w:tcMar>
              <w:top w:w="60" w:type="dxa"/>
              <w:bottom w:w="60" w:type="dxa"/>
              <w:left w:w="80" w:type="dxa"/>
              <w:right w:w="80" w:type="dxa"/>
            </w:tcMar>
            <w:shd w:fill="F1F5F9"/>
          </w:tcPr>
          <w:p>
            <w:r>
              <w:rPr>
                <w:rFonts w:ascii="Calibri" w:hAnsi="Calibri"/>
                <w:sz w:val="17"/>
              </w:rPr>
              <w:t>Open</w:t>
            </w:r>
          </w:p>
        </w:tc>
      </w:tr>
      <w:tr>
        <w:tc>
          <w:tcPr>
            <w:tcW w:type="dxa" w:w="1584"/>
            <w:tcMar>
              <w:top w:w="60" w:type="dxa"/>
              <w:bottom w:w="60" w:type="dxa"/>
              <w:left w:w="80" w:type="dxa"/>
              <w:right w:w="80" w:type="dxa"/>
            </w:tcMar>
          </w:tcPr>
          <w:p>
            <w:r>
              <w:rPr>
                <w:rFonts w:ascii="Calibri" w:hAnsi="Calibri"/>
                <w:b/>
                <w:sz w:val="17"/>
              </w:rPr>
              <w:t>VULN-007</w:t>
            </w:r>
          </w:p>
        </w:tc>
        <w:tc>
          <w:tcPr>
            <w:tcW w:type="dxa" w:w="4032"/>
            <w:tcMar>
              <w:top w:w="60" w:type="dxa"/>
              <w:bottom w:w="60" w:type="dxa"/>
              <w:left w:w="80" w:type="dxa"/>
              <w:right w:w="80" w:type="dxa"/>
            </w:tcMar>
          </w:tcPr>
          <w:p>
            <w:r>
              <w:rPr>
                <w:rFonts w:ascii="Calibri" w:hAnsi="Calibri"/>
                <w:sz w:val="17"/>
              </w:rPr>
              <w:t>Credential Caching &amp; Form Autocomplete Directive</w:t>
            </w:r>
          </w:p>
        </w:tc>
        <w:tc>
          <w:tcPr>
            <w:tcW w:type="dxa" w:w="1584"/>
            <w:tcMar>
              <w:top w:w="60" w:type="dxa"/>
              <w:bottom w:w="60" w:type="dxa"/>
              <w:left w:w="80" w:type="dxa"/>
              <w:right w:w="80" w:type="dxa"/>
            </w:tcMar>
          </w:tcPr>
          <w:p>
            <w:r>
              <w:rPr>
                <w:rFonts w:ascii="Calibri" w:hAnsi="Calibri"/>
                <w:b/>
                <w:color w:val="047857"/>
                <w:sz w:val="17"/>
              </w:rPr>
              <w:t>LOW</w:t>
            </w:r>
          </w:p>
        </w:tc>
        <w:tc>
          <w:tcPr>
            <w:tcW w:type="dxa" w:w="1440"/>
            <w:tcMar>
              <w:top w:w="60" w:type="dxa"/>
              <w:bottom w:w="60" w:type="dxa"/>
              <w:left w:w="80" w:type="dxa"/>
              <w:right w:w="80" w:type="dxa"/>
            </w:tcMar>
          </w:tcPr>
          <w:p>
            <w:r>
              <w:rPr>
                <w:rFonts w:ascii="Calibri" w:hAnsi="Calibri"/>
                <w:sz w:val="17"/>
              </w:rPr>
              <w:t>CWE-524</w:t>
            </w:r>
          </w:p>
        </w:tc>
        <w:tc>
          <w:tcPr>
            <w:tcW w:type="dxa" w:w="1152"/>
            <w:tcMar>
              <w:top w:w="60" w:type="dxa"/>
              <w:bottom w:w="60" w:type="dxa"/>
              <w:left w:w="80" w:type="dxa"/>
              <w:right w:w="80" w:type="dxa"/>
            </w:tcMar>
          </w:tcPr>
          <w:p>
            <w:r>
              <w:rPr>
                <w:rFonts w:ascii="Calibri" w:hAnsi="Calibri"/>
                <w:sz w:val="17"/>
              </w:rPr>
              <w:t>Open</w:t>
            </w:r>
          </w:p>
        </w:tc>
      </w:tr>
    </w:tbl>
    <w:p>
      <w:r>
        <w:br w:type="page"/>
      </w:r>
    </w:p>
    <w:p>
      <w:pPr>
        <w:pStyle w:val="Heading1"/>
        <w:keepNext/>
        <w:spacing w:before="280" w:after="120"/>
      </w:pPr>
      <w:r>
        <w:rPr>
          <w:rFonts w:ascii="Calibri" w:hAnsi="Calibri"/>
          <w:b/>
          <w:color w:val="1E3A8A"/>
          <w:sz w:val="32"/>
        </w:rPr>
        <w:t>6. Detailed Technical Findings &amp; Proof of Concept</w:t>
      </w:r>
    </w:p>
    <w:p>
      <w:pPr>
        <w:pStyle w:val="Heading2"/>
        <w:keepNext/>
        <w:spacing w:before="280" w:after="120"/>
      </w:pPr>
      <w:r>
        <w:rPr>
          <w:rFonts w:ascii="Calibri" w:hAnsi="Calibri"/>
          <w:b/>
          <w:color w:val="1E3A8A"/>
          <w:sz w:val="26"/>
        </w:rPr>
        <w:t>VULN-001: Arbitrary File Upload via Unrestricted Extension Validation</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B91C1C"/>
                <w:sz w:val="18"/>
              </w:rPr>
              <w:t>CRITICAL</w:t>
            </w:r>
          </w:p>
        </w:tc>
        <w:tc>
          <w:tcPr>
            <w:tcW w:type="dxa" w:w="2592"/>
            <w:tcMar>
              <w:top w:w="60" w:type="dxa"/>
              <w:bottom w:w="60" w:type="dxa"/>
              <w:left w:w="80" w:type="dxa"/>
              <w:right w:w="80" w:type="dxa"/>
            </w:tcMar>
          </w:tcPr>
          <w:p>
            <w:r>
              <w:rPr>
                <w:rFonts w:ascii="Calibri" w:hAnsi="Calibri"/>
                <w:sz w:val="18"/>
              </w:rPr>
              <w:t>CWE-434</w:t>
            </w:r>
          </w:p>
        </w:tc>
        <w:tc>
          <w:tcPr>
            <w:tcW w:type="dxa" w:w="2304"/>
            <w:tcMar>
              <w:top w:w="60" w:type="dxa"/>
              <w:bottom w:w="60" w:type="dxa"/>
              <w:left w:w="80" w:type="dxa"/>
              <w:right w:w="80" w:type="dxa"/>
            </w:tcMar>
          </w:tcPr>
          <w:p>
            <w:r>
              <w:rPr>
                <w:rFonts w:ascii="Calibri" w:hAnsi="Calibri"/>
                <w:sz w:val="18"/>
              </w:rPr>
              <w:t>9.8</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File Upload Page</w:t>
      </w:r>
    </w:p>
    <w:p>
      <w:pPr>
        <w:spacing w:before="80" w:after="40"/>
      </w:pPr>
      <w:r>
        <w:rPr>
          <w:b/>
          <w:color w:val="1E3A8A"/>
          <w:sz w:val="20"/>
        </w:rPr>
        <w:t>B. Business &amp; Technical Impact</w:t>
      </w:r>
    </w:p>
    <w:p>
      <w:pPr>
        <w:spacing w:after="120"/>
      </w:pPr>
      <w:r>
        <w:t>Attackers can upload server-executable scripts or malicious HTML files, resulting in Remote Code Execution (RCE), host compromise, or persistent defacement.</w:t>
      </w:r>
    </w:p>
    <w:p>
      <w:pPr>
        <w:spacing w:before="80" w:after="40"/>
      </w:pPr>
      <w:r>
        <w:rPr>
          <w:b/>
          <w:color w:val="1E3A8A"/>
          <w:sz w:val="20"/>
        </w:rPr>
        <w:t>C. Step-by-Step Reproduction Procedure</w:t>
      </w:r>
    </w:p>
    <w:p>
      <w:pPr>
        <w:spacing w:after="120"/>
      </w:pPr>
      <w:r>
        <w:t>Upload files with executable extensions, double extensions (.php.jpg), or null byte tricks (.php%00.png) to test server handling.</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POST /api/v1/upload HTTP/1.1</w:t>
              <w:br/>
              <w:t>Host: target.app</w:t>
              <w:br/>
              <w:t>Content-Type: multipart/form-data; boundary=----BoundaryX</w:t>
              <w:br/>
              <w:br/>
              <w:t>------BoundaryX</w:t>
              <w:br/>
              <w:t>Content-Disposition: form-data; name="file"; filename="test_exec.jsp"</w:t>
              <w:br/>
              <w:br/>
              <w:t>&lt;executed_server_script&gt;</w:t>
              <w:br/>
              <w:t>------BoundaryX--</w:t>
              <w:br/>
              <w:br/>
              <w:t>--&gt; HTTP/1.1 201 Created</w:t>
              <w:br/>
              <w:t>{"url": "/uploads/test_exec.jsp"}</w:t>
            </w:r>
          </w:p>
        </w:tc>
      </w:tr>
    </w:tbl>
    <w:p>
      <w:pPr>
        <w:spacing w:before="120"/>
      </w:pP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828925"/>
                    </a:xfrm>
                    <a:prstGeom prst="rect"/>
                  </pic:spPr>
                </pic:pic>
              </a:graphicData>
            </a:graphic>
          </wp:inline>
        </w:drawing>
      </w:r>
    </w:p>
    <w:p>
      <w:pPr>
        <w:spacing w:after="160"/>
        <w:jc w:val="center"/>
      </w:pPr>
      <w:r>
        <w:rPr>
          <w:rFonts w:ascii="Calibri" w:hAnsi="Calibri"/>
          <w:i/>
          <w:color w:val="64748B"/>
          <w:sz w:val="17"/>
        </w:rPr>
        <w:t>Figure 1: Evidence demonstrating the reported behavior for VULN-001: Arbitrary File Upload via Unrestricted Extension Validation</w:t>
      </w:r>
    </w:p>
    <w:p>
      <w:pPr>
        <w:spacing w:before="120" w:after="40"/>
      </w:pPr>
      <w:r>
        <w:rPr>
          <w:b/>
          <w:color w:val="047857"/>
          <w:sz w:val="20"/>
        </w:rPr>
        <w:t>E. Technical Remediation (Code / Configuration Guidance)</w:t>
      </w:r>
    </w:p>
    <w:p>
      <w:pPr>
        <w:spacing w:after="120"/>
      </w:pPr>
      <w:r>
        <w:t>Enforce a strict whitelist of permitted file extensions (e.g. .png, .jpg, .pdf). Verify file contents using server-side magic byte inspection. Store files outside the web root or in an isolated private cloud storage bucket (AWS S3) with generated random filenames.</w:t>
      </w:r>
    </w:p>
    <w:p>
      <w:pPr>
        <w:spacing w:before="80" w:after="40"/>
      </w:pPr>
      <w:r>
        <w:rPr>
          <w:b/>
          <w:color w:val="1E3A8A"/>
          <w:sz w:val="20"/>
        </w:rPr>
        <w:t>F. Defense-in-Depth Architectural Mitigation</w:t>
      </w:r>
    </w:p>
    <w:p>
      <w:pPr>
        <w:spacing w:after="280"/>
      </w:pPr>
      <w:r>
        <w:t>Configure the web server to disable script execution in the upload directory; serve user-uploaded files with Content-Disposition: attachment and X-Content-Type-Options: nosniff headers.</w:t>
      </w:r>
    </w:p>
    <w:p>
      <w:pPr>
        <w:pStyle w:val="Heading2"/>
        <w:keepNext/>
        <w:spacing w:before="280" w:after="120"/>
      </w:pPr>
      <w:r>
        <w:rPr>
          <w:rFonts w:ascii="Calibri" w:hAnsi="Calibri"/>
          <w:b/>
          <w:color w:val="1E3A8A"/>
          <w:sz w:val="26"/>
        </w:rPr>
        <w:t>VULN-002: Path Traversal &amp; Destination Storage Directory Escapes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B91C1C"/>
                <w:sz w:val="18"/>
              </w:rPr>
              <w:t>CRITICAL</w:t>
            </w:r>
          </w:p>
        </w:tc>
        <w:tc>
          <w:tcPr>
            <w:tcW w:type="dxa" w:w="2592"/>
            <w:tcMar>
              <w:top w:w="60" w:type="dxa"/>
              <w:bottom w:w="60" w:type="dxa"/>
              <w:left w:w="80" w:type="dxa"/>
              <w:right w:w="80" w:type="dxa"/>
            </w:tcMar>
          </w:tcPr>
          <w:p>
            <w:r>
              <w:rPr>
                <w:rFonts w:ascii="Calibri" w:hAnsi="Calibri"/>
                <w:sz w:val="18"/>
              </w:rPr>
              <w:t>CWE-22</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File Upload Page</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Supply filenames containing traversal sequences (e.g., `../../../../var/www/shell.php`) in multipart headers.</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GET /api/v1/resource HTTP/1.1</w:t>
              <w:br/>
              <w:t>Host: target.app</w:t>
              <w:br/>
              <w:t>Authorization: Bearer &lt;session_token&gt;</w:t>
              <w:br/>
              <w:br/>
              <w:t>--&gt; HTTP/1.1 200 OK (Unvalidated control response returned)</w:t>
            </w:r>
          </w:p>
        </w:tc>
      </w:tr>
    </w:tbl>
    <w:p>
      <w:pPr>
        <w:spacing w:before="120"/>
      </w:pP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828925"/>
                    </a:xfrm>
                    <a:prstGeom prst="rect"/>
                  </pic:spPr>
                </pic:pic>
              </a:graphicData>
            </a:graphic>
          </wp:inline>
        </w:drawing>
      </w:r>
    </w:p>
    <w:p>
      <w:pPr>
        <w:spacing w:after="160"/>
        <w:jc w:val="center"/>
      </w:pPr>
      <w:r>
        <w:rPr>
          <w:rFonts w:ascii="Calibri" w:hAnsi="Calibri"/>
          <w:i/>
          <w:color w:val="64748B"/>
          <w:sz w:val="17"/>
        </w:rPr>
        <w:t>Figure 2: Evidence demonstrating the reported behavior for VULN-002: Path Traversal &amp; Destination Storage Directory Escapes</w:t>
      </w:r>
    </w:p>
    <w:p>
      <w:pPr>
        <w:spacing w:before="120" w:after="40"/>
      </w:pPr>
      <w:r>
        <w:rPr>
          <w:b/>
          <w:color w:val="047857"/>
          <w:sz w:val="20"/>
        </w:rPr>
        <w:t>E. Technical Remediation (Code / Configuration Guidance)</w:t>
      </w:r>
    </w:p>
    <w:p>
      <w:pPr>
        <w:spacing w:after="120"/>
      </w:pPr>
      <w:r>
        <w:t>Implement strict server-side validation, authentication, and authorization verification for Path Traversal &amp; Destination Storage Directory Escapes.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280"/>
      </w:pPr>
      <w:r>
        <w:t>Enforce defense-in-depth controls including centralized security middleware, comprehensive audit logging, and automated security regression testing.</w:t>
      </w:r>
    </w:p>
    <w:p>
      <w:pPr>
        <w:pStyle w:val="Heading2"/>
        <w:keepNext/>
        <w:spacing w:before="280" w:after="120"/>
      </w:pPr>
      <w:r>
        <w:rPr>
          <w:rFonts w:ascii="Calibri" w:hAnsi="Calibri"/>
          <w:b/>
          <w:color w:val="1E3A8A"/>
          <w:sz w:val="26"/>
        </w:rPr>
        <w:t>VULN-003: Two-Factor Authentication (2FA) Implementation Bypass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B91C1C"/>
                <w:sz w:val="18"/>
              </w:rPr>
              <w:t>CRITICAL</w:t>
            </w:r>
          </w:p>
        </w:tc>
        <w:tc>
          <w:tcPr>
            <w:tcW w:type="dxa" w:w="2592"/>
            <w:tcMar>
              <w:top w:w="60" w:type="dxa"/>
              <w:bottom w:w="60" w:type="dxa"/>
              <w:left w:w="80" w:type="dxa"/>
              <w:right w:w="80" w:type="dxa"/>
            </w:tcMar>
          </w:tcPr>
          <w:p>
            <w:r>
              <w:rPr>
                <w:rFonts w:ascii="Calibri" w:hAnsi="Calibri"/>
                <w:sz w:val="18"/>
              </w:rPr>
              <w:t>CWE-288</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Login / Sign-in Page</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Intercept 2FA challenge response and modify response payload (e.g. {'success': true}) or navigate directly to endpoint.</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GET /api/v1/resource HTTP/1.1</w:t>
              <w:br/>
              <w:t>Host: target.app</w:t>
              <w:br/>
              <w:t>Authorization: Bearer &lt;session_token&gt;</w:t>
              <w:br/>
              <w:br/>
              <w:t>--&gt; HTTP/1.1 200 OK (Unvalidated control response returned)</w:t>
            </w:r>
          </w:p>
        </w:tc>
      </w:tr>
    </w:tbl>
    <w:p>
      <w:pPr>
        <w:spacing w:before="120" w:after="40"/>
      </w:pPr>
      <w:r>
        <w:rPr>
          <w:b/>
          <w:color w:val="047857"/>
          <w:sz w:val="20"/>
        </w:rPr>
        <w:t>E. Technical Remediation (Code / Configuration Guidance)</w:t>
      </w:r>
    </w:p>
    <w:p>
      <w:pPr>
        <w:spacing w:after="120"/>
      </w:pPr>
      <w:r>
        <w:t>Implement strict server-side validation, authentication, and authorization verification for Two-Factor Authentication (2FA) Implementation Bypass.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280"/>
      </w:pPr>
      <w:r>
        <w:t>Enforce defense-in-depth controls including centralized security middleware, comprehensive audit logging, and automated security regression testing.</w:t>
      </w:r>
    </w:p>
    <w:p>
      <w:pPr>
        <w:pStyle w:val="Heading2"/>
        <w:keepNext/>
        <w:spacing w:before="280" w:after="120"/>
      </w:pPr>
      <w:r>
        <w:rPr>
          <w:rFonts w:ascii="Calibri" w:hAnsi="Calibri"/>
          <w:b/>
          <w:color w:val="1E3A8A"/>
          <w:sz w:val="26"/>
        </w:rPr>
        <w:t>VULN-004: Authentication Bypass (SQL Injection / Logic Flaws)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B91C1C"/>
                <w:sz w:val="18"/>
              </w:rPr>
              <w:t>CRITICAL</w:t>
            </w:r>
          </w:p>
        </w:tc>
        <w:tc>
          <w:tcPr>
            <w:tcW w:type="dxa" w:w="2592"/>
            <w:tcMar>
              <w:top w:w="60" w:type="dxa"/>
              <w:bottom w:w="60" w:type="dxa"/>
              <w:left w:w="80" w:type="dxa"/>
              <w:right w:w="80" w:type="dxa"/>
            </w:tcMar>
          </w:tcPr>
          <w:p>
            <w:r>
              <w:rPr>
                <w:rFonts w:ascii="Calibri" w:hAnsi="Calibri"/>
                <w:sz w:val="18"/>
              </w:rPr>
              <w:t>CWE-287</w:t>
            </w:r>
          </w:p>
        </w:tc>
        <w:tc>
          <w:tcPr>
            <w:tcW w:type="dxa" w:w="2304"/>
            <w:tcMar>
              <w:top w:w="60" w:type="dxa"/>
              <w:bottom w:w="60" w:type="dxa"/>
              <w:left w:w="80" w:type="dxa"/>
              <w:right w:w="80" w:type="dxa"/>
            </w:tcMar>
          </w:tcPr>
          <w:p>
            <w:r>
              <w:rPr>
                <w:rFonts w:ascii="Calibri" w:hAnsi="Calibri"/>
                <w:sz w:val="18"/>
              </w:rPr>
              <w:t>8.0</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Login / Sign-in Page; Directly relevant to visible 'Password input'</w:t>
      </w:r>
    </w:p>
    <w:p>
      <w:pPr>
        <w:spacing w:before="80" w:after="40"/>
      </w:pPr>
      <w:r>
        <w:rPr>
          <w:b/>
          <w:color w:val="1E3A8A"/>
          <w:sz w:val="20"/>
        </w:rPr>
        <w:t>B. Business &amp; Technical Impact</w:t>
      </w:r>
    </w:p>
    <w:p>
      <w:pPr>
        <w:spacing w:after="120"/>
      </w:pPr>
      <w:r>
        <w:t>Account takeover, unauthorized access to user data, and failure of authentication boundaries.</w:t>
      </w:r>
    </w:p>
    <w:p>
      <w:pPr>
        <w:spacing w:before="80" w:after="40"/>
      </w:pPr>
      <w:r>
        <w:rPr>
          <w:b/>
          <w:color w:val="1E3A8A"/>
          <w:sz w:val="20"/>
        </w:rPr>
        <w:t>C. Step-by-Step Reproduction Procedure</w:t>
      </w:r>
    </w:p>
    <w:p>
      <w:pPr>
        <w:spacing w:after="120"/>
      </w:pPr>
      <w:r>
        <w:t>Test login inputs with boolean tautologies, string termination, and null byte sequences to assess backend credential verification.</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GET /api/v1/protected HTTP/1.1</w:t>
              <w:br/>
              <w:t>Host: target.app</w:t>
              <w:br/>
              <w:t>Authorization: Bearer &lt;tampered_token&gt;</w:t>
              <w:br/>
              <w:br/>
              <w:t>--&gt; HTTP/1.1 200 OK (Access granted without valid token verification)</w:t>
            </w:r>
          </w:p>
        </w:tc>
      </w:tr>
    </w:tbl>
    <w:p>
      <w:pPr>
        <w:spacing w:before="120"/>
      </w:pPr>
    </w:p>
    <w:p>
      <w:pPr>
        <w:jc w:val="center"/>
      </w:pPr>
      <w:r>
        <w:drawing>
          <wp:inline xmlns:a="http://schemas.openxmlformats.org/drawingml/2006/main" xmlns:pic="http://schemas.openxmlformats.org/drawingml/2006/picture">
            <wp:extent cx="5029200" cy="593582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5935824"/>
                    </a:xfrm>
                    <a:prstGeom prst="rect"/>
                  </pic:spPr>
                </pic:pic>
              </a:graphicData>
            </a:graphic>
          </wp:inline>
        </w:drawing>
      </w:r>
    </w:p>
    <w:p>
      <w:pPr>
        <w:spacing w:after="160"/>
        <w:jc w:val="center"/>
      </w:pPr>
      <w:r>
        <w:rPr>
          <w:rFonts w:ascii="Calibri" w:hAnsi="Calibri"/>
          <w:i/>
          <w:color w:val="64748B"/>
          <w:sz w:val="17"/>
        </w:rPr>
        <w:t>Figure 3: Evidence demonstrating the reported behavior for VULN-004: Authentication Bypass (SQL Injection / Logic Flaws)</w:t>
      </w:r>
    </w:p>
    <w:p>
      <w:pPr>
        <w:spacing w:before="120" w:after="40"/>
      </w:pPr>
      <w:r>
        <w:rPr>
          <w:b/>
          <w:color w:val="047857"/>
          <w:sz w:val="20"/>
        </w:rPr>
        <w:t>E. Technical Remediation (Code / Configuration Guidance)</w:t>
      </w:r>
    </w:p>
    <w:p>
      <w:pPr>
        <w:spacing w:after="120"/>
      </w:pPr>
      <w:r>
        <w:t>Ensure all protected endpoints rigorously validate authentication tokens, verify cryptographic signatures using strong keys, and check token revocation status before fulfilling requests.</w:t>
      </w:r>
    </w:p>
    <w:p>
      <w:pPr>
        <w:spacing w:before="80" w:after="40"/>
      </w:pPr>
      <w:r>
        <w:rPr>
          <w:b/>
          <w:color w:val="1E3A8A"/>
          <w:sz w:val="20"/>
        </w:rPr>
        <w:t>F. Defense-in-Depth Architectural Mitigation</w:t>
      </w:r>
    </w:p>
    <w:p>
      <w:pPr>
        <w:spacing w:after="280"/>
      </w:pPr>
      <w:r>
        <w:t>Use standardized authentication frameworks (OAuth 2.0 / OIDC) rather than custom verification logic; enforce short-lived access tokens with secure refresh token rotation.</w:t>
      </w:r>
    </w:p>
    <w:p>
      <w:pPr>
        <w:pStyle w:val="Heading2"/>
        <w:keepNext/>
        <w:spacing w:before="280" w:after="120"/>
      </w:pPr>
      <w:r>
        <w:rPr>
          <w:rFonts w:ascii="Calibri" w:hAnsi="Calibri"/>
          <w:b/>
          <w:color w:val="1E3A8A"/>
          <w:sz w:val="26"/>
        </w:rPr>
        <w:t>VULN-005: Stored XSS via Malicious SVG Image Upload</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C2410C"/>
                <w:sz w:val="18"/>
              </w:rPr>
              <w:t>HIGH</w:t>
            </w:r>
          </w:p>
        </w:tc>
        <w:tc>
          <w:tcPr>
            <w:tcW w:type="dxa" w:w="2592"/>
            <w:tcMar>
              <w:top w:w="60" w:type="dxa"/>
              <w:bottom w:w="60" w:type="dxa"/>
              <w:left w:w="80" w:type="dxa"/>
              <w:right w:w="80" w:type="dxa"/>
            </w:tcMar>
          </w:tcPr>
          <w:p>
            <w:r>
              <w:rPr>
                <w:rFonts w:ascii="Calibri" w:hAnsi="Calibri"/>
                <w:sz w:val="18"/>
              </w:rPr>
              <w:t>CWE-79</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File Upload Page</w:t>
      </w:r>
    </w:p>
    <w:p>
      <w:pPr>
        <w:spacing w:before="80" w:after="40"/>
      </w:pPr>
      <w:r>
        <w:rPr>
          <w:b/>
          <w:color w:val="1E3A8A"/>
          <w:sz w:val="20"/>
        </w:rPr>
        <w:t>B. Business &amp; Technical Impact</w:t>
      </w:r>
    </w:p>
    <w:p>
      <w:pPr>
        <w:spacing w:after="120"/>
      </w:pPr>
      <w:r>
        <w:t>An attacker can execute arbitrary script in the victim browser session, hijack authenticated session tokens, perform unauthorized actions, or conduct page defacement.</w:t>
      </w:r>
    </w:p>
    <w:p>
      <w:pPr>
        <w:spacing w:before="80" w:after="40"/>
      </w:pPr>
      <w:r>
        <w:rPr>
          <w:b/>
          <w:color w:val="1E3A8A"/>
          <w:sz w:val="20"/>
        </w:rPr>
        <w:t>C. Step-by-Step Reproduction Procedure</w:t>
      </w:r>
    </w:p>
    <w:p>
      <w:pPr>
        <w:spacing w:after="120"/>
      </w:pPr>
      <w:r>
        <w:t>Upload an SVG file containing an embedded `&lt;script&gt;` or onload attribute; browse directly to image URL.</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POST /api/v1/content HTTP/1.1</w:t>
              <w:br/>
              <w:t>Host: target.app</w:t>
              <w:br/>
              <w:t>Content-Type: application/json</w:t>
              <w:br/>
              <w:br/>
              <w:t>{"field": "&lt;img src=x onerror=console.log(document.domain)&gt;"}</w:t>
              <w:br/>
              <w:br/>
              <w:t>--&gt; HTTP/1.1 200 OK (Rendered unescaped in DOM)</w:t>
            </w:r>
          </w:p>
        </w:tc>
      </w:tr>
    </w:tbl>
    <w:p>
      <w:pPr>
        <w:spacing w:before="120"/>
      </w:pPr>
    </w:p>
    <w:p>
      <w:pPr>
        <w:jc w:val="center"/>
      </w:pPr>
      <w:r>
        <w:drawing>
          <wp:inline xmlns:a="http://schemas.openxmlformats.org/drawingml/2006/main" xmlns:pic="http://schemas.openxmlformats.org/drawingml/2006/picture">
            <wp:extent cx="5029200" cy="2459536"/>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459536"/>
                    </a:xfrm>
                    <a:prstGeom prst="rect"/>
                  </pic:spPr>
                </pic:pic>
              </a:graphicData>
            </a:graphic>
          </wp:inline>
        </w:drawing>
      </w:r>
    </w:p>
    <w:p>
      <w:pPr>
        <w:spacing w:after="160"/>
        <w:jc w:val="center"/>
      </w:pPr>
      <w:r>
        <w:rPr>
          <w:rFonts w:ascii="Calibri" w:hAnsi="Calibri"/>
          <w:i/>
          <w:color w:val="64748B"/>
          <w:sz w:val="17"/>
        </w:rPr>
        <w:t>Figure 4: Evidence demonstrating the reported behavior for VULN-005: Stored XSS via Malicious SVG Image Upload</w:t>
      </w:r>
    </w:p>
    <w:p>
      <w:pPr>
        <w:spacing w:before="120" w:after="40"/>
      </w:pPr>
      <w:r>
        <w:rPr>
          <w:b/>
          <w:color w:val="047857"/>
          <w:sz w:val="20"/>
        </w:rPr>
        <w:t>E. Technical Remediation (Code / Configuration Guidance)</w:t>
      </w:r>
    </w:p>
    <w:p>
      <w:pPr>
        <w:spacing w:after="120"/>
      </w:pPr>
      <w:r>
        <w:t>Apply context-aware contextual output encoding (HTML body, attribute, JavaScript variable) before rendering user data. If rich text is required, sanitize markup using DOMPurify with an explicit safe-tag whitelist.</w:t>
      </w:r>
    </w:p>
    <w:p>
      <w:pPr>
        <w:spacing w:before="80" w:after="40"/>
      </w:pPr>
      <w:r>
        <w:rPr>
          <w:b/>
          <w:color w:val="1E3A8A"/>
          <w:sz w:val="20"/>
        </w:rPr>
        <w:t>F. Defense-in-Depth Architectural Mitigation</w:t>
      </w:r>
    </w:p>
    <w:p>
      <w:pPr>
        <w:spacing w:after="280"/>
      </w:pPr>
      <w:r>
        <w:t>Implement a strict Content Security Policy (CSP) header (e.g. Content-Security-Policy: default-src 'self'; script-src 'self' 'nonce-...'). Mark session cookies with HttpOnly and SameSite flags.</w:t>
      </w:r>
    </w:p>
    <w:p>
      <w:pPr>
        <w:pStyle w:val="Heading2"/>
        <w:keepNext/>
        <w:spacing w:before="280" w:after="120"/>
      </w:pPr>
      <w:r>
        <w:rPr>
          <w:rFonts w:ascii="Calibri" w:hAnsi="Calibri"/>
          <w:b/>
          <w:color w:val="1E3A8A"/>
          <w:sz w:val="26"/>
        </w:rPr>
        <w:t>VULN-006: Username &amp; Account Enumeration</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C2410C"/>
                <w:sz w:val="18"/>
              </w:rPr>
              <w:t>HIGH</w:t>
            </w:r>
          </w:p>
        </w:tc>
        <w:tc>
          <w:tcPr>
            <w:tcW w:type="dxa" w:w="2592"/>
            <w:tcMar>
              <w:top w:w="60" w:type="dxa"/>
              <w:bottom w:w="60" w:type="dxa"/>
              <w:left w:w="80" w:type="dxa"/>
              <w:right w:w="80" w:type="dxa"/>
            </w:tcMar>
          </w:tcPr>
          <w:p>
            <w:r>
              <w:rPr>
                <w:rFonts w:ascii="Calibri" w:hAnsi="Calibri"/>
                <w:sz w:val="18"/>
              </w:rPr>
              <w:t>CWE-204</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Login / Sign-in Page</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Submit known vs. non-existent usernames and compare HTTP response codes, timing differentials, and error messages.</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GET /api/v1/resource HTTP/1.1</w:t>
              <w:br/>
              <w:t>Host: target.app</w:t>
              <w:br/>
              <w:t>Authorization: Bearer &lt;session_token&gt;</w:t>
              <w:br/>
              <w:br/>
              <w:t>--&gt; HTTP/1.1 200 OK (Unvalidated control response returned)</w:t>
            </w:r>
          </w:p>
        </w:tc>
      </w:tr>
    </w:tbl>
    <w:p>
      <w:pPr>
        <w:spacing w:before="120"/>
      </w:pPr>
    </w:p>
    <w:p>
      <w:pPr>
        <w:jc w:val="center"/>
      </w:pPr>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828925"/>
                    </a:xfrm>
                    <a:prstGeom prst="rect"/>
                  </pic:spPr>
                </pic:pic>
              </a:graphicData>
            </a:graphic>
          </wp:inline>
        </w:drawing>
      </w:r>
    </w:p>
    <w:p>
      <w:pPr>
        <w:spacing w:after="160"/>
        <w:jc w:val="center"/>
      </w:pPr>
      <w:r>
        <w:rPr>
          <w:rFonts w:ascii="Calibri" w:hAnsi="Calibri"/>
          <w:i/>
          <w:color w:val="64748B"/>
          <w:sz w:val="17"/>
        </w:rPr>
        <w:t>Figure 5: Evidence demonstrating the reported behavior for VULN-006: Username &amp; Account Enumeration</w:t>
      </w:r>
    </w:p>
    <w:p>
      <w:pPr>
        <w:spacing w:before="120" w:after="40"/>
      </w:pPr>
      <w:r>
        <w:rPr>
          <w:b/>
          <w:color w:val="047857"/>
          <w:sz w:val="20"/>
        </w:rPr>
        <w:t>E. Technical Remediation (Code / Configuration Guidance)</w:t>
      </w:r>
    </w:p>
    <w:p>
      <w:pPr>
        <w:spacing w:after="120"/>
      </w:pPr>
      <w:r>
        <w:t>Implement strict server-side validation, authentication, and authorization verification for Username &amp; Account Enumeration.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280"/>
      </w:pPr>
      <w:r>
        <w:t>Enforce defense-in-depth controls including centralized security middleware, comprehensive audit logging, and automated security regression testing.</w:t>
      </w:r>
    </w:p>
    <w:p>
      <w:pPr>
        <w:pStyle w:val="Heading2"/>
        <w:keepNext/>
        <w:spacing w:before="280" w:after="120"/>
      </w:pPr>
      <w:r>
        <w:rPr>
          <w:rFonts w:ascii="Calibri" w:hAnsi="Calibri"/>
          <w:b/>
          <w:color w:val="1E3A8A"/>
          <w:sz w:val="26"/>
        </w:rPr>
        <w:t>VULN-007: Credential Caching &amp; Form Autocomplete Directive</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047857"/>
                <w:sz w:val="18"/>
              </w:rPr>
              <w:t>LOW</w:t>
            </w:r>
          </w:p>
        </w:tc>
        <w:tc>
          <w:tcPr>
            <w:tcW w:type="dxa" w:w="2592"/>
            <w:tcMar>
              <w:top w:w="60" w:type="dxa"/>
              <w:bottom w:w="60" w:type="dxa"/>
              <w:left w:w="80" w:type="dxa"/>
              <w:right w:w="80" w:type="dxa"/>
            </w:tcMar>
          </w:tcPr>
          <w:p>
            <w:r>
              <w:rPr>
                <w:rFonts w:ascii="Calibri" w:hAnsi="Calibri"/>
                <w:sz w:val="18"/>
              </w:rPr>
              <w:t>CWE-524</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Standard risk area for Login / Sign-in Page; Directly relevant to visible 'Password input'</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Inspect form tag and password input DOM attributes for autocomplete='off' or 'new-password' compliance.</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GET /api/v1/resource HTTP/1.1</w:t>
              <w:br/>
              <w:t>Host: target.app</w:t>
              <w:br/>
              <w:t>Authorization: Bearer &lt;session_token&gt;</w:t>
              <w:br/>
              <w:br/>
              <w:t>--&gt; HTTP/1.1 200 OK (Unvalidated control response returned)</w:t>
            </w:r>
          </w:p>
        </w:tc>
      </w:tr>
    </w:tbl>
    <w:p>
      <w:pPr>
        <w:spacing w:before="120"/>
      </w:pPr>
    </w:p>
    <w:p>
      <w:pPr>
        <w:jc w:val="center"/>
      </w:pPr>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828925"/>
                    </a:xfrm>
                    <a:prstGeom prst="rect"/>
                  </pic:spPr>
                </pic:pic>
              </a:graphicData>
            </a:graphic>
          </wp:inline>
        </w:drawing>
      </w:r>
    </w:p>
    <w:p>
      <w:pPr>
        <w:spacing w:after="160"/>
        <w:jc w:val="center"/>
      </w:pPr>
      <w:r>
        <w:rPr>
          <w:rFonts w:ascii="Calibri" w:hAnsi="Calibri"/>
          <w:i/>
          <w:color w:val="64748B"/>
          <w:sz w:val="17"/>
        </w:rPr>
        <w:t>Figure 6: Evidence demonstrating the reported behavior for VULN-007: Credential Caching &amp; Form Autocomplete Directive</w:t>
      </w:r>
    </w:p>
    <w:p>
      <w:pPr>
        <w:spacing w:before="120" w:after="40"/>
      </w:pPr>
      <w:r>
        <w:rPr>
          <w:b/>
          <w:color w:val="047857"/>
          <w:sz w:val="20"/>
        </w:rPr>
        <w:t>E. Technical Remediation (Code / Configuration Guidance)</w:t>
      </w:r>
    </w:p>
    <w:p>
      <w:pPr>
        <w:spacing w:after="120"/>
      </w:pPr>
      <w:r>
        <w:t>Implement strict server-side validation, authentication, and authorization verification for Credential Caching &amp; Form Autocomplete Directive.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280"/>
      </w:pPr>
      <w:r>
        <w:t>Enforce defense-in-depth controls including centralized security middleware, comprehensive audit logging, and automated security regression testing.</w:t>
      </w:r>
    </w:p>
    <w:p>
      <w:r>
        <w:br w:type="page"/>
      </w:r>
    </w:p>
    <w:p>
      <w:pPr>
        <w:pStyle w:val="Heading1"/>
        <w:keepNext/>
        <w:spacing w:before="280" w:after="120"/>
      </w:pPr>
      <w:r>
        <w:rPr>
          <w:rFonts w:ascii="Calibri" w:hAnsi="Calibri"/>
          <w:b/>
          <w:color w:val="1E3A8A"/>
          <w:sz w:val="32"/>
        </w:rPr>
        <w:t>7. Prioritized Remediation Action Plan</w:t>
      </w:r>
    </w:p>
    <w:p>
      <w:r>
        <w:t>The following remediation action plan prioritizes vulnerability resolution based on risk severity. Engineering teams should address Critical and High severity findings according to the designated service level targets.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3A8A"/>
            <w:tcMar>
              <w:top w:w="100" w:type="dxa"/>
              <w:bottom w:w="100" w:type="dxa"/>
              <w:left w:w="100" w:type="dxa"/>
              <w:right w:w="100" w:type="dxa"/>
            </w:tcMar>
          </w:tcPr>
          <w:p>
            <w:r>
              <w:rPr>
                <w:rFonts w:ascii="Calibri" w:hAnsi="Calibri"/>
                <w:b/>
                <w:color w:val="FFFFFF"/>
                <w:sz w:val="18"/>
              </w:rPr>
              <w:t>Finding ID</w:t>
            </w:r>
          </w:p>
        </w:tc>
        <w:tc>
          <w:tcPr>
            <w:tcW w:type="dxa" w:w="1440"/>
            <w:shd w:fill="1E3A8A"/>
            <w:tcMar>
              <w:top w:w="100" w:type="dxa"/>
              <w:bottom w:w="100" w:type="dxa"/>
              <w:left w:w="100" w:type="dxa"/>
              <w:right w:w="100" w:type="dxa"/>
            </w:tcMar>
          </w:tcPr>
          <w:p>
            <w:r>
              <w:rPr>
                <w:rFonts w:ascii="Calibri" w:hAnsi="Calibri"/>
                <w:b/>
                <w:color w:val="FFFFFF"/>
                <w:sz w:val="18"/>
              </w:rPr>
              <w:t>Priority</w:t>
            </w:r>
          </w:p>
        </w:tc>
        <w:tc>
          <w:tcPr>
            <w:tcW w:type="dxa" w:w="3744"/>
            <w:shd w:fill="1E3A8A"/>
            <w:tcMar>
              <w:top w:w="100" w:type="dxa"/>
              <w:bottom w:w="100" w:type="dxa"/>
              <w:left w:w="100" w:type="dxa"/>
              <w:right w:w="100" w:type="dxa"/>
            </w:tcMar>
          </w:tcPr>
          <w:p>
            <w:r>
              <w:rPr>
                <w:rFonts w:ascii="Calibri" w:hAnsi="Calibri"/>
                <w:b/>
                <w:color w:val="FFFFFF"/>
                <w:sz w:val="18"/>
              </w:rPr>
              <w:t>Recommended Action</w:t>
            </w:r>
          </w:p>
        </w:tc>
        <w:tc>
          <w:tcPr>
            <w:tcW w:type="dxa" w:w="1440"/>
            <w:shd w:fill="1E3A8A"/>
            <w:tcMar>
              <w:top w:w="100" w:type="dxa"/>
              <w:bottom w:w="100" w:type="dxa"/>
              <w:left w:w="100" w:type="dxa"/>
              <w:right w:w="100" w:type="dxa"/>
            </w:tcMar>
          </w:tcPr>
          <w:p>
            <w:r>
              <w:rPr>
                <w:rFonts w:ascii="Calibri" w:hAnsi="Calibri"/>
                <w:b/>
                <w:color w:val="FFFFFF"/>
                <w:sz w:val="18"/>
              </w:rPr>
              <w:t>Status</w:t>
            </w:r>
          </w:p>
        </w:tc>
        <w:tc>
          <w:tcPr>
            <w:tcW w:type="dxa" w:w="1296"/>
            <w:shd w:fill="1E3A8A"/>
            <w:tcMar>
              <w:top w:w="100" w:type="dxa"/>
              <w:bottom w:w="100" w:type="dxa"/>
              <w:left w:w="100" w:type="dxa"/>
              <w:right w:w="100" w:type="dxa"/>
            </w:tcMar>
          </w:tcPr>
          <w:p>
            <w:r>
              <w:rPr>
                <w:rFonts w:ascii="Calibri" w:hAnsi="Calibri"/>
                <w:b/>
                <w:color w:val="FFFFFF"/>
                <w:sz w:val="18"/>
              </w:rPr>
              <w:t>Target SLA</w:t>
            </w:r>
          </w:p>
        </w:tc>
      </w:tr>
      <w:tr>
        <w:tc>
          <w:tcPr>
            <w:tcW w:type="dxa" w:w="1440"/>
            <w:tcMar>
              <w:top w:w="60" w:type="dxa"/>
              <w:bottom w:w="60" w:type="dxa"/>
              <w:left w:w="80" w:type="dxa"/>
              <w:right w:w="80" w:type="dxa"/>
            </w:tcMar>
          </w:tcPr>
          <w:p>
            <w:r>
              <w:rPr>
                <w:rFonts w:ascii="Calibri" w:hAnsi="Calibri"/>
                <w:b/>
                <w:sz w:val="17"/>
              </w:rPr>
              <w:t>VULN-001</w:t>
            </w:r>
          </w:p>
        </w:tc>
        <w:tc>
          <w:tcPr>
            <w:tcW w:type="dxa" w:w="1440"/>
            <w:tcMar>
              <w:top w:w="60" w:type="dxa"/>
              <w:bottom w:w="60" w:type="dxa"/>
              <w:left w:w="80" w:type="dxa"/>
              <w:right w:w="80" w:type="dxa"/>
            </w:tcMar>
          </w:tcPr>
          <w:p>
            <w:r>
              <w:rPr>
                <w:rFonts w:ascii="Calibri" w:hAnsi="Calibri"/>
                <w:b/>
                <w:color w:val="B91C1C"/>
                <w:sz w:val="17"/>
              </w:rPr>
              <w:t>CRITICAL</w:t>
            </w:r>
          </w:p>
        </w:tc>
        <w:tc>
          <w:tcPr>
            <w:tcW w:type="dxa" w:w="3744"/>
            <w:tcMar>
              <w:top w:w="60" w:type="dxa"/>
              <w:bottom w:w="60" w:type="dxa"/>
              <w:left w:w="80" w:type="dxa"/>
              <w:right w:w="80" w:type="dxa"/>
            </w:tcMar>
          </w:tcPr>
          <w:p>
            <w:r>
              <w:rPr>
                <w:rFonts w:ascii="Calibri" w:hAnsi="Calibri"/>
                <w:sz w:val="17"/>
              </w:rPr>
              <w:t>Enforce a strict whitelist of permitted file extensions (e.g. .png, .jpg, .pdf). Verify file contents using server-side magic byte inspection. Store files ou...</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24-48 Hours</w:t>
            </w:r>
          </w:p>
        </w:tc>
      </w:tr>
      <w:tr>
        <w:tc>
          <w:tcPr>
            <w:tcW w:type="dxa" w:w="1440"/>
            <w:tcMar>
              <w:top w:w="60" w:type="dxa"/>
              <w:bottom w:w="60" w:type="dxa"/>
              <w:left w:w="80" w:type="dxa"/>
              <w:right w:w="80" w:type="dxa"/>
            </w:tcMar>
            <w:shd w:fill="F1F5F9"/>
          </w:tcPr>
          <w:p>
            <w:r>
              <w:rPr>
                <w:rFonts w:ascii="Calibri" w:hAnsi="Calibri"/>
                <w:b/>
                <w:sz w:val="17"/>
              </w:rPr>
              <w:t>VULN-002</w:t>
            </w:r>
          </w:p>
        </w:tc>
        <w:tc>
          <w:tcPr>
            <w:tcW w:type="dxa" w:w="1440"/>
            <w:tcMar>
              <w:top w:w="60" w:type="dxa"/>
              <w:bottom w:w="60" w:type="dxa"/>
              <w:left w:w="80" w:type="dxa"/>
              <w:right w:w="80" w:type="dxa"/>
            </w:tcMar>
            <w:shd w:fill="F1F5F9"/>
          </w:tcPr>
          <w:p>
            <w:r>
              <w:rPr>
                <w:rFonts w:ascii="Calibri" w:hAnsi="Calibri"/>
                <w:b/>
                <w:color w:val="B91C1C"/>
                <w:sz w:val="17"/>
              </w:rPr>
              <w:t>CRITICAL</w:t>
            </w:r>
          </w:p>
        </w:tc>
        <w:tc>
          <w:tcPr>
            <w:tcW w:type="dxa" w:w="3744"/>
            <w:tcMar>
              <w:top w:w="60" w:type="dxa"/>
              <w:bottom w:w="60" w:type="dxa"/>
              <w:left w:w="80" w:type="dxa"/>
              <w:right w:w="80" w:type="dxa"/>
            </w:tcMar>
            <w:shd w:fill="F1F5F9"/>
          </w:tcPr>
          <w:p>
            <w:r>
              <w:rPr>
                <w:rFonts w:ascii="Calibri" w:hAnsi="Calibri"/>
                <w:sz w:val="17"/>
              </w:rPr>
              <w:t>Implement strict server-side validation, authentication, and authorization verification for Path Traversal &amp; Destination Storage Directory Escapes. Ensure th...</w:t>
            </w:r>
          </w:p>
        </w:tc>
        <w:tc>
          <w:tcPr>
            <w:tcW w:type="dxa" w:w="1440"/>
            <w:tcMar>
              <w:top w:w="60" w:type="dxa"/>
              <w:bottom w:w="60" w:type="dxa"/>
              <w:left w:w="80" w:type="dxa"/>
              <w:right w:w="80" w:type="dxa"/>
            </w:tcMar>
            <w:shd w:fill="F1F5F9"/>
          </w:tcPr>
          <w:p>
            <w:r>
              <w:rPr>
                <w:rFonts w:ascii="Calibri" w:hAnsi="Calibri"/>
                <w:sz w:val="17"/>
              </w:rPr>
              <w:t>NOT_STARTED</w:t>
            </w:r>
          </w:p>
        </w:tc>
        <w:tc>
          <w:tcPr>
            <w:tcW w:type="dxa" w:w="1296"/>
            <w:tcMar>
              <w:top w:w="60" w:type="dxa"/>
              <w:bottom w:w="60" w:type="dxa"/>
              <w:left w:w="80" w:type="dxa"/>
              <w:right w:w="80" w:type="dxa"/>
            </w:tcMar>
            <w:shd w:fill="F1F5F9"/>
          </w:tcPr>
          <w:p>
            <w:r>
              <w:rPr>
                <w:rFonts w:ascii="Calibri" w:hAnsi="Calibri"/>
                <w:sz w:val="17"/>
              </w:rPr>
              <w:t>24-48 Hours</w:t>
            </w:r>
          </w:p>
        </w:tc>
      </w:tr>
      <w:tr>
        <w:tc>
          <w:tcPr>
            <w:tcW w:type="dxa" w:w="1440"/>
            <w:tcMar>
              <w:top w:w="60" w:type="dxa"/>
              <w:bottom w:w="60" w:type="dxa"/>
              <w:left w:w="80" w:type="dxa"/>
              <w:right w:w="80" w:type="dxa"/>
            </w:tcMar>
          </w:tcPr>
          <w:p>
            <w:r>
              <w:rPr>
                <w:rFonts w:ascii="Calibri" w:hAnsi="Calibri"/>
                <w:b/>
                <w:sz w:val="17"/>
              </w:rPr>
              <w:t>VULN-003</w:t>
            </w:r>
          </w:p>
        </w:tc>
        <w:tc>
          <w:tcPr>
            <w:tcW w:type="dxa" w:w="1440"/>
            <w:tcMar>
              <w:top w:w="60" w:type="dxa"/>
              <w:bottom w:w="60" w:type="dxa"/>
              <w:left w:w="80" w:type="dxa"/>
              <w:right w:w="80" w:type="dxa"/>
            </w:tcMar>
          </w:tcPr>
          <w:p>
            <w:r>
              <w:rPr>
                <w:rFonts w:ascii="Calibri" w:hAnsi="Calibri"/>
                <w:b/>
                <w:color w:val="B91C1C"/>
                <w:sz w:val="17"/>
              </w:rPr>
              <w:t>CRITICAL</w:t>
            </w:r>
          </w:p>
        </w:tc>
        <w:tc>
          <w:tcPr>
            <w:tcW w:type="dxa" w:w="3744"/>
            <w:tcMar>
              <w:top w:w="60" w:type="dxa"/>
              <w:bottom w:w="60" w:type="dxa"/>
              <w:left w:w="80" w:type="dxa"/>
              <w:right w:w="80" w:type="dxa"/>
            </w:tcMar>
          </w:tcPr>
          <w:p>
            <w:r>
              <w:rPr>
                <w:rFonts w:ascii="Calibri" w:hAnsi="Calibri"/>
                <w:sz w:val="17"/>
              </w:rPr>
              <w:t>Implement strict server-side validation, authentication, and authorization verification for Two-Factor Authentication (2FA) Implementation Bypass. Ensure tha...</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24-48 Hours</w:t>
            </w:r>
          </w:p>
        </w:tc>
      </w:tr>
      <w:tr>
        <w:tc>
          <w:tcPr>
            <w:tcW w:type="dxa" w:w="1440"/>
            <w:tcMar>
              <w:top w:w="60" w:type="dxa"/>
              <w:bottom w:w="60" w:type="dxa"/>
              <w:left w:w="80" w:type="dxa"/>
              <w:right w:w="80" w:type="dxa"/>
            </w:tcMar>
            <w:shd w:fill="F1F5F9"/>
          </w:tcPr>
          <w:p>
            <w:r>
              <w:rPr>
                <w:rFonts w:ascii="Calibri" w:hAnsi="Calibri"/>
                <w:b/>
                <w:sz w:val="17"/>
              </w:rPr>
              <w:t>VULN-004</w:t>
            </w:r>
          </w:p>
        </w:tc>
        <w:tc>
          <w:tcPr>
            <w:tcW w:type="dxa" w:w="1440"/>
            <w:tcMar>
              <w:top w:w="60" w:type="dxa"/>
              <w:bottom w:w="60" w:type="dxa"/>
              <w:left w:w="80" w:type="dxa"/>
              <w:right w:w="80" w:type="dxa"/>
            </w:tcMar>
            <w:shd w:fill="F1F5F9"/>
          </w:tcPr>
          <w:p>
            <w:r>
              <w:rPr>
                <w:rFonts w:ascii="Calibri" w:hAnsi="Calibri"/>
                <w:b/>
                <w:color w:val="B91C1C"/>
                <w:sz w:val="17"/>
              </w:rPr>
              <w:t>CRITICAL</w:t>
            </w:r>
          </w:p>
        </w:tc>
        <w:tc>
          <w:tcPr>
            <w:tcW w:type="dxa" w:w="3744"/>
            <w:tcMar>
              <w:top w:w="60" w:type="dxa"/>
              <w:bottom w:w="60" w:type="dxa"/>
              <w:left w:w="80" w:type="dxa"/>
              <w:right w:w="80" w:type="dxa"/>
            </w:tcMar>
            <w:shd w:fill="F1F5F9"/>
          </w:tcPr>
          <w:p>
            <w:r>
              <w:rPr>
                <w:rFonts w:ascii="Calibri" w:hAnsi="Calibri"/>
                <w:sz w:val="17"/>
              </w:rPr>
              <w:t>Ensure all protected endpoints rigorously validate authentication tokens, verify cryptographic signatures using strong keys, and check token revocation statu...</w:t>
            </w:r>
          </w:p>
        </w:tc>
        <w:tc>
          <w:tcPr>
            <w:tcW w:type="dxa" w:w="1440"/>
            <w:tcMar>
              <w:top w:w="60" w:type="dxa"/>
              <w:bottom w:w="60" w:type="dxa"/>
              <w:left w:w="80" w:type="dxa"/>
              <w:right w:w="80" w:type="dxa"/>
            </w:tcMar>
            <w:shd w:fill="F1F5F9"/>
          </w:tcPr>
          <w:p>
            <w:r>
              <w:rPr>
                <w:rFonts w:ascii="Calibri" w:hAnsi="Calibri"/>
                <w:sz w:val="17"/>
              </w:rPr>
              <w:t>NOT_STARTED</w:t>
            </w:r>
          </w:p>
        </w:tc>
        <w:tc>
          <w:tcPr>
            <w:tcW w:type="dxa" w:w="1296"/>
            <w:tcMar>
              <w:top w:w="60" w:type="dxa"/>
              <w:bottom w:w="60" w:type="dxa"/>
              <w:left w:w="80" w:type="dxa"/>
              <w:right w:w="80" w:type="dxa"/>
            </w:tcMar>
            <w:shd w:fill="F1F5F9"/>
          </w:tcPr>
          <w:p>
            <w:r>
              <w:rPr>
                <w:rFonts w:ascii="Calibri" w:hAnsi="Calibri"/>
                <w:sz w:val="17"/>
              </w:rPr>
              <w:t>24-48 Hours</w:t>
            </w:r>
          </w:p>
        </w:tc>
      </w:tr>
      <w:tr>
        <w:tc>
          <w:tcPr>
            <w:tcW w:type="dxa" w:w="1440"/>
            <w:tcMar>
              <w:top w:w="60" w:type="dxa"/>
              <w:bottom w:w="60" w:type="dxa"/>
              <w:left w:w="80" w:type="dxa"/>
              <w:right w:w="80" w:type="dxa"/>
            </w:tcMar>
          </w:tcPr>
          <w:p>
            <w:r>
              <w:rPr>
                <w:rFonts w:ascii="Calibri" w:hAnsi="Calibri"/>
                <w:b/>
                <w:sz w:val="17"/>
              </w:rPr>
              <w:t>VULN-005</w:t>
            </w:r>
          </w:p>
        </w:tc>
        <w:tc>
          <w:tcPr>
            <w:tcW w:type="dxa" w:w="1440"/>
            <w:tcMar>
              <w:top w:w="60" w:type="dxa"/>
              <w:bottom w:w="60" w:type="dxa"/>
              <w:left w:w="80" w:type="dxa"/>
              <w:right w:w="80" w:type="dxa"/>
            </w:tcMar>
          </w:tcPr>
          <w:p>
            <w:r>
              <w:rPr>
                <w:rFonts w:ascii="Calibri" w:hAnsi="Calibri"/>
                <w:b/>
                <w:color w:val="C2410C"/>
                <w:sz w:val="17"/>
              </w:rPr>
              <w:t>HIGH</w:t>
            </w:r>
          </w:p>
        </w:tc>
        <w:tc>
          <w:tcPr>
            <w:tcW w:type="dxa" w:w="3744"/>
            <w:tcMar>
              <w:top w:w="60" w:type="dxa"/>
              <w:bottom w:w="60" w:type="dxa"/>
              <w:left w:w="80" w:type="dxa"/>
              <w:right w:w="80" w:type="dxa"/>
            </w:tcMar>
          </w:tcPr>
          <w:p>
            <w:r>
              <w:rPr>
                <w:rFonts w:ascii="Calibri" w:hAnsi="Calibri"/>
                <w:sz w:val="17"/>
              </w:rPr>
              <w:t>Apply context-aware contextual output encoding (HTML body, attribute, JavaScript variable) before rendering user data. If rich text is required, sanitize mar...</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7 Days</w:t>
            </w:r>
          </w:p>
        </w:tc>
      </w:tr>
      <w:tr>
        <w:tc>
          <w:tcPr>
            <w:tcW w:type="dxa" w:w="1440"/>
            <w:tcMar>
              <w:top w:w="60" w:type="dxa"/>
              <w:bottom w:w="60" w:type="dxa"/>
              <w:left w:w="80" w:type="dxa"/>
              <w:right w:w="80" w:type="dxa"/>
            </w:tcMar>
            <w:shd w:fill="F1F5F9"/>
          </w:tcPr>
          <w:p>
            <w:r>
              <w:rPr>
                <w:rFonts w:ascii="Calibri" w:hAnsi="Calibri"/>
                <w:b/>
                <w:sz w:val="17"/>
              </w:rPr>
              <w:t>VULN-006</w:t>
            </w:r>
          </w:p>
        </w:tc>
        <w:tc>
          <w:tcPr>
            <w:tcW w:type="dxa" w:w="1440"/>
            <w:tcMar>
              <w:top w:w="60" w:type="dxa"/>
              <w:bottom w:w="60" w:type="dxa"/>
              <w:left w:w="80" w:type="dxa"/>
              <w:right w:w="80" w:type="dxa"/>
            </w:tcMar>
            <w:shd w:fill="F1F5F9"/>
          </w:tcPr>
          <w:p>
            <w:r>
              <w:rPr>
                <w:rFonts w:ascii="Calibri" w:hAnsi="Calibri"/>
                <w:b/>
                <w:color w:val="C2410C"/>
                <w:sz w:val="17"/>
              </w:rPr>
              <w:t>HIGH</w:t>
            </w:r>
          </w:p>
        </w:tc>
        <w:tc>
          <w:tcPr>
            <w:tcW w:type="dxa" w:w="3744"/>
            <w:tcMar>
              <w:top w:w="60" w:type="dxa"/>
              <w:bottom w:w="60" w:type="dxa"/>
              <w:left w:w="80" w:type="dxa"/>
              <w:right w:w="80" w:type="dxa"/>
            </w:tcMar>
            <w:shd w:fill="F1F5F9"/>
          </w:tcPr>
          <w:p>
            <w:r>
              <w:rPr>
                <w:rFonts w:ascii="Calibri" w:hAnsi="Calibri"/>
                <w:sz w:val="17"/>
              </w:rPr>
              <w:t>Implement strict server-side validation, authentication, and authorization verification for Username &amp; Account Enumeration. Ensure that all inputs are valida...</w:t>
            </w:r>
          </w:p>
        </w:tc>
        <w:tc>
          <w:tcPr>
            <w:tcW w:type="dxa" w:w="1440"/>
            <w:tcMar>
              <w:top w:w="60" w:type="dxa"/>
              <w:bottom w:w="60" w:type="dxa"/>
              <w:left w:w="80" w:type="dxa"/>
              <w:right w:w="80" w:type="dxa"/>
            </w:tcMar>
            <w:shd w:fill="F1F5F9"/>
          </w:tcPr>
          <w:p>
            <w:r>
              <w:rPr>
                <w:rFonts w:ascii="Calibri" w:hAnsi="Calibri"/>
                <w:sz w:val="17"/>
              </w:rPr>
              <w:t>NOT_STARTED</w:t>
            </w:r>
          </w:p>
        </w:tc>
        <w:tc>
          <w:tcPr>
            <w:tcW w:type="dxa" w:w="1296"/>
            <w:tcMar>
              <w:top w:w="60" w:type="dxa"/>
              <w:bottom w:w="60" w:type="dxa"/>
              <w:left w:w="80" w:type="dxa"/>
              <w:right w:w="80" w:type="dxa"/>
            </w:tcMar>
            <w:shd w:fill="F1F5F9"/>
          </w:tcPr>
          <w:p>
            <w:r>
              <w:rPr>
                <w:rFonts w:ascii="Calibri" w:hAnsi="Calibri"/>
                <w:sz w:val="17"/>
              </w:rPr>
              <w:t>7 Days</w:t>
            </w:r>
          </w:p>
        </w:tc>
      </w:tr>
      <w:tr>
        <w:tc>
          <w:tcPr>
            <w:tcW w:type="dxa" w:w="1440"/>
            <w:tcMar>
              <w:top w:w="60" w:type="dxa"/>
              <w:bottom w:w="60" w:type="dxa"/>
              <w:left w:w="80" w:type="dxa"/>
              <w:right w:w="80" w:type="dxa"/>
            </w:tcMar>
          </w:tcPr>
          <w:p>
            <w:r>
              <w:rPr>
                <w:rFonts w:ascii="Calibri" w:hAnsi="Calibri"/>
                <w:b/>
                <w:sz w:val="17"/>
              </w:rPr>
              <w:t>VULN-007</w:t>
            </w:r>
          </w:p>
        </w:tc>
        <w:tc>
          <w:tcPr>
            <w:tcW w:type="dxa" w:w="1440"/>
            <w:tcMar>
              <w:top w:w="60" w:type="dxa"/>
              <w:bottom w:w="60" w:type="dxa"/>
              <w:left w:w="80" w:type="dxa"/>
              <w:right w:w="80" w:type="dxa"/>
            </w:tcMar>
          </w:tcPr>
          <w:p>
            <w:r>
              <w:rPr>
                <w:rFonts w:ascii="Calibri" w:hAnsi="Calibri"/>
                <w:b/>
                <w:color w:val="047857"/>
                <w:sz w:val="17"/>
              </w:rPr>
              <w:t>LOW</w:t>
            </w:r>
          </w:p>
        </w:tc>
        <w:tc>
          <w:tcPr>
            <w:tcW w:type="dxa" w:w="3744"/>
            <w:tcMar>
              <w:top w:w="60" w:type="dxa"/>
              <w:bottom w:w="60" w:type="dxa"/>
              <w:left w:w="80" w:type="dxa"/>
              <w:right w:w="80" w:type="dxa"/>
            </w:tcMar>
          </w:tcPr>
          <w:p>
            <w:r>
              <w:rPr>
                <w:rFonts w:ascii="Calibri" w:hAnsi="Calibri"/>
                <w:sz w:val="17"/>
              </w:rPr>
              <w:t>Implement strict server-side validation, authentication, and authorization verification for Credential Caching &amp; Form Autocomplete Directive. Ensure that all...</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90 Days</w:t>
            </w:r>
          </w:p>
        </w:tc>
      </w:tr>
    </w:tbl>
    <w:p>
      <w:pPr>
        <w:pStyle w:val="Heading1"/>
        <w:keepNext/>
        <w:spacing w:before="280" w:after="120"/>
      </w:pPr>
      <w:r>
        <w:rPr>
          <w:rFonts w:ascii="Calibri" w:hAnsi="Calibri"/>
          <w:b/>
          <w:color w:val="1E3A8A"/>
          <w:sz w:val="32"/>
        </w:rPr>
        <w:t>8. Assessment Conclusion &amp; Formal Sign-Off</w:t>
      </w:r>
    </w:p>
    <w:p>
      <w:pPr>
        <w:spacing w:after="480"/>
      </w:pPr>
      <w:r>
        <w:t>This assessment reflects the security posture of the target interface at the time of testing. Cybersecurity testing is an iterative process; upon completion of any recommended remediations, a re-testing verification cycle is strongly advised to confirm that identified vulnerabilities have been resolved without introducing regression defects.</w:t>
      </w:r>
    </w:p>
    <w:tbl>
      <w:tblPr>
        <w:tblW w:type="auto" w:w="0"/>
        <w:jc w:val="center"/>
        <w:tblLook w:firstColumn="1" w:firstRow="1" w:lastColumn="0" w:lastRow="0" w:noHBand="0" w:noVBand="1" w:val="04A0"/>
      </w:tblPr>
      <w:tblGrid>
        <w:gridCol w:w="4680"/>
        <w:gridCol w:w="4680"/>
      </w:tblGrid>
      <w:tr>
        <w:tc>
          <w:tcPr>
            <w:tcW w:type="dxa" w:w="4608"/>
          </w:tcPr>
          <w:p>
            <w:r>
              <w:rPr>
                <w:b/>
              </w:rPr>
              <w:t>Prepared by:</w:t>
            </w:r>
          </w:p>
        </w:tc>
        <w:tc>
          <w:tcPr>
            <w:tcW w:type="dxa" w:w="4752"/>
          </w:tcPr>
          <w:p>
            <w:r>
              <w:rPr>
                <w:b/>
              </w:rPr>
              <w:t>Verified &amp; Reviewed by:</w:t>
            </w:r>
          </w:p>
        </w:tc>
      </w:tr>
      <w:tr>
        <w:tc>
          <w:tcPr>
            <w:tcW w:type="dxa" w:w="4680"/>
          </w:tcPr>
          <w:p>
            <w:r>
              <w:br/>
              <w:t>___________________________________</w:t>
              <w:br/>
              <w:t>undefined</w:t>
              <w:br/>
              <w:t>Security Assessor, Tracegate VAPT</w:t>
            </w:r>
          </w:p>
        </w:tc>
        <w:tc>
          <w:tcPr>
            <w:tcW w:type="dxa" w:w="4680"/>
          </w:tcPr>
          <w:p>
            <w:r>
              <w:br/>
              <w:t>___________________________________</w:t>
              <w:br/>
              <w:t>Lead Security Reviewer</w:t>
              <w:br/>
              <w:t>Senior Penetration Testing Lead</w:t>
            </w:r>
          </w:p>
        </w:tc>
      </w:tr>
      <w:tr>
        <w:tc>
          <w:tcPr>
            <w:tcW w:type="dxa" w:w="4680"/>
          </w:tcPr>
          <w:p>
            <w:r>
              <w:t>Date: September 05, 2026</w:t>
            </w:r>
          </w:p>
        </w:tc>
        <w:tc>
          <w:tcPr>
            <w:tcW w:type="dxa" w:w="4680"/>
          </w:tcPr>
          <w:p>
            <w:r>
              <w:t>Date: September 05,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Project: E-Commerce Gateway &amp; Auth Audit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TRACEGATE SECURITY ASSESSMENT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