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spacing w:after="240"/>
      </w:pPr>
      <w:r>
        <w:rPr>
          <w:rFonts w:ascii="Calibri" w:hAnsi="Calibri"/>
          <w:b/>
          <w:color w:val="1E3A8A"/>
          <w:sz w:val="22"/>
        </w:rPr>
        <w:t>CYBERSECURITY ASSESSMENT &amp; PENETRATION TESTING REPORT</w:t>
      </w:r>
    </w:p>
    <w:p>
      <w:pPr>
        <w:spacing w:after="160"/>
      </w:pPr>
      <w:r>
        <w:rPr>
          <w:rFonts w:ascii="Calibri" w:hAnsi="Calibri"/>
          <w:b/>
          <w:color w:val="0F172A"/>
          <w:sz w:val="52"/>
        </w:rPr>
        <w:t>Custom Test Report Project</w:t>
      </w:r>
    </w:p>
    <w:p>
      <w:pPr>
        <w:spacing w:after="1600"/>
      </w:pPr>
      <w:r>
        <w:rPr>
          <w:rFonts w:ascii="Calibri" w:hAnsi="Calibri"/>
          <w:color w:val="64748B"/>
          <w:sz w:val="26"/>
        </w:rPr>
        <w:t>Vulnerability Assessment &amp; Penetration Testing (VAPT) Findings &amp; Remediation Roadmap</w:t>
      </w:r>
    </w:p>
    <w:tbl>
      <w:tblPr>
        <w:tblW w:type="auto" w:w="0"/>
        <w:jc w:val="left"/>
        <w:tblLayout w:type="fixed"/>
        <w:tblLook w:firstColumn="1" w:firstRow="1" w:lastColumn="0" w:lastRow="0" w:noHBand="0" w:noVBand="1" w:val="04A0"/>
      </w:tblPr>
      <w:tblGrid>
        <w:gridCol w:w="4680"/>
        <w:gridCol w:w="4680"/>
      </w:tblGrid>
      <w:tr>
        <w:tc>
          <w:tcPr>
            <w:tcW w:type="dxa" w:w="3168"/>
            <w:tcMar>
              <w:top w:w="60" w:type="dxa"/>
              <w:bottom w:w="60" w:type="dxa"/>
              <w:left w:w="60" w:type="dxa"/>
              <w:right w:w="60" w:type="dxa"/>
            </w:tcMar>
          </w:tcPr>
          <w:p>
            <w:r>
              <w:rPr>
                <w:rFonts w:ascii="Calibri" w:hAnsi="Calibri"/>
                <w:b/>
                <w:color w:val="1E3A8A"/>
                <w:sz w:val="20"/>
              </w:rPr>
              <w:t>Target URL / Host:</w:t>
            </w:r>
          </w:p>
        </w:tc>
        <w:tc>
          <w:tcPr>
            <w:tcW w:type="dxa" w:w="6192"/>
            <w:tcMar>
              <w:top w:w="60" w:type="dxa"/>
              <w:bottom w:w="60" w:type="dxa"/>
              <w:left w:w="60" w:type="dxa"/>
              <w:right w:w="60" w:type="dxa"/>
            </w:tcMar>
          </w:tcPr>
          <w:p>
            <w:r>
              <w:rPr>
                <w:rFonts w:ascii="Calibri" w:hAnsi="Calibri"/>
                <w:sz w:val="20"/>
              </w:rPr>
              <w:t>https://target.app</w:t>
            </w:r>
          </w:p>
        </w:tc>
      </w:tr>
      <w:tr>
        <w:tc>
          <w:tcPr>
            <w:tcW w:type="dxa" w:w="3168"/>
            <w:tcMar>
              <w:top w:w="60" w:type="dxa"/>
              <w:bottom w:w="60" w:type="dxa"/>
              <w:left w:w="60" w:type="dxa"/>
              <w:right w:w="60" w:type="dxa"/>
            </w:tcMar>
          </w:tcPr>
          <w:p>
            <w:r>
              <w:rPr>
                <w:rFonts w:ascii="Calibri" w:hAnsi="Calibri"/>
                <w:b/>
                <w:color w:val="1E3A8A"/>
                <w:sz w:val="20"/>
              </w:rPr>
              <w:t>Environment:</w:t>
            </w:r>
          </w:p>
        </w:tc>
        <w:tc>
          <w:tcPr>
            <w:tcW w:type="dxa" w:w="6192"/>
            <w:tcMar>
              <w:top w:w="60" w:type="dxa"/>
              <w:bottom w:w="60" w:type="dxa"/>
              <w:left w:w="60" w:type="dxa"/>
              <w:right w:w="60" w:type="dxa"/>
            </w:tcMar>
          </w:tcPr>
          <w:p>
            <w:r>
              <w:rPr>
                <w:rFonts w:ascii="Calibri" w:hAnsi="Calibri"/>
                <w:sz w:val="20"/>
              </w:rPr>
              <w:t>Web Application (Staging)</w:t>
            </w:r>
          </w:p>
        </w:tc>
      </w:tr>
      <w:tr>
        <w:tc>
          <w:tcPr>
            <w:tcW w:type="dxa" w:w="3168"/>
            <w:tcMar>
              <w:top w:w="60" w:type="dxa"/>
              <w:bottom w:w="60" w:type="dxa"/>
              <w:left w:w="60" w:type="dxa"/>
              <w:right w:w="60" w:type="dxa"/>
            </w:tcMar>
          </w:tcPr>
          <w:p>
            <w:r>
              <w:rPr>
                <w:rFonts w:ascii="Calibri" w:hAnsi="Calibri"/>
                <w:b/>
                <w:color w:val="1E3A8A"/>
                <w:sz w:val="20"/>
              </w:rPr>
              <w:t>Assessment Methodology:</w:t>
            </w:r>
          </w:p>
        </w:tc>
        <w:tc>
          <w:tcPr>
            <w:tcW w:type="dxa" w:w="6192"/>
            <w:tcMar>
              <w:top w:w="60" w:type="dxa"/>
              <w:bottom w:w="60" w:type="dxa"/>
              <w:left w:w="60" w:type="dxa"/>
              <w:right w:w="60" w:type="dxa"/>
            </w:tcMar>
          </w:tcPr>
          <w:p>
            <w:r>
              <w:rPr>
                <w:rFonts w:ascii="Calibri" w:hAnsi="Calibri"/>
                <w:sz w:val="20"/>
              </w:rPr>
              <w:t>OWASP Web Security Testing Guide (WSTG v4.2) &amp; PTES</w:t>
            </w:r>
          </w:p>
        </w:tc>
      </w:tr>
      <w:tr>
        <w:tc>
          <w:tcPr>
            <w:tcW w:type="dxa" w:w="3168"/>
            <w:tcMar>
              <w:top w:w="60" w:type="dxa"/>
              <w:bottom w:w="60" w:type="dxa"/>
              <w:left w:w="60" w:type="dxa"/>
              <w:right w:w="60" w:type="dxa"/>
            </w:tcMar>
          </w:tcPr>
          <w:p>
            <w:r>
              <w:rPr>
                <w:rFonts w:ascii="Calibri" w:hAnsi="Calibri"/>
                <w:b/>
                <w:color w:val="1E3A8A"/>
                <w:sz w:val="20"/>
              </w:rPr>
              <w:t>Assessment Date:</w:t>
            </w:r>
          </w:p>
        </w:tc>
        <w:tc>
          <w:tcPr>
            <w:tcW w:type="dxa" w:w="6192"/>
            <w:tcMar>
              <w:top w:w="60" w:type="dxa"/>
              <w:bottom w:w="60" w:type="dxa"/>
              <w:left w:w="60" w:type="dxa"/>
              <w:right w:w="60" w:type="dxa"/>
            </w:tcMar>
          </w:tcPr>
          <w:p>
            <w:r>
              <w:rPr>
                <w:rFonts w:ascii="Calibri" w:hAnsi="Calibri"/>
                <w:sz w:val="20"/>
              </w:rPr>
              <w:t>September 08, 2026</w:t>
            </w:r>
          </w:p>
        </w:tc>
      </w:tr>
      <w:tr>
        <w:tc>
          <w:tcPr>
            <w:tcW w:type="dxa" w:w="3168"/>
            <w:tcMar>
              <w:top w:w="60" w:type="dxa"/>
              <w:bottom w:w="60" w:type="dxa"/>
              <w:left w:w="60" w:type="dxa"/>
              <w:right w:w="60" w:type="dxa"/>
            </w:tcMar>
          </w:tcPr>
          <w:p>
            <w:r>
              <w:rPr>
                <w:rFonts w:ascii="Calibri" w:hAnsi="Calibri"/>
                <w:b/>
                <w:color w:val="1E3A8A"/>
                <w:sz w:val="20"/>
              </w:rPr>
              <w:t>Document Version:</w:t>
            </w:r>
          </w:p>
        </w:tc>
        <w:tc>
          <w:tcPr>
            <w:tcW w:type="dxa" w:w="6192"/>
            <w:tcMar>
              <w:top w:w="60" w:type="dxa"/>
              <w:bottom w:w="60" w:type="dxa"/>
              <w:left w:w="60" w:type="dxa"/>
              <w:right w:w="60" w:type="dxa"/>
            </w:tcMar>
          </w:tcPr>
          <w:p>
            <w:r>
              <w:rPr>
                <w:rFonts w:ascii="Calibri" w:hAnsi="Calibri"/>
                <w:sz w:val="20"/>
              </w:rPr>
              <w:t>v1.0</w:t>
            </w:r>
          </w:p>
        </w:tc>
      </w:tr>
      <w:tr>
        <w:tc>
          <w:tcPr>
            <w:tcW w:type="dxa" w:w="3168"/>
            <w:tcMar>
              <w:top w:w="60" w:type="dxa"/>
              <w:bottom w:w="60" w:type="dxa"/>
              <w:left w:w="60" w:type="dxa"/>
              <w:right w:w="60" w:type="dxa"/>
            </w:tcMar>
          </w:tcPr>
          <w:p>
            <w:r>
              <w:rPr>
                <w:rFonts w:ascii="Calibri" w:hAnsi="Calibri"/>
                <w:b/>
                <w:color w:val="1E3A8A"/>
                <w:sz w:val="20"/>
              </w:rPr>
              <w:t>Lead Security Assessor:</w:t>
            </w:r>
          </w:p>
        </w:tc>
        <w:tc>
          <w:tcPr>
            <w:tcW w:type="dxa" w:w="6192"/>
            <w:tcMar>
              <w:top w:w="60" w:type="dxa"/>
              <w:bottom w:w="60" w:type="dxa"/>
              <w:left w:w="60" w:type="dxa"/>
              <w:right w:w="60" w:type="dxa"/>
            </w:tcMar>
          </w:tcPr>
          <w:p>
            <w:r>
              <w:rPr>
                <w:rFonts w:ascii="Calibri" w:hAnsi="Calibri"/>
                <w:sz w:val="20"/>
              </w:rPr>
              <w:t>Security Learner</w:t>
            </w:r>
          </w:p>
        </w:tc>
      </w:tr>
      <w:tr>
        <w:tc>
          <w:tcPr>
            <w:tcW w:type="dxa" w:w="3168"/>
            <w:tcMar>
              <w:top w:w="60" w:type="dxa"/>
              <w:bottom w:w="60" w:type="dxa"/>
              <w:left w:w="60" w:type="dxa"/>
              <w:right w:w="60" w:type="dxa"/>
            </w:tcMar>
          </w:tcPr>
          <w:p>
            <w:r>
              <w:rPr>
                <w:rFonts w:ascii="Calibri" w:hAnsi="Calibri"/>
                <w:b/>
                <w:color w:val="1E3A8A"/>
                <w:sz w:val="20"/>
              </w:rPr>
              <w:t>Classification:</w:t>
            </w:r>
          </w:p>
        </w:tc>
        <w:tc>
          <w:tcPr>
            <w:tcW w:type="dxa" w:w="6192"/>
            <w:tcMar>
              <w:top w:w="60" w:type="dxa"/>
              <w:bottom w:w="60" w:type="dxa"/>
              <w:left w:w="60" w:type="dxa"/>
              <w:right w:w="60" w:type="dxa"/>
            </w:tcMar>
          </w:tcPr>
          <w:p>
            <w:r>
              <w:rPr>
                <w:rFonts w:ascii="Calibri" w:hAnsi="Calibri"/>
                <w:b/>
                <w:color w:val="B91C1C"/>
                <w:sz w:val="20"/>
              </w:rPr>
              <w:t>CONFIDENTIAL / STRICTLY PROPRIETARY</w:t>
            </w:r>
          </w:p>
        </w:tc>
      </w:tr>
    </w:tbl>
    <w:p>
      <w:r>
        <w:br w:type="page"/>
      </w:r>
    </w:p>
    <w:p>
      <w:pPr>
        <w:pStyle w:val="Heading1"/>
        <w:keepNext/>
        <w:spacing w:before="280" w:after="120"/>
      </w:pPr>
      <w:r>
        <w:rPr>
          <w:rFonts w:ascii="Calibri" w:hAnsi="Calibri"/>
          <w:b/>
          <w:color w:val="1E3A8A"/>
          <w:sz w:val="32"/>
        </w:rPr>
        <w:t>Document Control &amp; Version History</w:t>
      </w:r>
    </w:p>
    <w:tbl>
      <w:tblPr>
        <w:tblW w:type="auto" w:w="0"/>
        <w:jc w:val="center"/>
        <w:tblLook w:firstColumn="1" w:firstRow="1" w:lastColumn="0" w:lastRow="0" w:noHBand="0" w:noVBand="1" w:val="04A0"/>
      </w:tblPr>
      <w:tblGrid>
        <w:gridCol w:w="2340"/>
        <w:gridCol w:w="2340"/>
        <w:gridCol w:w="2340"/>
        <w:gridCol w:w="2340"/>
      </w:tblGrid>
      <w:tr>
        <w:tc>
          <w:tcPr>
            <w:tcW w:type="dxa" w:w="1440"/>
            <w:shd w:fill="1E3A8A"/>
            <w:tcMar>
              <w:top w:w="100" w:type="dxa"/>
              <w:bottom w:w="100" w:type="dxa"/>
              <w:left w:w="100" w:type="dxa"/>
              <w:right w:w="100" w:type="dxa"/>
            </w:tcMar>
          </w:tcPr>
          <w:p>
            <w:r>
              <w:rPr>
                <w:rFonts w:ascii="Calibri" w:hAnsi="Calibri"/>
                <w:b/>
                <w:color w:val="FFFFFF"/>
                <w:sz w:val="19"/>
              </w:rPr>
              <w:t>Version</w:t>
            </w:r>
          </w:p>
        </w:tc>
        <w:tc>
          <w:tcPr>
            <w:tcW w:type="dxa" w:w="2160"/>
            <w:shd w:fill="1E3A8A"/>
            <w:tcMar>
              <w:top w:w="100" w:type="dxa"/>
              <w:bottom w:w="100" w:type="dxa"/>
              <w:left w:w="100" w:type="dxa"/>
              <w:right w:w="100" w:type="dxa"/>
            </w:tcMar>
          </w:tcPr>
          <w:p>
            <w:r>
              <w:rPr>
                <w:rFonts w:ascii="Calibri" w:hAnsi="Calibri"/>
                <w:b/>
                <w:color w:val="FFFFFF"/>
                <w:sz w:val="19"/>
              </w:rPr>
              <w:t>Date</w:t>
            </w:r>
          </w:p>
        </w:tc>
        <w:tc>
          <w:tcPr>
            <w:tcW w:type="dxa" w:w="2592"/>
            <w:shd w:fill="1E3A8A"/>
            <w:tcMar>
              <w:top w:w="100" w:type="dxa"/>
              <w:bottom w:w="100" w:type="dxa"/>
              <w:left w:w="100" w:type="dxa"/>
              <w:right w:w="100" w:type="dxa"/>
            </w:tcMar>
          </w:tcPr>
          <w:p>
            <w:r>
              <w:rPr>
                <w:rFonts w:ascii="Calibri" w:hAnsi="Calibri"/>
                <w:b/>
                <w:color w:val="FFFFFF"/>
                <w:sz w:val="19"/>
              </w:rPr>
              <w:t>Author</w:t>
            </w:r>
          </w:p>
        </w:tc>
        <w:tc>
          <w:tcPr>
            <w:tcW w:type="dxa" w:w="3168"/>
            <w:shd w:fill="1E3A8A"/>
            <w:tcMar>
              <w:top w:w="100" w:type="dxa"/>
              <w:bottom w:w="100" w:type="dxa"/>
              <w:left w:w="100" w:type="dxa"/>
              <w:right w:w="100" w:type="dxa"/>
            </w:tcMar>
          </w:tcPr>
          <w:p>
            <w:r>
              <w:rPr>
                <w:rFonts w:ascii="Calibri" w:hAnsi="Calibri"/>
                <w:b/>
                <w:color w:val="FFFFFF"/>
                <w:sz w:val="19"/>
              </w:rPr>
              <w:t>Change Summary</w:t>
            </w:r>
          </w:p>
        </w:tc>
      </w:tr>
      <w:tr>
        <w:tc>
          <w:tcPr>
            <w:tcW w:type="dxa" w:w="1440"/>
            <w:tcMar>
              <w:top w:w="80" w:type="dxa"/>
              <w:bottom w:w="80" w:type="dxa"/>
              <w:left w:w="100" w:type="dxa"/>
              <w:right w:w="100" w:type="dxa"/>
            </w:tcMar>
          </w:tcPr>
          <w:p>
            <w:r>
              <w:rPr>
                <w:rFonts w:ascii="Calibri" w:hAnsi="Calibri"/>
                <w:sz w:val="18"/>
              </w:rPr>
              <w:t>v1.0</w:t>
            </w:r>
          </w:p>
        </w:tc>
        <w:tc>
          <w:tcPr>
            <w:tcW w:type="dxa" w:w="2160"/>
            <w:tcMar>
              <w:top w:w="80" w:type="dxa"/>
              <w:bottom w:w="80" w:type="dxa"/>
              <w:left w:w="100" w:type="dxa"/>
              <w:right w:w="100" w:type="dxa"/>
            </w:tcMar>
          </w:tcPr>
          <w:p>
            <w:r>
              <w:rPr>
                <w:rFonts w:ascii="Calibri" w:hAnsi="Calibri"/>
                <w:sz w:val="18"/>
              </w:rPr>
              <w:t>2026-09-08</w:t>
            </w:r>
          </w:p>
        </w:tc>
        <w:tc>
          <w:tcPr>
            <w:tcW w:type="dxa" w:w="2592"/>
            <w:tcMar>
              <w:top w:w="80" w:type="dxa"/>
              <w:bottom w:w="80" w:type="dxa"/>
              <w:left w:w="100" w:type="dxa"/>
              <w:right w:w="100" w:type="dxa"/>
            </w:tcMar>
          </w:tcPr>
          <w:p>
            <w:r>
              <w:rPr>
                <w:rFonts w:ascii="Calibri" w:hAnsi="Calibri"/>
                <w:sz w:val="18"/>
              </w:rPr>
              <w:t>Security Learner</w:t>
            </w:r>
          </w:p>
        </w:tc>
        <w:tc>
          <w:tcPr>
            <w:tcW w:type="dxa" w:w="3168"/>
            <w:tcMar>
              <w:top w:w="80" w:type="dxa"/>
              <w:bottom w:w="80" w:type="dxa"/>
              <w:left w:w="100" w:type="dxa"/>
              <w:right w:w="100" w:type="dxa"/>
            </w:tcMar>
          </w:tcPr>
          <w:p>
            <w:r>
              <w:rPr>
                <w:rFonts w:ascii="Calibri" w:hAnsi="Calibri"/>
                <w:sz w:val="18"/>
              </w:rPr>
              <w:t>Compiled VAPT Report with 1 verified finding(s)</w:t>
            </w:r>
          </w:p>
        </w:tc>
      </w:tr>
    </w:tbl>
    <w:p>
      <w:r>
        <w:br w:type="page"/>
      </w:r>
    </w:p>
    <w:p>
      <w:pPr>
        <w:pStyle w:val="Heading1"/>
        <w:keepNext/>
        <w:spacing w:before="280" w:after="120"/>
      </w:pPr>
      <w:r>
        <w:rPr>
          <w:rFonts w:ascii="Calibri" w:hAnsi="Calibri"/>
          <w:b/>
          <w:color w:val="1E3A8A"/>
          <w:sz w:val="32"/>
        </w:rPr>
        <w:t>Table of Contents</w:t>
      </w:r>
    </w:p>
    <w:tbl>
      <w:tblPr>
        <w:tblW w:type="auto" w:w="0"/>
        <w:jc w:val="center"/>
        <w:tblLayout w:type="fixed"/>
        <w:tblLook w:firstColumn="1" w:firstRow="1" w:lastColumn="0" w:lastRow="0" w:noHBand="0" w:noVBand="1" w:val="04A0"/>
      </w:tblPr>
      <w:tblGrid>
        <w:gridCol w:w="4680"/>
        <w:gridCol w:w="4680"/>
      </w:tblGrid>
      <w:tr>
        <w:tc>
          <w:tcPr>
            <w:tcW w:type="dxa" w:w="7920"/>
            <w:tcMar>
              <w:top w:w="50" w:type="dxa"/>
              <w:bottom w:w="50" w:type="dxa"/>
              <w:left w:w="40" w:type="dxa"/>
              <w:right w:w="40" w:type="dxa"/>
            </w:tcMar>
          </w:tcPr>
          <w:p>
            <w:r>
              <w:rPr>
                <w:rFonts w:ascii="Calibri" w:hAnsi="Calibri"/>
                <w:b/>
                <w:color w:val="1E3A8A"/>
                <w:sz w:val="20"/>
              </w:rPr>
              <w:t>1. Executive Summary &amp; Findings Severity Matrix</w:t>
            </w:r>
          </w:p>
        </w:tc>
        <w:tc>
          <w:tcPr>
            <w:tcW w:type="dxa" w:w="1440"/>
            <w:tcMar>
              <w:top w:w="50" w:type="dxa"/>
              <w:bottom w:w="50" w:type="dxa"/>
              <w:left w:w="40" w:type="dxa"/>
              <w:right w:w="40" w:type="dxa"/>
            </w:tcMar>
          </w:tcPr>
          <w:p>
            <w:pPr>
              <w:jc w:val="right"/>
            </w:pPr>
            <w:r>
              <w:rPr>
                <w:rFonts w:ascii="Calibri" w:hAnsi="Calibri"/>
                <w:color w:val="64748B"/>
                <w:sz w:val="19"/>
              </w:rPr>
              <w:t>Section 1</w:t>
            </w:r>
          </w:p>
        </w:tc>
      </w:tr>
      <w:tr>
        <w:tc>
          <w:tcPr>
            <w:tcW w:type="dxa" w:w="7920"/>
            <w:tcMar>
              <w:top w:w="50" w:type="dxa"/>
              <w:bottom w:w="50" w:type="dxa"/>
              <w:left w:w="40" w:type="dxa"/>
              <w:right w:w="40" w:type="dxa"/>
            </w:tcMar>
          </w:tcPr>
          <w:p>
            <w:r>
              <w:rPr>
                <w:rFonts w:ascii="Calibri" w:hAnsi="Calibri"/>
                <w:b/>
                <w:color w:val="1E3A8A"/>
                <w:sz w:val="20"/>
              </w:rPr>
              <w:t>2. Assessment Scope &amp; Target Architecture</w:t>
            </w:r>
          </w:p>
        </w:tc>
        <w:tc>
          <w:tcPr>
            <w:tcW w:type="dxa" w:w="1440"/>
            <w:tcMar>
              <w:top w:w="50" w:type="dxa"/>
              <w:bottom w:w="50" w:type="dxa"/>
              <w:left w:w="40" w:type="dxa"/>
              <w:right w:w="40" w:type="dxa"/>
            </w:tcMar>
          </w:tcPr>
          <w:p>
            <w:pPr>
              <w:jc w:val="right"/>
            </w:pPr>
            <w:r>
              <w:rPr>
                <w:rFonts w:ascii="Calibri" w:hAnsi="Calibri"/>
                <w:color w:val="64748B"/>
                <w:sz w:val="19"/>
              </w:rPr>
              <w:t>Section 2</w:t>
            </w:r>
          </w:p>
        </w:tc>
      </w:tr>
      <w:tr>
        <w:tc>
          <w:tcPr>
            <w:tcW w:type="dxa" w:w="7920"/>
            <w:tcMar>
              <w:top w:w="50" w:type="dxa"/>
              <w:bottom w:w="50" w:type="dxa"/>
              <w:left w:w="40" w:type="dxa"/>
              <w:right w:w="40" w:type="dxa"/>
            </w:tcMar>
          </w:tcPr>
          <w:p>
            <w:r>
              <w:rPr>
                <w:rFonts w:ascii="Calibri" w:hAnsi="Calibri"/>
                <w:b/>
                <w:color w:val="1E3A8A"/>
                <w:sz w:val="20"/>
              </w:rPr>
              <w:t>3. Testing Methodology &amp; Security Standards</w:t>
            </w:r>
          </w:p>
        </w:tc>
        <w:tc>
          <w:tcPr>
            <w:tcW w:type="dxa" w:w="1440"/>
            <w:tcMar>
              <w:top w:w="50" w:type="dxa"/>
              <w:bottom w:w="50" w:type="dxa"/>
              <w:left w:w="40" w:type="dxa"/>
              <w:right w:w="40" w:type="dxa"/>
            </w:tcMar>
          </w:tcPr>
          <w:p>
            <w:pPr>
              <w:jc w:val="right"/>
            </w:pPr>
            <w:r>
              <w:rPr>
                <w:rFonts w:ascii="Calibri" w:hAnsi="Calibri"/>
                <w:color w:val="64748B"/>
                <w:sz w:val="19"/>
              </w:rPr>
              <w:t>Section 3</w:t>
            </w:r>
          </w:p>
        </w:tc>
      </w:tr>
      <w:tr>
        <w:tc>
          <w:tcPr>
            <w:tcW w:type="dxa" w:w="7920"/>
            <w:tcMar>
              <w:top w:w="50" w:type="dxa"/>
              <w:bottom w:w="50" w:type="dxa"/>
              <w:left w:w="40" w:type="dxa"/>
              <w:right w:w="40" w:type="dxa"/>
            </w:tcMar>
          </w:tcPr>
          <w:p>
            <w:r>
              <w:rPr>
                <w:rFonts w:ascii="Calibri" w:hAnsi="Calibri"/>
                <w:b/>
                <w:color w:val="1E3A8A"/>
                <w:sz w:val="20"/>
              </w:rPr>
              <w:t>4. Security Test Coverage &amp; Verification Matrix</w:t>
            </w:r>
          </w:p>
        </w:tc>
        <w:tc>
          <w:tcPr>
            <w:tcW w:type="dxa" w:w="1440"/>
            <w:tcMar>
              <w:top w:w="50" w:type="dxa"/>
              <w:bottom w:w="50" w:type="dxa"/>
              <w:left w:w="40" w:type="dxa"/>
              <w:right w:w="40" w:type="dxa"/>
            </w:tcMar>
          </w:tcPr>
          <w:p>
            <w:pPr>
              <w:jc w:val="right"/>
            </w:pPr>
            <w:r>
              <w:rPr>
                <w:rFonts w:ascii="Calibri" w:hAnsi="Calibri"/>
                <w:color w:val="64748B"/>
                <w:sz w:val="19"/>
              </w:rPr>
              <w:t>Section 4</w:t>
            </w:r>
          </w:p>
        </w:tc>
      </w:tr>
      <w:tr>
        <w:tc>
          <w:tcPr>
            <w:tcW w:type="dxa" w:w="7920"/>
            <w:tcMar>
              <w:top w:w="50" w:type="dxa"/>
              <w:bottom w:w="50" w:type="dxa"/>
              <w:left w:w="40" w:type="dxa"/>
              <w:right w:w="40" w:type="dxa"/>
            </w:tcMar>
          </w:tcPr>
          <w:p>
            <w:r>
              <w:rPr>
                <w:rFonts w:ascii="Calibri" w:hAnsi="Calibri"/>
                <w:b/>
                <w:color w:val="1E3A8A"/>
                <w:sz w:val="20"/>
              </w:rPr>
              <w:t>5. Summary of Confirmed Vulnerabilities</w:t>
            </w:r>
          </w:p>
        </w:tc>
        <w:tc>
          <w:tcPr>
            <w:tcW w:type="dxa" w:w="1440"/>
            <w:tcMar>
              <w:top w:w="50" w:type="dxa"/>
              <w:bottom w:w="50" w:type="dxa"/>
              <w:left w:w="40" w:type="dxa"/>
              <w:right w:w="40" w:type="dxa"/>
            </w:tcMar>
          </w:tcPr>
          <w:p>
            <w:pPr>
              <w:jc w:val="right"/>
            </w:pPr>
            <w:r>
              <w:rPr>
                <w:rFonts w:ascii="Calibri" w:hAnsi="Calibri"/>
                <w:color w:val="64748B"/>
                <w:sz w:val="19"/>
              </w:rPr>
              <w:t>Section 5</w:t>
            </w:r>
          </w:p>
        </w:tc>
      </w:tr>
      <w:tr>
        <w:tc>
          <w:tcPr>
            <w:tcW w:type="dxa" w:w="7920"/>
            <w:tcMar>
              <w:top w:w="50" w:type="dxa"/>
              <w:bottom w:w="50" w:type="dxa"/>
              <w:left w:w="40" w:type="dxa"/>
              <w:right w:w="40" w:type="dxa"/>
            </w:tcMar>
          </w:tcPr>
          <w:p>
            <w:r>
              <w:rPr>
                <w:rFonts w:ascii="Calibri" w:hAnsi="Calibri"/>
                <w:b/>
                <w:color w:val="1E3A8A"/>
                <w:sz w:val="20"/>
              </w:rPr>
              <w:t>6. Detailed Technical Findings &amp; Proof of Concept</w:t>
            </w:r>
          </w:p>
        </w:tc>
        <w:tc>
          <w:tcPr>
            <w:tcW w:type="dxa" w:w="1440"/>
            <w:tcMar>
              <w:top w:w="50" w:type="dxa"/>
              <w:bottom w:w="50" w:type="dxa"/>
              <w:left w:w="40" w:type="dxa"/>
              <w:right w:w="40" w:type="dxa"/>
            </w:tcMar>
          </w:tcPr>
          <w:p>
            <w:pPr>
              <w:jc w:val="right"/>
            </w:pPr>
            <w:r>
              <w:rPr>
                <w:rFonts w:ascii="Calibri" w:hAnsi="Calibri"/>
                <w:color w:val="64748B"/>
                <w:sz w:val="19"/>
              </w:rPr>
              <w:t>Section 6</w:t>
            </w:r>
          </w:p>
        </w:tc>
      </w:tr>
      <w:tr>
        <w:tc>
          <w:tcPr>
            <w:tcW w:type="dxa" w:w="7920"/>
            <w:tcMar>
              <w:top w:w="50" w:type="dxa"/>
              <w:bottom w:w="50" w:type="dxa"/>
              <w:left w:w="40" w:type="dxa"/>
              <w:right w:w="40" w:type="dxa"/>
            </w:tcMar>
          </w:tcPr>
          <w:p>
            <w:r>
              <w:rPr>
                <w:rFonts w:ascii="Calibri" w:hAnsi="Calibri"/>
                <w:b/>
                <w:color w:val="1E3A8A"/>
                <w:sz w:val="20"/>
              </w:rPr>
              <w:t>7. Prioritized Remediation Action Plan</w:t>
            </w:r>
          </w:p>
        </w:tc>
        <w:tc>
          <w:tcPr>
            <w:tcW w:type="dxa" w:w="1440"/>
            <w:tcMar>
              <w:top w:w="50" w:type="dxa"/>
              <w:bottom w:w="50" w:type="dxa"/>
              <w:left w:w="40" w:type="dxa"/>
              <w:right w:w="40" w:type="dxa"/>
            </w:tcMar>
          </w:tcPr>
          <w:p>
            <w:pPr>
              <w:jc w:val="right"/>
            </w:pPr>
            <w:r>
              <w:rPr>
                <w:rFonts w:ascii="Calibri" w:hAnsi="Calibri"/>
                <w:color w:val="64748B"/>
                <w:sz w:val="19"/>
              </w:rPr>
              <w:t>Section 7</w:t>
            </w:r>
          </w:p>
        </w:tc>
      </w:tr>
      <w:tr>
        <w:tc>
          <w:tcPr>
            <w:tcW w:type="dxa" w:w="7920"/>
            <w:tcMar>
              <w:top w:w="50" w:type="dxa"/>
              <w:bottom w:w="50" w:type="dxa"/>
              <w:left w:w="40" w:type="dxa"/>
              <w:right w:w="40" w:type="dxa"/>
            </w:tcMar>
          </w:tcPr>
          <w:p>
            <w:r>
              <w:rPr>
                <w:rFonts w:ascii="Calibri" w:hAnsi="Calibri"/>
                <w:b/>
                <w:color w:val="1E3A8A"/>
                <w:sz w:val="20"/>
              </w:rPr>
              <w:t>8. Assessment Conclusion &amp; Formal Sign-Off</w:t>
            </w:r>
          </w:p>
        </w:tc>
        <w:tc>
          <w:tcPr>
            <w:tcW w:type="dxa" w:w="1440"/>
            <w:tcMar>
              <w:top w:w="50" w:type="dxa"/>
              <w:bottom w:w="50" w:type="dxa"/>
              <w:left w:w="40" w:type="dxa"/>
              <w:right w:w="40" w:type="dxa"/>
            </w:tcMar>
          </w:tcPr>
          <w:p>
            <w:pPr>
              <w:jc w:val="right"/>
            </w:pPr>
            <w:r>
              <w:rPr>
                <w:rFonts w:ascii="Calibri" w:hAnsi="Calibri"/>
                <w:color w:val="64748B"/>
                <w:sz w:val="19"/>
              </w:rPr>
              <w:t>Section 8</w:t>
            </w:r>
          </w:p>
        </w:tc>
      </w:tr>
    </w:tbl>
    <w:p>
      <w:r>
        <w:br w:type="page"/>
      </w:r>
    </w:p>
    <w:p>
      <w:pPr>
        <w:pStyle w:val="Heading1"/>
        <w:keepNext/>
        <w:spacing w:before="280" w:after="120"/>
      </w:pPr>
      <w:r>
        <w:rPr>
          <w:rFonts w:ascii="Calibri" w:hAnsi="Calibri"/>
          <w:b/>
          <w:color w:val="1E3A8A"/>
          <w:sz w:val="32"/>
        </w:rPr>
        <w:t>1. Executive Summary</w:t>
      </w:r>
    </w:p>
    <w:p>
      <w:pPr>
        <w:spacing w:after="200"/>
      </w:pPr>
      <w:r>
        <w:t>Tracegate conducted an authorized Vulnerability Assessment and Penetration Testing (VAPT) evaluation against the target application 'Custom Test Report Project' located at https://target.app. The primary objective of this assessment was to identify security weaknesses, evaluate authentication and access control boundaries, assess input validation safeguards, and provide actionable technical remediation guidance to harden the target architecture against unauthorized exploitation.</w:t>
      </w:r>
    </w:p>
    <w:p>
      <w:r>
        <w:rPr>
          <w:b/>
        </w:rPr>
        <w:t xml:space="preserve">Executive Risk Rating: </w:t>
      </w:r>
      <w:r>
        <w:rPr>
          <w:b/>
          <w:color w:val="C2410C"/>
        </w:rPr>
        <w:t>HIGH</w:t>
      </w:r>
      <w:r>
        <w:t xml:space="preserve"> — The assessment identified 1 confirmed security finding within the tested scope, including 0 Critical, 1 High, 0 Medium, 0 Low, and 0 Informational severity issues.</w:t>
      </w:r>
    </w:p>
    <w:tbl>
      <w:tblPr>
        <w:tblW w:type="auto" w:w="0"/>
        <w:jc w:val="center"/>
        <w:tblLook w:firstColumn="1" w:firstRow="1" w:lastColumn="0" w:lastRow="0" w:noHBand="0" w:noVBand="1" w:val="04A0"/>
      </w:tblPr>
      <w:tblGrid>
        <w:gridCol w:w="3120"/>
        <w:gridCol w:w="3120"/>
        <w:gridCol w:w="3120"/>
      </w:tblGrid>
      <w:tr>
        <w:tc>
          <w:tcPr>
            <w:tcW w:type="dxa" w:w="2880"/>
            <w:shd w:fill="1E3A8A"/>
            <w:tcMar>
              <w:top w:w="100" w:type="dxa"/>
              <w:bottom w:w="100" w:type="dxa"/>
              <w:left w:w="100" w:type="dxa"/>
              <w:right w:w="100" w:type="dxa"/>
            </w:tcMar>
          </w:tcPr>
          <w:p>
            <w:r>
              <w:rPr>
                <w:rFonts w:ascii="Calibri" w:hAnsi="Calibri"/>
                <w:b/>
                <w:color w:val="FFFFFF"/>
                <w:sz w:val="19"/>
              </w:rPr>
              <w:t>Severity Level</w:t>
            </w:r>
          </w:p>
        </w:tc>
        <w:tc>
          <w:tcPr>
            <w:tcW w:type="dxa" w:w="2880"/>
            <w:shd w:fill="1E3A8A"/>
            <w:tcMar>
              <w:top w:w="100" w:type="dxa"/>
              <w:bottom w:w="100" w:type="dxa"/>
              <w:left w:w="100" w:type="dxa"/>
              <w:right w:w="100" w:type="dxa"/>
            </w:tcMar>
          </w:tcPr>
          <w:p>
            <w:r>
              <w:rPr>
                <w:rFonts w:ascii="Calibri" w:hAnsi="Calibri"/>
                <w:b/>
                <w:color w:val="FFFFFF"/>
                <w:sz w:val="19"/>
              </w:rPr>
              <w:t>Findings Identified</w:t>
            </w:r>
          </w:p>
        </w:tc>
        <w:tc>
          <w:tcPr>
            <w:tcW w:type="dxa" w:w="3600"/>
            <w:shd w:fill="1E3A8A"/>
            <w:tcMar>
              <w:top w:w="100" w:type="dxa"/>
              <w:bottom w:w="100" w:type="dxa"/>
              <w:left w:w="100" w:type="dxa"/>
              <w:right w:w="100" w:type="dxa"/>
            </w:tcMar>
          </w:tcPr>
          <w:p>
            <w:r>
              <w:rPr>
                <w:rFonts w:ascii="Calibri" w:hAnsi="Calibri"/>
                <w:b/>
                <w:color w:val="FFFFFF"/>
                <w:sz w:val="19"/>
              </w:rPr>
              <w:t>Recommended Remediation SLA</w:t>
            </w:r>
          </w:p>
        </w:tc>
      </w:tr>
      <w:tr>
        <w:tc>
          <w:tcPr>
            <w:tcW w:type="dxa" w:w="2880"/>
            <w:tcMar>
              <w:top w:w="80" w:type="dxa"/>
              <w:bottom w:w="80" w:type="dxa"/>
              <w:left w:w="100" w:type="dxa"/>
              <w:right w:w="100" w:type="dxa"/>
            </w:tcMar>
          </w:tcPr>
          <w:p>
            <w:r>
              <w:rPr>
                <w:rFonts w:ascii="Calibri" w:hAnsi="Calibri"/>
                <w:b/>
                <w:color w:val="B91C1C"/>
                <w:sz w:val="18"/>
              </w:rPr>
              <w:t>CRITICAL</w:t>
            </w:r>
          </w:p>
        </w:tc>
        <w:tc>
          <w:tcPr>
            <w:tcW w:type="dxa" w:w="2880"/>
            <w:tcMar>
              <w:top w:w="80" w:type="dxa"/>
              <w:bottom w:w="80" w:type="dxa"/>
              <w:left w:w="100" w:type="dxa"/>
              <w:right w:w="100" w:type="dxa"/>
            </w:tcMar>
          </w:tcPr>
          <w:p>
            <w:r>
              <w:rPr>
                <w:rFonts w:ascii="Calibri" w:hAnsi="Calibri"/>
                <w:sz w:val="18"/>
              </w:rPr>
              <w:t>0</w:t>
            </w:r>
          </w:p>
        </w:tc>
        <w:tc>
          <w:tcPr>
            <w:tcW w:type="dxa" w:w="3600"/>
            <w:tcMar>
              <w:top w:w="80" w:type="dxa"/>
              <w:bottom w:w="80" w:type="dxa"/>
              <w:left w:w="100" w:type="dxa"/>
              <w:right w:w="100" w:type="dxa"/>
            </w:tcMar>
          </w:tcPr>
          <w:p>
            <w:r>
              <w:rPr>
                <w:rFonts w:ascii="Calibri" w:hAnsi="Calibri"/>
                <w:sz w:val="18"/>
              </w:rPr>
              <w:t>Immediate (Within 24-48 Hours)</w:t>
            </w:r>
          </w:p>
        </w:tc>
      </w:tr>
      <w:tr>
        <w:tc>
          <w:tcPr>
            <w:tcW w:type="dxa" w:w="2880"/>
            <w:tcMar>
              <w:top w:w="80" w:type="dxa"/>
              <w:bottom w:w="80" w:type="dxa"/>
              <w:left w:w="100" w:type="dxa"/>
              <w:right w:w="100" w:type="dxa"/>
            </w:tcMar>
            <w:shd w:fill="F1F5F9"/>
          </w:tcPr>
          <w:p>
            <w:r>
              <w:rPr>
                <w:rFonts w:ascii="Calibri" w:hAnsi="Calibri"/>
                <w:b/>
                <w:color w:val="C2410C"/>
                <w:sz w:val="18"/>
              </w:rPr>
              <w:t>HIGH</w:t>
            </w:r>
          </w:p>
        </w:tc>
        <w:tc>
          <w:tcPr>
            <w:tcW w:type="dxa" w:w="2880"/>
            <w:tcMar>
              <w:top w:w="80" w:type="dxa"/>
              <w:bottom w:w="80" w:type="dxa"/>
              <w:left w:w="100" w:type="dxa"/>
              <w:right w:w="100" w:type="dxa"/>
            </w:tcMar>
            <w:shd w:fill="F1F5F9"/>
          </w:tcPr>
          <w:p>
            <w:r>
              <w:rPr>
                <w:rFonts w:ascii="Calibri" w:hAnsi="Calibri"/>
                <w:b/>
                <w:sz w:val="18"/>
              </w:rPr>
              <w:t>1</w:t>
            </w:r>
          </w:p>
        </w:tc>
        <w:tc>
          <w:tcPr>
            <w:tcW w:type="dxa" w:w="3600"/>
            <w:tcMar>
              <w:top w:w="80" w:type="dxa"/>
              <w:bottom w:w="80" w:type="dxa"/>
              <w:left w:w="100" w:type="dxa"/>
              <w:right w:w="100" w:type="dxa"/>
            </w:tcMar>
            <w:shd w:fill="F1F5F9"/>
          </w:tcPr>
          <w:p>
            <w:r>
              <w:rPr>
                <w:rFonts w:ascii="Calibri" w:hAnsi="Calibri"/>
                <w:sz w:val="18"/>
              </w:rPr>
              <w:t>Urgent (Within 7 Days)</w:t>
            </w:r>
          </w:p>
        </w:tc>
      </w:tr>
      <w:tr>
        <w:tc>
          <w:tcPr>
            <w:tcW w:type="dxa" w:w="2880"/>
            <w:tcMar>
              <w:top w:w="80" w:type="dxa"/>
              <w:bottom w:w="80" w:type="dxa"/>
              <w:left w:w="100" w:type="dxa"/>
              <w:right w:w="100" w:type="dxa"/>
            </w:tcMar>
          </w:tcPr>
          <w:p>
            <w:r>
              <w:rPr>
                <w:rFonts w:ascii="Calibri" w:hAnsi="Calibri"/>
                <w:b/>
                <w:color w:val="B45309"/>
                <w:sz w:val="18"/>
              </w:rPr>
              <w:t>MEDIUM</w:t>
            </w:r>
          </w:p>
        </w:tc>
        <w:tc>
          <w:tcPr>
            <w:tcW w:type="dxa" w:w="2880"/>
            <w:tcMar>
              <w:top w:w="80" w:type="dxa"/>
              <w:bottom w:w="80" w:type="dxa"/>
              <w:left w:w="100" w:type="dxa"/>
              <w:right w:w="100" w:type="dxa"/>
            </w:tcMar>
          </w:tcPr>
          <w:p>
            <w:r>
              <w:rPr>
                <w:rFonts w:ascii="Calibri" w:hAnsi="Calibri"/>
                <w:sz w:val="18"/>
              </w:rPr>
              <w:t>0</w:t>
            </w:r>
          </w:p>
        </w:tc>
        <w:tc>
          <w:tcPr>
            <w:tcW w:type="dxa" w:w="3600"/>
            <w:tcMar>
              <w:top w:w="80" w:type="dxa"/>
              <w:bottom w:w="80" w:type="dxa"/>
              <w:left w:w="100" w:type="dxa"/>
              <w:right w:w="100" w:type="dxa"/>
            </w:tcMar>
          </w:tcPr>
          <w:p>
            <w:r>
              <w:rPr>
                <w:rFonts w:ascii="Calibri" w:hAnsi="Calibri"/>
                <w:sz w:val="18"/>
              </w:rPr>
              <w:t>Moderate (Within 30 Days)</w:t>
            </w:r>
          </w:p>
        </w:tc>
      </w:tr>
      <w:tr>
        <w:tc>
          <w:tcPr>
            <w:tcW w:type="dxa" w:w="2880"/>
            <w:tcMar>
              <w:top w:w="80" w:type="dxa"/>
              <w:bottom w:w="80" w:type="dxa"/>
              <w:left w:w="100" w:type="dxa"/>
              <w:right w:w="100" w:type="dxa"/>
            </w:tcMar>
            <w:shd w:fill="F1F5F9"/>
          </w:tcPr>
          <w:p>
            <w:r>
              <w:rPr>
                <w:rFonts w:ascii="Calibri" w:hAnsi="Calibri"/>
                <w:b/>
                <w:color w:val="047857"/>
                <w:sz w:val="18"/>
              </w:rPr>
              <w:t>LOW</w:t>
            </w:r>
          </w:p>
        </w:tc>
        <w:tc>
          <w:tcPr>
            <w:tcW w:type="dxa" w:w="2880"/>
            <w:tcMar>
              <w:top w:w="80" w:type="dxa"/>
              <w:bottom w:w="80" w:type="dxa"/>
              <w:left w:w="100" w:type="dxa"/>
              <w:right w:w="100" w:type="dxa"/>
            </w:tcMar>
            <w:shd w:fill="F1F5F9"/>
          </w:tcPr>
          <w:p>
            <w:r>
              <w:rPr>
                <w:rFonts w:ascii="Calibri" w:hAnsi="Calibri"/>
                <w:sz w:val="18"/>
              </w:rPr>
              <w:t>0</w:t>
            </w:r>
          </w:p>
        </w:tc>
        <w:tc>
          <w:tcPr>
            <w:tcW w:type="dxa" w:w="3600"/>
            <w:tcMar>
              <w:top w:w="80" w:type="dxa"/>
              <w:bottom w:w="80" w:type="dxa"/>
              <w:left w:w="100" w:type="dxa"/>
              <w:right w:w="100" w:type="dxa"/>
            </w:tcMar>
            <w:shd w:fill="F1F5F9"/>
          </w:tcPr>
          <w:p>
            <w:r>
              <w:rPr>
                <w:rFonts w:ascii="Calibri" w:hAnsi="Calibri"/>
                <w:sz w:val="18"/>
              </w:rPr>
              <w:t>Standard (Within 90 Days)</w:t>
            </w:r>
          </w:p>
        </w:tc>
      </w:tr>
      <w:tr>
        <w:tc>
          <w:tcPr>
            <w:tcW w:type="dxa" w:w="2880"/>
            <w:tcMar>
              <w:top w:w="80" w:type="dxa"/>
              <w:bottom w:w="80" w:type="dxa"/>
              <w:left w:w="100" w:type="dxa"/>
              <w:right w:w="100" w:type="dxa"/>
            </w:tcMar>
          </w:tcPr>
          <w:p>
            <w:r>
              <w:rPr>
                <w:rFonts w:ascii="Calibri" w:hAnsi="Calibri"/>
                <w:b/>
                <w:color w:val="0284C7"/>
                <w:sz w:val="18"/>
              </w:rPr>
              <w:t>INFORMATIONAL</w:t>
            </w:r>
          </w:p>
        </w:tc>
        <w:tc>
          <w:tcPr>
            <w:tcW w:type="dxa" w:w="2880"/>
            <w:tcMar>
              <w:top w:w="80" w:type="dxa"/>
              <w:bottom w:w="80" w:type="dxa"/>
              <w:left w:w="100" w:type="dxa"/>
              <w:right w:w="100" w:type="dxa"/>
            </w:tcMar>
          </w:tcPr>
          <w:p>
            <w:r>
              <w:rPr>
                <w:rFonts w:ascii="Calibri" w:hAnsi="Calibri"/>
                <w:sz w:val="18"/>
              </w:rPr>
              <w:t>0</w:t>
            </w:r>
          </w:p>
        </w:tc>
        <w:tc>
          <w:tcPr>
            <w:tcW w:type="dxa" w:w="3600"/>
            <w:tcMar>
              <w:top w:w="80" w:type="dxa"/>
              <w:bottom w:w="80" w:type="dxa"/>
              <w:left w:w="100" w:type="dxa"/>
              <w:right w:w="100" w:type="dxa"/>
            </w:tcMar>
          </w:tcPr>
          <w:p>
            <w:r>
              <w:rPr>
                <w:rFonts w:ascii="Calibri" w:hAnsi="Calibri"/>
                <w:sz w:val="18"/>
              </w:rPr>
              <w:t>Best Practice / Discretionary</w:t>
            </w:r>
          </w:p>
        </w:tc>
      </w:tr>
    </w:tbl>
    <w:p>
      <w:pPr>
        <w:pStyle w:val="Heading1"/>
        <w:keepNext/>
        <w:spacing w:before="280" w:after="120"/>
      </w:pPr>
      <w:r>
        <w:rPr>
          <w:rFonts w:ascii="Calibri" w:hAnsi="Calibri"/>
          <w:b/>
          <w:color w:val="1E3A8A"/>
          <w:sz w:val="32"/>
        </w:rPr>
        <w:t>2. Assessment Scope &amp; Target Architecture</w:t>
      </w:r>
    </w:p>
    <w:p>
      <w:r>
        <w:t>The testing activities were conducted strictly within the bounds authorized by the project scope:</w:t>
        <w:br/>
        <w:t>• Target URL: https://target.app</w:t>
        <w:br/>
        <w:t>• Environment: Web Application (Staging)</w:t>
        <w:br/>
        <w:t>• Scope Description: Comprehensive web application security audit.</w:t>
        <w:br/>
        <w:t>• Scope Notes: Standard testing boundaries observed.</w:t>
      </w:r>
    </w:p>
    <w:p>
      <w:pPr>
        <w:pStyle w:val="Heading1"/>
        <w:keepNext/>
        <w:spacing w:before="280" w:after="120"/>
      </w:pPr>
      <w:r>
        <w:rPr>
          <w:rFonts w:ascii="Calibri" w:hAnsi="Calibri"/>
          <w:b/>
          <w:color w:val="1E3A8A"/>
          <w:sz w:val="32"/>
        </w:rPr>
        <w:t>3. Testing Methodology &amp; Standards</w:t>
      </w:r>
    </w:p>
    <w:p>
      <w:r>
        <w:t>Tracegate testing methodology aligns with industry-standard web security evaluation frameworks, primarily OWASP Web Security Testing Guide (WSTG v4.2) &amp; PTES. The assessment followed a structured five-phase security workflow:</w:t>
        <w:br/>
        <w:t>1. Reconnaissance &amp; Surface Inspection: Evaluation of target endpoints, user inputs, and workflows.</w:t>
        <w:br/>
        <w:t>2. Visual Feature &amp; Workflow Classification: Contextual analysis of application surfaces and targeted test selection.</w:t>
        <w:br/>
        <w:t>3. Security Control Testing: Execution of prioritized security assessment procedures tailored to target components.</w:t>
        <w:br/>
        <w:t>4. Manual Verification &amp; Proof of Concept: Validation of anomalous behaviors with crafted payloads to confirm exploitative impact.</w:t>
        <w:br/>
        <w:t>5. Remediation Roadmap Development: Formulation of actionable, code-level recommendations and defensive mitigations.</w:t>
      </w:r>
    </w:p>
    <w:p>
      <w:pPr>
        <w:pStyle w:val="Heading1"/>
        <w:keepNext/>
        <w:spacing w:before="280" w:after="120"/>
      </w:pPr>
      <w:r>
        <w:rPr>
          <w:rFonts w:ascii="Calibri" w:hAnsi="Calibri"/>
          <w:b/>
          <w:color w:val="1E3A8A"/>
          <w:sz w:val="32"/>
        </w:rPr>
        <w:t>4. Security Test Coverage &amp; Verification Matrix</w:t>
      </w:r>
    </w:p>
    <w:p>
      <w:r>
        <w:t>A total of 1 security test procedures were designated for this assessment scope. Tests completed: 1 | Verified clean controls: 0 | Confirmed findings: 1. The table below details all evaluated controls and verified findings status.</w:t>
      </w:r>
    </w:p>
    <w:tbl>
      <w:tblPr>
        <w:tblW w:type="auto" w:w="0"/>
        <w:jc w:val="center"/>
        <w:tblLook w:firstColumn="1" w:firstRow="1" w:lastColumn="0" w:lastRow="0" w:noHBand="0" w:noVBand="1" w:val="04A0"/>
      </w:tblPr>
      <w:tblGrid>
        <w:gridCol w:w="2340"/>
        <w:gridCol w:w="2340"/>
        <w:gridCol w:w="2340"/>
        <w:gridCol w:w="2340"/>
      </w:tblGrid>
      <w:tr>
        <w:tc>
          <w:tcPr>
            <w:tcW w:type="dxa" w:w="2304"/>
            <w:shd w:fill="1E3A8A"/>
            <w:tcMar>
              <w:top w:w="100" w:type="dxa"/>
              <w:bottom w:w="100" w:type="dxa"/>
              <w:left w:w="100" w:type="dxa"/>
              <w:right w:w="100" w:type="dxa"/>
            </w:tcMar>
          </w:tcPr>
          <w:p>
            <w:r>
              <w:rPr>
                <w:rFonts w:ascii="Calibri" w:hAnsi="Calibri"/>
                <w:b/>
                <w:color w:val="FFFFFF"/>
                <w:sz w:val="18"/>
              </w:rPr>
              <w:t>Test ID</w:t>
            </w:r>
          </w:p>
        </w:tc>
        <w:tc>
          <w:tcPr>
            <w:tcW w:type="dxa" w:w="3744"/>
            <w:shd w:fill="1E3A8A"/>
            <w:tcMar>
              <w:top w:w="100" w:type="dxa"/>
              <w:bottom w:w="100" w:type="dxa"/>
              <w:left w:w="100" w:type="dxa"/>
              <w:right w:w="100" w:type="dxa"/>
            </w:tcMar>
          </w:tcPr>
          <w:p>
            <w:r>
              <w:rPr>
                <w:rFonts w:ascii="Calibri" w:hAnsi="Calibri"/>
                <w:b/>
                <w:color w:val="FFFFFF"/>
                <w:sz w:val="18"/>
              </w:rPr>
              <w:t>Security Control</w:t>
            </w:r>
          </w:p>
        </w:tc>
        <w:tc>
          <w:tcPr>
            <w:tcW w:type="dxa" w:w="1440"/>
            <w:shd w:fill="1E3A8A"/>
            <w:tcMar>
              <w:top w:w="100" w:type="dxa"/>
              <w:bottom w:w="100" w:type="dxa"/>
              <w:left w:w="100" w:type="dxa"/>
              <w:right w:w="100" w:type="dxa"/>
            </w:tcMar>
          </w:tcPr>
          <w:p>
            <w:r>
              <w:rPr>
                <w:rFonts w:ascii="Calibri" w:hAnsi="Calibri"/>
                <w:b/>
                <w:color w:val="FFFFFF"/>
                <w:sz w:val="18"/>
              </w:rPr>
              <w:t>CWE</w:t>
            </w:r>
          </w:p>
        </w:tc>
        <w:tc>
          <w:tcPr>
            <w:tcW w:type="dxa" w:w="1872"/>
            <w:shd w:fill="1E3A8A"/>
            <w:tcMar>
              <w:top w:w="100" w:type="dxa"/>
              <w:bottom w:w="100" w:type="dxa"/>
              <w:left w:w="100" w:type="dxa"/>
              <w:right w:w="100" w:type="dxa"/>
            </w:tcMar>
          </w:tcPr>
          <w:p>
            <w:r>
              <w:rPr>
                <w:rFonts w:ascii="Calibri" w:hAnsi="Calibri"/>
                <w:b/>
                <w:color w:val="FFFFFF"/>
                <w:sz w:val="18"/>
              </w:rPr>
              <w:t>Verification Status</w:t>
            </w:r>
          </w:p>
        </w:tc>
      </w:tr>
      <w:tr>
        <w:tc>
          <w:tcPr>
            <w:tcW w:type="dxa" w:w="2304"/>
            <w:tcMar>
              <w:top w:w="60" w:type="dxa"/>
              <w:bottom w:w="60" w:type="dxa"/>
              <w:left w:w="80" w:type="dxa"/>
              <w:right w:w="80" w:type="dxa"/>
            </w:tcMar>
          </w:tcPr>
          <w:p>
            <w:r>
              <w:rPr>
                <w:rFonts w:ascii="Calibri" w:hAnsi="Calibri"/>
                <w:sz w:val="17"/>
              </w:rPr>
              <w:t>custom-1788845804304</w:t>
            </w:r>
          </w:p>
        </w:tc>
        <w:tc>
          <w:tcPr>
            <w:tcW w:type="dxa" w:w="3744"/>
            <w:tcMar>
              <w:top w:w="60" w:type="dxa"/>
              <w:bottom w:w="60" w:type="dxa"/>
              <w:left w:w="80" w:type="dxa"/>
              <w:right w:w="80" w:type="dxa"/>
            </w:tcMar>
          </w:tcPr>
          <w:p>
            <w:r>
              <w:rPr>
                <w:rFonts w:ascii="Calibri" w:hAnsi="Calibri"/>
                <w:sz w:val="17"/>
              </w:rPr>
              <w:t>JWT Algorithm Confusion</w:t>
            </w:r>
          </w:p>
        </w:tc>
        <w:tc>
          <w:tcPr>
            <w:tcW w:type="dxa" w:w="1440"/>
            <w:tcMar>
              <w:top w:w="60" w:type="dxa"/>
              <w:bottom w:w="60" w:type="dxa"/>
              <w:left w:w="80" w:type="dxa"/>
              <w:right w:w="80" w:type="dxa"/>
            </w:tcMar>
          </w:tcPr>
          <w:p>
            <w:r>
              <w:rPr>
                <w:rFonts w:ascii="Calibri" w:hAnsi="Calibri"/>
                <w:sz w:val="17"/>
              </w:rPr>
              <w:t>CWE-327</w:t>
            </w:r>
          </w:p>
        </w:tc>
        <w:tc>
          <w:tcPr>
            <w:tcW w:type="dxa" w:w="1872"/>
            <w:tcMar>
              <w:top w:w="60" w:type="dxa"/>
              <w:bottom w:w="60" w:type="dxa"/>
              <w:left w:w="80" w:type="dxa"/>
              <w:right w:w="80" w:type="dxa"/>
            </w:tcMar>
          </w:tcPr>
          <w:p>
            <w:r>
              <w:rPr>
                <w:rFonts w:ascii="Calibri" w:hAnsi="Calibri"/>
                <w:b/>
                <w:color w:val="B91C1C"/>
                <w:sz w:val="17"/>
              </w:rPr>
              <w:t>VULN CONFIRMED</w:t>
            </w:r>
          </w:p>
        </w:tc>
      </w:tr>
    </w:tbl>
    <w:p>
      <w:r>
        <w:br w:type="page"/>
      </w:r>
    </w:p>
    <w:p>
      <w:pPr>
        <w:pStyle w:val="Heading1"/>
        <w:keepNext/>
        <w:spacing w:before="280" w:after="120"/>
      </w:pPr>
      <w:r>
        <w:rPr>
          <w:rFonts w:ascii="Calibri" w:hAnsi="Calibri"/>
          <w:b/>
          <w:color w:val="1E3A8A"/>
          <w:sz w:val="32"/>
        </w:rPr>
        <w:t>5. Summary of Confirmed Vulnerabilities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584"/>
            <w:shd w:fill="1E3A8A"/>
            <w:tcMar>
              <w:top w:w="100" w:type="dxa"/>
              <w:bottom w:w="100" w:type="dxa"/>
              <w:left w:w="100" w:type="dxa"/>
              <w:right w:w="100" w:type="dxa"/>
            </w:tcMar>
          </w:tcPr>
          <w:p>
            <w:r>
              <w:rPr>
                <w:rFonts w:ascii="Calibri" w:hAnsi="Calibri"/>
                <w:b/>
                <w:color w:val="FFFFFF"/>
                <w:sz w:val="18"/>
              </w:rPr>
              <w:t>Finding ID</w:t>
            </w:r>
          </w:p>
        </w:tc>
        <w:tc>
          <w:tcPr>
            <w:tcW w:type="dxa" w:w="4032"/>
            <w:shd w:fill="1E3A8A"/>
            <w:tcMar>
              <w:top w:w="100" w:type="dxa"/>
              <w:bottom w:w="100" w:type="dxa"/>
              <w:left w:w="100" w:type="dxa"/>
              <w:right w:w="100" w:type="dxa"/>
            </w:tcMar>
          </w:tcPr>
          <w:p>
            <w:r>
              <w:rPr>
                <w:rFonts w:ascii="Calibri" w:hAnsi="Calibri"/>
                <w:b/>
                <w:color w:val="FFFFFF"/>
                <w:sz w:val="18"/>
              </w:rPr>
              <w:t>Vulnerability Title</w:t>
            </w:r>
          </w:p>
        </w:tc>
        <w:tc>
          <w:tcPr>
            <w:tcW w:type="dxa" w:w="1584"/>
            <w:shd w:fill="1E3A8A"/>
            <w:tcMar>
              <w:top w:w="100" w:type="dxa"/>
              <w:bottom w:w="100" w:type="dxa"/>
              <w:left w:w="100" w:type="dxa"/>
              <w:right w:w="100" w:type="dxa"/>
            </w:tcMar>
          </w:tcPr>
          <w:p>
            <w:r>
              <w:rPr>
                <w:rFonts w:ascii="Calibri" w:hAnsi="Calibri"/>
                <w:b/>
                <w:color w:val="FFFFFF"/>
                <w:sz w:val="18"/>
              </w:rPr>
              <w:t>Severity</w:t>
            </w:r>
          </w:p>
        </w:tc>
        <w:tc>
          <w:tcPr>
            <w:tcW w:type="dxa" w:w="1440"/>
            <w:shd w:fill="1E3A8A"/>
            <w:tcMar>
              <w:top w:w="100" w:type="dxa"/>
              <w:bottom w:w="100" w:type="dxa"/>
              <w:left w:w="100" w:type="dxa"/>
              <w:right w:w="100" w:type="dxa"/>
            </w:tcMar>
          </w:tcPr>
          <w:p>
            <w:r>
              <w:rPr>
                <w:rFonts w:ascii="Calibri" w:hAnsi="Calibri"/>
                <w:b/>
                <w:color w:val="FFFFFF"/>
                <w:sz w:val="18"/>
              </w:rPr>
              <w:t>CWE</w:t>
            </w:r>
          </w:p>
        </w:tc>
        <w:tc>
          <w:tcPr>
            <w:tcW w:type="dxa" w:w="1152"/>
            <w:shd w:fill="1E3A8A"/>
            <w:tcMar>
              <w:top w:w="100" w:type="dxa"/>
              <w:bottom w:w="100" w:type="dxa"/>
              <w:left w:w="100" w:type="dxa"/>
              <w:right w:w="100" w:type="dxa"/>
            </w:tcMar>
          </w:tcPr>
          <w:p>
            <w:r>
              <w:rPr>
                <w:rFonts w:ascii="Calibri" w:hAnsi="Calibri"/>
                <w:b/>
                <w:color w:val="FFFFFF"/>
                <w:sz w:val="18"/>
              </w:rPr>
              <w:t>Status</w:t>
            </w:r>
          </w:p>
        </w:tc>
      </w:tr>
      <w:tr>
        <w:tc>
          <w:tcPr>
            <w:tcW w:type="dxa" w:w="1584"/>
            <w:tcMar>
              <w:top w:w="60" w:type="dxa"/>
              <w:bottom w:w="60" w:type="dxa"/>
              <w:left w:w="80" w:type="dxa"/>
              <w:right w:w="80" w:type="dxa"/>
            </w:tcMar>
          </w:tcPr>
          <w:p>
            <w:r>
              <w:rPr>
                <w:rFonts w:ascii="Calibri" w:hAnsi="Calibri"/>
                <w:b/>
                <w:sz w:val="17"/>
              </w:rPr>
              <w:t>VULN-001</w:t>
            </w:r>
          </w:p>
        </w:tc>
        <w:tc>
          <w:tcPr>
            <w:tcW w:type="dxa" w:w="4032"/>
            <w:tcMar>
              <w:top w:w="60" w:type="dxa"/>
              <w:bottom w:w="60" w:type="dxa"/>
              <w:left w:w="80" w:type="dxa"/>
              <w:right w:w="80" w:type="dxa"/>
            </w:tcMar>
          </w:tcPr>
          <w:p>
            <w:r>
              <w:rPr>
                <w:rFonts w:ascii="Calibri" w:hAnsi="Calibri"/>
                <w:sz w:val="17"/>
              </w:rPr>
              <w:t>JWT None Algorithm Signature Bypass</w:t>
            </w:r>
          </w:p>
        </w:tc>
        <w:tc>
          <w:tcPr>
            <w:tcW w:type="dxa" w:w="1584"/>
            <w:tcMar>
              <w:top w:w="60" w:type="dxa"/>
              <w:bottom w:w="60" w:type="dxa"/>
              <w:left w:w="80" w:type="dxa"/>
              <w:right w:w="80" w:type="dxa"/>
            </w:tcMar>
          </w:tcPr>
          <w:p>
            <w:r>
              <w:rPr>
                <w:rFonts w:ascii="Calibri" w:hAnsi="Calibri"/>
                <w:b/>
                <w:color w:val="C2410C"/>
                <w:sz w:val="17"/>
              </w:rPr>
              <w:t>HIGH</w:t>
            </w:r>
          </w:p>
        </w:tc>
        <w:tc>
          <w:tcPr>
            <w:tcW w:type="dxa" w:w="1440"/>
            <w:tcMar>
              <w:top w:w="60" w:type="dxa"/>
              <w:bottom w:w="60" w:type="dxa"/>
              <w:left w:w="80" w:type="dxa"/>
              <w:right w:w="80" w:type="dxa"/>
            </w:tcMar>
          </w:tcPr>
          <w:p>
            <w:r>
              <w:rPr>
                <w:rFonts w:ascii="Calibri" w:hAnsi="Calibri"/>
                <w:sz w:val="17"/>
              </w:rPr>
              <w:t>CWE-327</w:t>
            </w:r>
          </w:p>
        </w:tc>
        <w:tc>
          <w:tcPr>
            <w:tcW w:type="dxa" w:w="1152"/>
            <w:tcMar>
              <w:top w:w="60" w:type="dxa"/>
              <w:bottom w:w="60" w:type="dxa"/>
              <w:left w:w="80" w:type="dxa"/>
              <w:right w:w="80" w:type="dxa"/>
            </w:tcMar>
          </w:tcPr>
          <w:p>
            <w:r>
              <w:rPr>
                <w:rFonts w:ascii="Calibri" w:hAnsi="Calibri"/>
                <w:sz w:val="17"/>
              </w:rPr>
              <w:t>Open</w:t>
            </w:r>
          </w:p>
        </w:tc>
      </w:tr>
    </w:tbl>
    <w:p>
      <w:r>
        <w:br w:type="page"/>
      </w:r>
    </w:p>
    <w:p>
      <w:pPr>
        <w:pStyle w:val="Heading1"/>
        <w:keepNext/>
        <w:spacing w:before="280" w:after="120"/>
      </w:pPr>
      <w:r>
        <w:rPr>
          <w:rFonts w:ascii="Calibri" w:hAnsi="Calibri"/>
          <w:b/>
          <w:color w:val="1E3A8A"/>
          <w:sz w:val="32"/>
        </w:rPr>
        <w:t>6. Detailed Technical Findings &amp; Proof of Concept</w:t>
      </w:r>
    </w:p>
    <w:p>
      <w:pPr>
        <w:pStyle w:val="Heading2"/>
        <w:keepNext/>
        <w:spacing w:before="280" w:after="120"/>
      </w:pPr>
      <w:r>
        <w:rPr>
          <w:rFonts w:ascii="Calibri" w:hAnsi="Calibri"/>
          <w:b/>
          <w:color w:val="1E3A8A"/>
          <w:sz w:val="26"/>
        </w:rPr>
        <w:t>VULN-001: JWT None Algorithm Signature Bypass</w:t>
      </w:r>
    </w:p>
    <w:tbl>
      <w:tblPr>
        <w:tblW w:type="auto" w:w="0"/>
        <w:jc w:val="center"/>
        <w:tblLook w:firstColumn="1" w:firstRow="1" w:lastColumn="0" w:lastRow="0" w:noHBand="0" w:noVBand="1" w:val="04A0"/>
      </w:tblPr>
      <w:tblGrid>
        <w:gridCol w:w="2340"/>
        <w:gridCol w:w="2340"/>
        <w:gridCol w:w="2340"/>
        <w:gridCol w:w="2340"/>
      </w:tblGrid>
      <w:tr>
        <w:tc>
          <w:tcPr>
            <w:tcW w:type="dxa" w:w="2304"/>
            <w:shd w:fill="F1F5F9"/>
            <w:tcMar>
              <w:top w:w="60" w:type="dxa"/>
              <w:bottom w:w="60" w:type="dxa"/>
              <w:left w:w="80" w:type="dxa"/>
              <w:right w:w="80" w:type="dxa"/>
            </w:tcMar>
          </w:tcPr>
          <w:p>
            <w:r>
              <w:rPr>
                <w:rFonts w:ascii="Calibri" w:hAnsi="Calibri"/>
                <w:b/>
                <w:color w:val="1E3A8A"/>
                <w:sz w:val="17"/>
              </w:rPr>
              <w:t>Severity</w:t>
            </w:r>
          </w:p>
        </w:tc>
        <w:tc>
          <w:tcPr>
            <w:tcW w:type="dxa" w:w="2592"/>
            <w:shd w:fill="F1F5F9"/>
            <w:tcMar>
              <w:top w:w="60" w:type="dxa"/>
              <w:bottom w:w="60" w:type="dxa"/>
              <w:left w:w="80" w:type="dxa"/>
              <w:right w:w="80" w:type="dxa"/>
            </w:tcMar>
          </w:tcPr>
          <w:p>
            <w:r>
              <w:rPr>
                <w:rFonts w:ascii="Calibri" w:hAnsi="Calibri"/>
                <w:b/>
                <w:color w:val="1E3A8A"/>
                <w:sz w:val="17"/>
              </w:rPr>
              <w:t>CWE Classification</w:t>
            </w:r>
          </w:p>
        </w:tc>
        <w:tc>
          <w:tcPr>
            <w:tcW w:type="dxa" w:w="2304"/>
            <w:shd w:fill="F1F5F9"/>
            <w:tcMar>
              <w:top w:w="60" w:type="dxa"/>
              <w:bottom w:w="60" w:type="dxa"/>
              <w:left w:w="80" w:type="dxa"/>
              <w:right w:w="80" w:type="dxa"/>
            </w:tcMar>
          </w:tcPr>
          <w:p>
            <w:r>
              <w:rPr>
                <w:rFonts w:ascii="Calibri" w:hAnsi="Calibri"/>
                <w:b/>
                <w:color w:val="1E3A8A"/>
                <w:sz w:val="17"/>
              </w:rPr>
              <w:t>CVSS v3.1 Base Score</w:t>
            </w:r>
          </w:p>
        </w:tc>
        <w:tc>
          <w:tcPr>
            <w:tcW w:type="dxa" w:w="2160"/>
            <w:shd w:fill="F1F5F9"/>
            <w:tcMar>
              <w:top w:w="60" w:type="dxa"/>
              <w:bottom w:w="60" w:type="dxa"/>
              <w:left w:w="80" w:type="dxa"/>
              <w:right w:w="80" w:type="dxa"/>
            </w:tcMar>
          </w:tcPr>
          <w:p>
            <w:r>
              <w:rPr>
                <w:rFonts w:ascii="Calibri" w:hAnsi="Calibri"/>
                <w:b/>
                <w:color w:val="1E3A8A"/>
                <w:sz w:val="17"/>
              </w:rPr>
              <w:t>Remediation Status</w:t>
            </w:r>
          </w:p>
        </w:tc>
      </w:tr>
      <w:tr>
        <w:tc>
          <w:tcPr>
            <w:tcW w:type="dxa" w:w="2304"/>
            <w:tcMar>
              <w:top w:w="60" w:type="dxa"/>
              <w:bottom w:w="60" w:type="dxa"/>
              <w:left w:w="80" w:type="dxa"/>
              <w:right w:w="80" w:type="dxa"/>
            </w:tcMar>
          </w:tcPr>
          <w:p>
            <w:r>
              <w:rPr>
                <w:rFonts w:ascii="Calibri" w:hAnsi="Calibri"/>
                <w:b/>
                <w:color w:val="C2410C"/>
                <w:sz w:val="18"/>
              </w:rPr>
              <w:t>HIGH</w:t>
            </w:r>
          </w:p>
        </w:tc>
        <w:tc>
          <w:tcPr>
            <w:tcW w:type="dxa" w:w="2592"/>
            <w:tcMar>
              <w:top w:w="60" w:type="dxa"/>
              <w:bottom w:w="60" w:type="dxa"/>
              <w:left w:w="80" w:type="dxa"/>
              <w:right w:w="80" w:type="dxa"/>
            </w:tcMar>
          </w:tcPr>
          <w:p>
            <w:r>
              <w:rPr>
                <w:rFonts w:ascii="Calibri" w:hAnsi="Calibri"/>
                <w:sz w:val="18"/>
              </w:rPr>
              <w:t>CWE-327</w:t>
            </w:r>
          </w:p>
        </w:tc>
        <w:tc>
          <w:tcPr>
            <w:tcW w:type="dxa" w:w="2304"/>
            <w:tcMar>
              <w:top w:w="60" w:type="dxa"/>
              <w:bottom w:w="60" w:type="dxa"/>
              <w:left w:w="80" w:type="dxa"/>
              <w:right w:w="80" w:type="dxa"/>
            </w:tcMar>
          </w:tcPr>
          <w:p>
            <w:r>
              <w:rPr>
                <w:rFonts w:ascii="Calibri" w:hAnsi="Calibri"/>
                <w:sz w:val="18"/>
              </w:rPr>
              <w:t>7.5</w:t>
            </w:r>
          </w:p>
        </w:tc>
        <w:tc>
          <w:tcPr>
            <w:tcW w:type="dxa" w:w="2160"/>
            <w:tcMar>
              <w:top w:w="60" w:type="dxa"/>
              <w:bottom w:w="60" w:type="dxa"/>
              <w:left w:w="80" w:type="dxa"/>
              <w:right w:w="80" w:type="dxa"/>
            </w:tcMar>
          </w:tcPr>
          <w:p>
            <w:r>
              <w:rPr>
                <w:rFonts w:ascii="Calibri" w:hAnsi="Calibri"/>
                <w:sz w:val="18"/>
              </w:rPr>
              <w:t>NOT_STARTED</w:t>
            </w:r>
          </w:p>
        </w:tc>
      </w:tr>
    </w:tbl>
    <w:p>
      <w:pPr>
        <w:spacing w:before="160" w:after="40"/>
      </w:pPr>
      <w:r>
        <w:rPr>
          <w:b/>
          <w:color w:val="1E3A8A"/>
          <w:sz w:val="20"/>
        </w:rPr>
        <w:t>A. Vulnerability Description &amp; Technical Observation</w:t>
      </w:r>
    </w:p>
    <w:p>
      <w:pPr>
        <w:spacing w:after="120"/>
      </w:pPr>
      <w:r>
        <w:t>JWT parser accepts alg=none token signatures.</w:t>
      </w:r>
    </w:p>
    <w:p>
      <w:pPr>
        <w:spacing w:before="80" w:after="40"/>
      </w:pPr>
      <w:r>
        <w:rPr>
          <w:b/>
          <w:color w:val="1E3A8A"/>
          <w:sz w:val="20"/>
        </w:rPr>
        <w:t>B. Business &amp; Technical Impact</w:t>
      </w:r>
    </w:p>
    <w:p>
      <w:pPr>
        <w:spacing w:after="120"/>
      </w:pPr>
      <w:r>
        <w:t>An unauthorized attacker can leverage this condition to circumvent intended security controls, access unauthorized functionality, or disclose confidential metadata.</w:t>
      </w:r>
    </w:p>
    <w:p>
      <w:pPr>
        <w:spacing w:before="80" w:after="40"/>
      </w:pPr>
      <w:r>
        <w:rPr>
          <w:b/>
          <w:color w:val="1E3A8A"/>
          <w:sz w:val="20"/>
        </w:rPr>
        <w:t>C. Step-by-Step Reproduction Procedure</w:t>
      </w:r>
    </w:p>
    <w:p>
      <w:pPr>
        <w:spacing w:after="120"/>
      </w:pPr>
      <w:r>
        <w:t>1. Identify the target interface responsible for JWT None Algorithm Signature Bypass.</w:t>
        <w:br/>
        <w:t>2. Intercept the corresponding HTTP request using a security proxy.</w:t>
        <w:br/>
        <w:t>3. Submit crafted boundary test values or parameter manipulations.</w:t>
        <w:br/>
        <w:t>4. Observe unexpected status codes or response bodies indicating control failure.</w:t>
      </w:r>
    </w:p>
    <w:p>
      <w:pPr>
        <w:spacing w:before="80" w:after="40"/>
      </w:pPr>
      <w:r>
        <w:rPr>
          <w:b/>
          <w:color w:val="1E3A8A"/>
          <w:sz w:val="20"/>
        </w:rPr>
        <w:t>D. Proof of Concept (PoC) Request / Evidence Snippet</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Pr>
          <w:p>
            <w:pPr>
              <w:spacing w:before="0" w:after="0"/>
            </w:pPr>
            <w:r>
              <w:rPr>
                <w:rFonts w:ascii="Consolas" w:hAnsi="Consolas"/>
                <w:color w:val="1E293B"/>
                <w:sz w:val="17"/>
              </w:rPr>
              <w:t>eyJhbGciOiJub25lIn0.eyJzdWIiOiJhZG1pbiJ9.</w:t>
            </w:r>
          </w:p>
        </w:tc>
      </w:tr>
    </w:tbl>
    <w:p>
      <w:pPr>
        <w:spacing w:before="120" w:after="40"/>
      </w:pPr>
      <w:r>
        <w:rPr>
          <w:b/>
          <w:color w:val="047857"/>
          <w:sz w:val="20"/>
        </w:rPr>
        <w:t>E. Technical Remediation (Code / Configuration Guidance)</w:t>
      </w:r>
    </w:p>
    <w:p>
      <w:pPr>
        <w:spacing w:after="120"/>
      </w:pPr>
      <w:r>
        <w:t>Implement strict server-side validation, authentication, and authorization verification for JWT None Algorithm Signature Bypass. Ensure that all inputs are validated against strict allowlists and access controls are strictly enforced on the server.</w:t>
      </w:r>
    </w:p>
    <w:p>
      <w:pPr>
        <w:spacing w:before="80" w:after="40"/>
      </w:pPr>
      <w:r>
        <w:rPr>
          <w:b/>
          <w:color w:val="1E3A8A"/>
          <w:sz w:val="20"/>
        </w:rPr>
        <w:t>F. Defense-in-Depth Architectural Mitigation</w:t>
      </w:r>
    </w:p>
    <w:p>
      <w:pPr>
        <w:spacing w:after="160"/>
      </w:pPr>
      <w:r>
        <w:t>Enforce defense-in-depth controls including centralized security middleware, comprehensive audit logging, and automated security regression testing.</w:t>
      </w:r>
    </w:p>
    <w:p>
      <w:r>
        <w:br w:type="page"/>
      </w:r>
    </w:p>
    <w:p>
      <w:pPr>
        <w:pStyle w:val="Heading1"/>
        <w:keepNext/>
        <w:spacing w:before="280" w:after="120"/>
      </w:pPr>
      <w:r>
        <w:rPr>
          <w:rFonts w:ascii="Calibri" w:hAnsi="Calibri"/>
          <w:b/>
          <w:color w:val="1E3A8A"/>
          <w:sz w:val="32"/>
        </w:rPr>
        <w:t>7. Prioritized Remediation Action Plan</w:t>
      </w:r>
    </w:p>
    <w:p>
      <w:r>
        <w:t>The following remediation action plan prioritizes vulnerability resolution based on risk severity. Engineering teams should address Critical and High severity findings according to the designated service level targets.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1E3A8A"/>
            <w:tcMar>
              <w:top w:w="100" w:type="dxa"/>
              <w:bottom w:w="100" w:type="dxa"/>
              <w:left w:w="100" w:type="dxa"/>
              <w:right w:w="100" w:type="dxa"/>
            </w:tcMar>
          </w:tcPr>
          <w:p>
            <w:r>
              <w:rPr>
                <w:rFonts w:ascii="Calibri" w:hAnsi="Calibri"/>
                <w:b/>
                <w:color w:val="FFFFFF"/>
                <w:sz w:val="18"/>
              </w:rPr>
              <w:t>Finding ID</w:t>
            </w:r>
          </w:p>
        </w:tc>
        <w:tc>
          <w:tcPr>
            <w:tcW w:type="dxa" w:w="1440"/>
            <w:shd w:fill="1E3A8A"/>
            <w:tcMar>
              <w:top w:w="100" w:type="dxa"/>
              <w:bottom w:w="100" w:type="dxa"/>
              <w:left w:w="100" w:type="dxa"/>
              <w:right w:w="100" w:type="dxa"/>
            </w:tcMar>
          </w:tcPr>
          <w:p>
            <w:r>
              <w:rPr>
                <w:rFonts w:ascii="Calibri" w:hAnsi="Calibri"/>
                <w:b/>
                <w:color w:val="FFFFFF"/>
                <w:sz w:val="18"/>
              </w:rPr>
              <w:t>Priority</w:t>
            </w:r>
          </w:p>
        </w:tc>
        <w:tc>
          <w:tcPr>
            <w:tcW w:type="dxa" w:w="3744"/>
            <w:shd w:fill="1E3A8A"/>
            <w:tcMar>
              <w:top w:w="100" w:type="dxa"/>
              <w:bottom w:w="100" w:type="dxa"/>
              <w:left w:w="100" w:type="dxa"/>
              <w:right w:w="100" w:type="dxa"/>
            </w:tcMar>
          </w:tcPr>
          <w:p>
            <w:r>
              <w:rPr>
                <w:rFonts w:ascii="Calibri" w:hAnsi="Calibri"/>
                <w:b/>
                <w:color w:val="FFFFFF"/>
                <w:sz w:val="18"/>
              </w:rPr>
              <w:t>Recommended Action</w:t>
            </w:r>
          </w:p>
        </w:tc>
        <w:tc>
          <w:tcPr>
            <w:tcW w:type="dxa" w:w="1440"/>
            <w:shd w:fill="1E3A8A"/>
            <w:tcMar>
              <w:top w:w="100" w:type="dxa"/>
              <w:bottom w:w="100" w:type="dxa"/>
              <w:left w:w="100" w:type="dxa"/>
              <w:right w:w="100" w:type="dxa"/>
            </w:tcMar>
          </w:tcPr>
          <w:p>
            <w:r>
              <w:rPr>
                <w:rFonts w:ascii="Calibri" w:hAnsi="Calibri"/>
                <w:b/>
                <w:color w:val="FFFFFF"/>
                <w:sz w:val="18"/>
              </w:rPr>
              <w:t>Status</w:t>
            </w:r>
          </w:p>
        </w:tc>
        <w:tc>
          <w:tcPr>
            <w:tcW w:type="dxa" w:w="1296"/>
            <w:shd w:fill="1E3A8A"/>
            <w:tcMar>
              <w:top w:w="100" w:type="dxa"/>
              <w:bottom w:w="100" w:type="dxa"/>
              <w:left w:w="100" w:type="dxa"/>
              <w:right w:w="100" w:type="dxa"/>
            </w:tcMar>
          </w:tcPr>
          <w:p>
            <w:r>
              <w:rPr>
                <w:rFonts w:ascii="Calibri" w:hAnsi="Calibri"/>
                <w:b/>
                <w:color w:val="FFFFFF"/>
                <w:sz w:val="18"/>
              </w:rPr>
              <w:t>Target SLA</w:t>
            </w:r>
          </w:p>
        </w:tc>
      </w:tr>
      <w:tr>
        <w:tc>
          <w:tcPr>
            <w:tcW w:type="dxa" w:w="1440"/>
            <w:tcMar>
              <w:top w:w="60" w:type="dxa"/>
              <w:bottom w:w="60" w:type="dxa"/>
              <w:left w:w="80" w:type="dxa"/>
              <w:right w:w="80" w:type="dxa"/>
            </w:tcMar>
          </w:tcPr>
          <w:p>
            <w:r>
              <w:rPr>
                <w:rFonts w:ascii="Calibri" w:hAnsi="Calibri"/>
                <w:b/>
                <w:sz w:val="17"/>
              </w:rPr>
              <w:t>VULN-001</w:t>
            </w:r>
          </w:p>
        </w:tc>
        <w:tc>
          <w:tcPr>
            <w:tcW w:type="dxa" w:w="1440"/>
            <w:tcMar>
              <w:top w:w="60" w:type="dxa"/>
              <w:bottom w:w="60" w:type="dxa"/>
              <w:left w:w="80" w:type="dxa"/>
              <w:right w:w="80" w:type="dxa"/>
            </w:tcMar>
          </w:tcPr>
          <w:p>
            <w:r>
              <w:rPr>
                <w:rFonts w:ascii="Calibri" w:hAnsi="Calibri"/>
                <w:b/>
                <w:color w:val="C2410C"/>
                <w:sz w:val="17"/>
              </w:rPr>
              <w:t>HIGH</w:t>
            </w:r>
          </w:p>
        </w:tc>
        <w:tc>
          <w:tcPr>
            <w:tcW w:type="dxa" w:w="3744"/>
            <w:tcMar>
              <w:top w:w="60" w:type="dxa"/>
              <w:bottom w:w="60" w:type="dxa"/>
              <w:left w:w="80" w:type="dxa"/>
              <w:right w:w="80" w:type="dxa"/>
            </w:tcMar>
          </w:tcPr>
          <w:p>
            <w:r>
              <w:rPr>
                <w:rFonts w:ascii="Calibri" w:hAnsi="Calibri"/>
                <w:sz w:val="17"/>
              </w:rPr>
              <w:t>Implement strict server-side validation, authentication, and authorization verification for JWT None Algorithm Signature Bypass. Ensure that all inputs are v...</w:t>
            </w:r>
          </w:p>
        </w:tc>
        <w:tc>
          <w:tcPr>
            <w:tcW w:type="dxa" w:w="1440"/>
            <w:tcMar>
              <w:top w:w="60" w:type="dxa"/>
              <w:bottom w:w="60" w:type="dxa"/>
              <w:left w:w="80" w:type="dxa"/>
              <w:right w:w="80" w:type="dxa"/>
            </w:tcMar>
          </w:tcPr>
          <w:p>
            <w:r>
              <w:rPr>
                <w:rFonts w:ascii="Calibri" w:hAnsi="Calibri"/>
                <w:sz w:val="17"/>
              </w:rPr>
              <w:t>NOT_STARTED</w:t>
            </w:r>
          </w:p>
        </w:tc>
        <w:tc>
          <w:tcPr>
            <w:tcW w:type="dxa" w:w="1296"/>
            <w:tcMar>
              <w:top w:w="60" w:type="dxa"/>
              <w:bottom w:w="60" w:type="dxa"/>
              <w:left w:w="80" w:type="dxa"/>
              <w:right w:w="80" w:type="dxa"/>
            </w:tcMar>
          </w:tcPr>
          <w:p>
            <w:r>
              <w:rPr>
                <w:rFonts w:ascii="Calibri" w:hAnsi="Calibri"/>
                <w:sz w:val="17"/>
              </w:rPr>
              <w:t>7 Days</w:t>
            </w:r>
          </w:p>
        </w:tc>
      </w:tr>
    </w:tbl>
    <w:p>
      <w:pPr>
        <w:pStyle w:val="Heading1"/>
        <w:keepNext/>
        <w:spacing w:before="280" w:after="120"/>
      </w:pPr>
      <w:r>
        <w:rPr>
          <w:rFonts w:ascii="Calibri" w:hAnsi="Calibri"/>
          <w:b/>
          <w:color w:val="1E3A8A"/>
          <w:sz w:val="32"/>
        </w:rPr>
        <w:t>8. Assessment Conclusion &amp; Formal Sign-Off</w:t>
      </w:r>
    </w:p>
    <w:p>
      <w:pPr>
        <w:spacing w:after="480"/>
      </w:pPr>
      <w:r>
        <w:t>This assessment reflects the security posture of the target interface at the time of testing. Cybersecurity testing is an iterative process; upon completion of any recommended remediations, a re-testing verification cycle is strongly advised to confirm that identified vulnerabilities have been resolved without introducing regression defects.</w:t>
      </w:r>
    </w:p>
    <w:tbl>
      <w:tblPr>
        <w:tblW w:type="auto" w:w="0"/>
        <w:jc w:val="center"/>
        <w:tblLook w:firstColumn="1" w:firstRow="1" w:lastColumn="0" w:lastRow="0" w:noHBand="0" w:noVBand="1" w:val="04A0"/>
      </w:tblPr>
      <w:tblGrid>
        <w:gridCol w:w="4680"/>
        <w:gridCol w:w="4680"/>
      </w:tblGrid>
      <w:tr>
        <w:tc>
          <w:tcPr>
            <w:tcW w:type="dxa" w:w="4608"/>
          </w:tcPr>
          <w:p>
            <w:r>
              <w:rPr>
                <w:b/>
              </w:rPr>
              <w:t>Prepared by:</w:t>
            </w:r>
          </w:p>
        </w:tc>
        <w:tc>
          <w:tcPr>
            <w:tcW w:type="dxa" w:w="4752"/>
          </w:tcPr>
          <w:p>
            <w:r>
              <w:rPr>
                <w:b/>
              </w:rPr>
              <w:t>Verified &amp; Reviewed by:</w:t>
            </w:r>
          </w:p>
        </w:tc>
      </w:tr>
      <w:tr>
        <w:tc>
          <w:tcPr>
            <w:tcW w:type="dxa" w:w="4680"/>
          </w:tcPr>
          <w:p>
            <w:r>
              <w:br/>
              <w:t>___________________________________</w:t>
              <w:br/>
              <w:t>Security Learner</w:t>
              <w:br/>
              <w:t>Security Assessor, Tracegate VAPT</w:t>
            </w:r>
          </w:p>
        </w:tc>
        <w:tc>
          <w:tcPr>
            <w:tcW w:type="dxa" w:w="4680"/>
          </w:tcPr>
          <w:p>
            <w:r>
              <w:br/>
              <w:t>___________________________________</w:t>
              <w:br/>
              <w:t>Lead Security Reviewer</w:t>
              <w:br/>
              <w:t>Senior Penetration Testing Lead</w:t>
            </w:r>
          </w:p>
        </w:tc>
      </w:tr>
      <w:tr>
        <w:tc>
          <w:tcPr>
            <w:tcW w:type="dxa" w:w="4680"/>
          </w:tcPr>
          <w:p>
            <w:r>
              <w:t>Date: September 08, 2026</w:t>
            </w:r>
          </w:p>
        </w:tc>
        <w:tc>
          <w:tcPr>
            <w:tcW w:type="dxa" w:w="4680"/>
          </w:tcPr>
          <w:p>
            <w:r>
              <w:t>Date: September 08, 2026</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Project: Custom Test Report Project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TRACEGATE SECURITY ASSESSMENT  |  STRICTLY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