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00"/>
      </w:pPr>
    </w:p>
    <w:p>
      <w:pPr>
        <w:spacing w:after="160"/>
      </w:pPr>
      <w:r>
        <w:rPr>
          <w:rFonts w:ascii="Calibri" w:hAnsi="Calibri"/>
          <w:b/>
          <w:color w:val="1E3A8A"/>
          <w:sz w:val="22"/>
        </w:rPr>
        <w:t>TRACEGATE SECURITY ASSESSMENT</w:t>
      </w:r>
    </w:p>
    <w:p>
      <w:pPr>
        <w:spacing w:after="160"/>
      </w:pPr>
      <w:r>
        <w:rPr>
          <w:rFonts w:ascii="Calibri" w:hAnsi="Calibri"/>
          <w:b/>
          <w:color w:val="0F172A"/>
          <w:sz w:val="44"/>
        </w:rPr>
        <w:t>CYBERSECURITY ASSESSMENT &amp; PENETRATION TESTING REPORT</w:t>
      </w:r>
    </w:p>
    <w:p>
      <w:pPr>
        <w:spacing w:after="1200"/>
      </w:pPr>
      <w:r>
        <w:rPr>
          <w:rFonts w:ascii="Calibri" w:hAnsi="Calibri"/>
          <w:color w:val="64748B"/>
          <w:sz w:val="28"/>
        </w:rPr>
        <w:t>Target: VAPT Report Test Project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Project Name: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VAPT Report Test Project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Target URL / Host: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https://audit-target.tracegate.local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Environment: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Staging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Methodology: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OWASP Web Security Testing Guide (WSTG v4.2) &amp; PTES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Assessment Date: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September 08, 2026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Document Version: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v1.0</w:t>
            </w:r>
          </w:p>
        </w:tc>
      </w:tr>
      <w:tr>
        <w:tc>
          <w:tcPr>
            <w:tcW w:type="dxa" w:w="3168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Lead Security Assessor:</w:t>
            </w:r>
          </w:p>
        </w:tc>
        <w:tc>
          <w:tcPr>
            <w:tcW w:type="dxa" w:w="6192"/>
            <w:tcMar>
              <w:top w:w="60" w:type="dxa"/>
              <w:bottom w:w="60" w:type="dxa"/>
              <w:left w:w="60" w:type="dxa"/>
              <w:right w:w="60" w:type="dxa"/>
            </w:tcMar>
          </w:tcPr>
          <w:p>
            <w:r>
              <w:rPr>
                <w:rFonts w:ascii="Calibri" w:hAnsi="Calibri"/>
                <w:sz w:val="20"/>
              </w:rPr>
              <w:t>Lead Assessor Alice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Document Control &amp; Version History</w:t>
      </w:r>
    </w:p>
    <w:p>
      <w:pPr>
        <w:spacing w:after="160"/>
      </w:pPr>
      <w:r>
        <w:t>This document is an authorized, confidential deliverable. Any modifications to this report must be registered in the version control history below.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Date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331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9"/>
              </w:rPr>
              <w:t>Change Summary</w:t>
            </w:r>
          </w:p>
        </w:tc>
      </w:tr>
      <w:tr>
        <w:tc>
          <w:tcPr>
            <w:tcW w:type="dxa" w:w="14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sz w:val="18"/>
              </w:rPr>
              <w:t>v1.0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2026-09-08</w:t>
            </w:r>
          </w:p>
        </w:tc>
        <w:tc>
          <w:tcPr>
            <w:tcW w:type="dxa" w:w="259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Lead Assessor Alice</w:t>
            </w:r>
          </w:p>
        </w:tc>
        <w:tc>
          <w:tcPr>
            <w:tcW w:type="dxa" w:w="331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sz w:val="18"/>
              </w:rPr>
              <w:t>Compiled assessment report with 2 verified findings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Table of Contents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1. Executive Summary &amp; Risk Rating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2. Findings Severity Matrix &amp; SLAs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2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3. Assessment Scope &amp; Target Architecture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3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4. Testing Methodology &amp; Security Standards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4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5. Security Test Coverage &amp; Statistics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5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6. Summary of Confirmed Vulnerabilities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6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7. Detailed Technical Findings &amp; Proof of Concept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7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8. Prioritized Remediation Action Plan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8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9. Retest &amp; Validation Lifecycle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9</w:t>
            </w:r>
          </w:p>
        </w:tc>
      </w:tr>
      <w:tr>
        <w:tc>
          <w:tcPr>
            <w:tcW w:type="dxa" w:w="7632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r>
              <w:rPr>
                <w:rFonts w:ascii="Calibri" w:hAnsi="Calibri"/>
                <w:b/>
                <w:color w:val="1E3A8A"/>
                <w:sz w:val="20"/>
              </w:rPr>
              <w:t>10. Conclusion, Sign-Off &amp; Appendices</w:t>
            </w:r>
          </w:p>
        </w:tc>
        <w:tc>
          <w:tcPr>
            <w:tcW w:type="dxa" w:w="1728"/>
            <w:tcMar>
              <w:top w:w="50" w:type="dxa"/>
              <w:bottom w:w="50" w:type="dxa"/>
              <w:left w:w="40" w:type="dxa"/>
              <w:right w:w="40" w:type="dxa"/>
            </w:tcMar>
          </w:tcPr>
          <w:p>
            <w:pPr>
              <w:jc w:val="right"/>
            </w:pPr>
            <w:r>
              <w:rPr>
                <w:rFonts w:ascii="Calibri" w:hAnsi="Calibri"/>
                <w:color w:val="64748B"/>
                <w:sz w:val="19"/>
              </w:rPr>
              <w:t>Section 10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1. Executive Summary</w:t>
      </w:r>
    </w:p>
    <w:p>
      <w:pPr>
        <w:spacing w:after="160"/>
      </w:pPr>
      <w:r>
        <w:t>Tracegate performed an authorized security assessment against 'VAPT Report Test Project' located at https://audit-target.tracegate.local. The primary objective was to identify security vulnerabilities, validate access boundaries, evaluate input handling safeguards, and provide actionable technical guidance to harden the system against potential compromise.</w:t>
      </w:r>
    </w:p>
    <w:p>
      <w:pPr>
        <w:spacing w:before="120" w:after="120"/>
      </w:pPr>
      <w:r>
        <w:rPr>
          <w:b/>
          <w:color w:val="0F172A"/>
          <w:sz w:val="22"/>
        </w:rPr>
        <w:t xml:space="preserve">Tracegate Assessment Risk Rating: </w:t>
      </w:r>
      <w:r>
        <w:rPr>
          <w:b/>
          <w:color w:val="B91C1C"/>
          <w:sz w:val="22"/>
        </w:rPr>
        <w:t>CRITICAL RISK</w:t>
      </w:r>
    </w:p>
    <w:p>
      <w:pPr>
        <w:spacing w:after="200"/>
      </w:pPr>
      <w:r>
        <w:t>The target architecture possesses vulnerabilities with severe exploitability or full impact over sensitive assets, user accounts, or underlying systems. Urgent remediation is mandatory.</w:t>
      </w:r>
    </w:p>
    <w:p>
      <w:pPr>
        <w:spacing w:after="240"/>
      </w:pPr>
      <w:r>
        <w:t>• Total Confirmed Findings in Report: 2</w:t>
        <w:br/>
      </w:r>
      <w:r>
        <w:t>• Critical Severity: 1</w:t>
        <w:br/>
      </w:r>
      <w:r>
        <w:t>• High Severity: 1</w:t>
        <w:br/>
      </w:r>
      <w:r>
        <w:t>• Medium Severity: 0</w:t>
        <w:br/>
      </w:r>
      <w:r>
        <w:t>• Low Severity: 0</w:t>
        <w:br/>
      </w:r>
      <w:r>
        <w:t>• Informational: 0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2. Findings Severity Matrix</w:t>
      </w:r>
    </w:p>
    <w:p>
      <w:pPr>
        <w:spacing w:after="160"/>
      </w:pPr>
      <w:r>
        <w:t>The following matrix summarizes confirmed findings across severity tiers, calculated percentages relative to total identified findings, and recommended service level targets.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 Level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Findings</w:t>
            </w:r>
          </w:p>
        </w:tc>
        <w:tc>
          <w:tcPr>
            <w:tcW w:type="dxa" w:w="158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216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Priority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SLA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50.0%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Immediate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1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50.0%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Urgent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45309"/>
                <w:sz w:val="17"/>
              </w:rPr>
              <w:t>MEDIUM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Planned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30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047857"/>
                <w:sz w:val="17"/>
              </w:rPr>
              <w:t>LOW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Advisory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90 Days</w:t>
            </w:r>
          </w:p>
        </w:tc>
      </w:tr>
      <w:tr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0284C7"/>
                <w:sz w:val="17"/>
              </w:rPr>
              <w:t>INFORMATIONAL</w:t>
            </w:r>
          </w:p>
        </w:tc>
        <w:tc>
          <w:tcPr>
            <w:tcW w:type="dxa" w:w="144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</w:t>
            </w:r>
          </w:p>
        </w:tc>
        <w:tc>
          <w:tcPr>
            <w:tcW w:type="dxa" w:w="1584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0.0%</w:t>
            </w:r>
          </w:p>
        </w:tc>
        <w:tc>
          <w:tcPr>
            <w:tcW w:type="dxa" w:w="2160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Best Practice</w:t>
            </w:r>
          </w:p>
        </w:tc>
        <w:tc>
          <w:tcPr>
            <w:tcW w:type="dxa" w:w="2016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Discretionary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3. Assessment Scope &amp; Target Architecture</w:t>
      </w:r>
    </w:p>
    <w:p>
      <w:pPr>
        <w:spacing w:after="200"/>
      </w:pPr>
      <w:r>
        <w:t>• Target Application Name: VAPT Report Test Project</w:t>
        <w:br/>
        <w:t>• Target URL / Host: https://audit-target.tracegate.local</w:t>
        <w:br/>
        <w:t>• Target Environment: Staging</w:t>
        <w:br/>
        <w:t>• Scope Summary: Project for automated verification of reporting &amp; import.</w:t>
        <w:br/>
        <w:t>• Scope Boundaries &amp; Notes: Authorized testing procedures within designated endpoints.</w:t>
        <w:br/>
        <w:t>• In-Scope Components: Web Application UI, REST API endpoints, user authentication flows, session handling.</w:t>
        <w:br/>
        <w:t>• Out-of-Scope Components: Third-party payment gateways, external cloud infrastructure, Denial of Service (DoS/DDoS) attacks.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4. Testing Methodology &amp; Standards</w:t>
      </w:r>
    </w:p>
    <w:p>
      <w:pPr>
        <w:spacing w:after="200"/>
      </w:pPr>
      <w:r>
        <w:t>Testing activities were conducted in alignment with OWASP Web Security Testing Guide (WSTG v4.2) &amp; PTES. The assessment executed an eight-stage security testing lifecycle:</w:t>
        <w:br/>
        <w:t>1. Reconnaissance &amp; Surface Inspection: Asset enumeration and input identification.</w:t>
        <w:br/>
        <w:t>2. Functional Analysis &amp; Visual Classification: Analysis of workflows and UI controls.</w:t>
        <w:br/>
        <w:t>3. Security Test Selection: Prioritized selection of threat-relevant testing procedures.</w:t>
        <w:br/>
        <w:t>4. Manual Verification: Hands-on probing of boundaries, session tokens, and business logic.</w:t>
        <w:br/>
        <w:t>5. Proof-of-Concept Validation: Controlled exploitation to confirm business and technical impact.</w:t>
        <w:br/>
        <w:t>6. Finding Documentation: Precise recording of steps, payloads, and evidence.</w:t>
        <w:br/>
        <w:t>7. Remediation Guidance: Concrete code and architecture remediation recommendations.</w:t>
        <w:br/>
        <w:t>8. Retesting &amp; Verification: Validation of deployed security fixes to prevent regressions.</w:t>
        <w:br/>
        <w:br/>
        <w:t>Note: Referencing security standards indicates methodological alignment and does not constitute third-party certification.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5. Security Test Coverage &amp; Statistics</w:t>
      </w:r>
    </w:p>
    <w:p>
      <w:pPr>
        <w:spacing w:after="160"/>
      </w:pPr>
      <w:r>
        <w:t>• Total Planned Security Controls: 0</w:t>
        <w:br/>
        <w:t>• Controls Fully Evaluated: 0</w:t>
        <w:br/>
        <w:t>• Controls Not Tested: 0</w:t>
        <w:br/>
        <w:t>• Confirmed Vulnerabilities Identified: 0</w:t>
        <w:br/>
        <w:t>• Verified Clean Controls (Pass): 0</w:t>
        <w:br/>
        <w:t>• Security Test Coverage: 0.0%</w:t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6. Summary of Confirmed Vulnerabilities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Severity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CWE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SQL Injection in Authentication Header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CWE-89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45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Broken Object Level Authorization on Order Invoices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CWE-639</w:t>
            </w:r>
          </w:p>
        </w:tc>
        <w:tc>
          <w:tcPr>
            <w:tcW w:type="dxa" w:w="115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Open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7. Detailed Technical Findings &amp; Proof of Concept</w:t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VULN-001: SQL Injection in Authentication Header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8"/>
              </w:rPr>
              <w:t>CRITICAL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CWE-89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9.8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Tracegate Checklist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SQL error reflected when quote supplied.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An unauthorized attacker can read sensitive records from the database, bypass authentication, extract user credentials or customer data, and potentially execute administrative database operations.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1. Inject quote into token header.</w:t>
        <w:br/>
        <w:t>2. Observe SQL syntax error.</w:t>
        <w:br/>
        <w:t>3. Execute UNION SELECT query.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' UNION SELECT username, password_hash FROM auth_users--</w:t>
            </w:r>
          </w:p>
        </w:tc>
      </w:tr>
    </w:tbl>
    <w:p>
      <w:pPr>
        <w:spacing w:before="80" w:after="40"/>
      </w:pPr>
      <w:r>
        <w:rPr>
          <w:b/>
          <w:color w:val="1E3A8A"/>
          <w:sz w:val="20"/>
        </w:rPr>
        <w:t>E. Attached Proof-of-Concept Evidence</w:t>
      </w:r>
    </w:p>
    <w:p>
      <w:pPr>
        <w:spacing w:before="80"/>
        <w:jc w:val="center"/>
      </w:pPr>
      <w:r>
        <w:drawing>
          <wp:inline xmlns:a="http://schemas.openxmlformats.org/drawingml/2006/main" xmlns:pic="http://schemas.openxmlformats.org/drawingml/2006/picture">
            <wp:extent cx="5029200" cy="502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029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i/>
          <w:color w:val="64748B"/>
          <w:sz w:val="17"/>
        </w:rPr>
        <w:t>Figure 1: Evidence for VULN-001 (evidence_screenshot.png)</w:t>
      </w:r>
    </w:p>
    <w:p>
      <w:pPr>
        <w:spacing w:before="80" w:after="40"/>
      </w:pPr>
      <w:r>
        <w:rPr>
          <w:rFonts w:ascii="Calibri" w:hAnsi="Calibri"/>
          <w:b/>
          <w:sz w:val="17"/>
        </w:rPr>
        <w:t>Evidence Snippet: request_payload.json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20" w:type="dxa"/>
              <w:bottom w:w="12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6"/>
              </w:rPr>
              <w:t>{</w:t>
              <w:br/>
              <w:t xml:space="preserve">  "action": "dump_users",</w:t>
              <w:br/>
              <w:t xml:space="preserve">  "admin": true</w:t>
              <w:br/>
              <w:t>}</w:t>
            </w:r>
          </w:p>
        </w:tc>
      </w:tr>
    </w:tbl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Utilize parameterized prepared statements without string concatenation.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Enforce least-privilege database user account permissions (web application account should not possess DROP, ALTER, or superuser permissions). Deploy Web Application Firewall (WAF) inspection rules.</w:t>
      </w:r>
    </w:p>
    <w:p>
      <w:pPr>
        <w:spacing w:before="80" w:after="40"/>
      </w:pPr>
      <w:r>
        <w:rPr>
          <w:b/>
          <w:color w:val="1E3A8A"/>
          <w:sz w:val="20"/>
        </w:rPr>
        <w:t>H. Remediation Lifecycle &amp; Retest Tracking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pPr>
        <w:pStyle w:val="Heading2"/>
        <w:keepNext/>
        <w:spacing w:before="280" w:after="120"/>
      </w:pPr>
      <w:r>
        <w:rPr>
          <w:rFonts w:ascii="Calibri" w:hAnsi="Calibri"/>
          <w:b/>
          <w:color w:val="1E3A8A"/>
          <w:sz w:val="25"/>
        </w:rPr>
        <w:t>VULN-002: Broken Object Level Authorization on Order Invoices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Severity</w:t>
            </w:r>
          </w:p>
        </w:tc>
        <w:tc>
          <w:tcPr>
            <w:tcW w:type="dxa" w:w="1728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CWE</w:t>
            </w:r>
          </w:p>
        </w:tc>
        <w:tc>
          <w:tcPr>
            <w:tcW w:type="dxa" w:w="1584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CVSS v3.1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Remediation Status</w:t>
            </w:r>
          </w:p>
        </w:tc>
        <w:tc>
          <w:tcPr>
            <w:tcW w:type="dxa" w:w="2160"/>
            <w:shd w:fill="F1F5F9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1E3A8A"/>
                <w:sz w:val="17"/>
              </w:rPr>
              <w:t>Source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C2410C"/>
                <w:sz w:val="18"/>
              </w:rPr>
              <w:t>HIGH</w:t>
            </w:r>
          </w:p>
        </w:tc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CWE-639</w:t>
            </w:r>
          </w:p>
        </w:tc>
        <w:tc>
          <w:tcPr>
            <w:tcW w:type="dxa" w:w="158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8.2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NOT_STARTED</w:t>
            </w:r>
          </w:p>
        </w:tc>
        <w:tc>
          <w:tcPr>
            <w:tcW w:type="dxa" w:w="216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8"/>
              </w:rPr>
              <w:t>Imported Report</w:t>
            </w:r>
          </w:p>
        </w:tc>
      </w:tr>
    </w:tbl>
    <w:p>
      <w:pPr>
        <w:spacing w:before="160" w:after="40"/>
      </w:pPr>
      <w:r>
        <w:rPr>
          <w:b/>
          <w:color w:val="1E3A8A"/>
          <w:sz w:val="20"/>
        </w:rPr>
        <w:t>A. Vulnerability Description &amp; Technical Observation</w:t>
      </w:r>
    </w:p>
    <w:p>
      <w:pPr>
        <w:spacing w:after="120"/>
      </w:pPr>
      <w:r>
        <w:t>Users can view arbitrary customer invoice PDFs by altering the sequential invoice_id URL parameter without permission checks.</w:t>
      </w:r>
    </w:p>
    <w:p>
      <w:pPr>
        <w:spacing w:before="80" w:after="40"/>
      </w:pPr>
      <w:r>
        <w:rPr>
          <w:b/>
          <w:color w:val="1E3A8A"/>
          <w:sz w:val="20"/>
        </w:rPr>
        <w:t>B. Business &amp; Technical Impact</w:t>
      </w:r>
    </w:p>
    <w:p>
      <w:pPr>
        <w:spacing w:after="120"/>
      </w:pPr>
      <w:r>
        <w:t>Confidential customer PII and purchase history leak.</w:t>
      </w:r>
    </w:p>
    <w:p>
      <w:pPr>
        <w:spacing w:before="80" w:after="40"/>
      </w:pPr>
      <w:r>
        <w:rPr>
          <w:b/>
          <w:color w:val="1E3A8A"/>
          <w:sz w:val="20"/>
        </w:rPr>
        <w:t>C. Step-by-Step Reproduction Procedure</w:t>
      </w:r>
    </w:p>
    <w:p>
      <w:pPr>
        <w:spacing w:after="120"/>
      </w:pPr>
      <w:r>
        <w:t>1. Log in as user A with invoice 1001.</w:t>
        <w:br/>
        <w:t>2. Request GET /api/orders/invoice/1002.</w:t>
        <w:br/>
        <w:t>3. Successfully download user B's invoice.</w:t>
      </w:r>
    </w:p>
    <w:p>
      <w:pPr>
        <w:spacing w:before="80" w:after="40"/>
      </w:pPr>
      <w:r>
        <w:rPr>
          <w:b/>
          <w:color w:val="1E3A8A"/>
          <w:sz w:val="20"/>
        </w:rPr>
        <w:t>D. Proof of Concept (PoC) Request / Payload Snippet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before="0" w:after="0"/>
            </w:pPr>
            <w:r>
              <w:rPr>
                <w:rFonts w:ascii="Consolas" w:hAnsi="Consolas"/>
                <w:color w:val="1E293B"/>
                <w:sz w:val="17"/>
              </w:rPr>
              <w:t>GET /api/orders/invoice/1002 HTTP/1.1</w:t>
              <w:br/>
              <w:t>Authorization: Bearer &lt;userA_token&gt;</w:t>
            </w:r>
          </w:p>
        </w:tc>
      </w:tr>
    </w:tbl>
    <w:p>
      <w:pPr>
        <w:spacing w:before="120" w:after="40"/>
      </w:pPr>
      <w:r>
        <w:rPr>
          <w:b/>
          <w:color w:val="047857"/>
          <w:sz w:val="20"/>
        </w:rPr>
        <w:t>F. Recommended Technical Remediation</w:t>
      </w:r>
    </w:p>
    <w:p>
      <w:pPr>
        <w:spacing w:after="120"/>
      </w:pPr>
      <w:r>
        <w:t>Implement authoritative tenancy validation and verify request ownership against the session identity.</w:t>
      </w:r>
    </w:p>
    <w:p>
      <w:pPr>
        <w:spacing w:before="80" w:after="40"/>
      </w:pPr>
      <w:r>
        <w:rPr>
          <w:b/>
          <w:color w:val="1E3A8A"/>
          <w:sz w:val="20"/>
        </w:rPr>
        <w:t>G. Defense-in-Depth Architectural Mitigation</w:t>
      </w:r>
    </w:p>
    <w:p>
      <w:pPr>
        <w:spacing w:after="160"/>
      </w:pPr>
      <w:r>
        <w:t>Apply defense-in-depth architectural controls and continuous security regression monitoring.</w:t>
      </w:r>
    </w:p>
    <w:p>
      <w:pPr>
        <w:spacing w:before="80" w:after="40"/>
      </w:pPr>
      <w:r>
        <w:rPr>
          <w:b/>
          <w:color w:val="1E3A8A"/>
          <w:sz w:val="20"/>
        </w:rPr>
        <w:t>H. Remediation Lifecycle &amp; Retest Tracking</w:t>
      </w:r>
    </w:p>
    <w:p>
      <w:pPr>
        <w:spacing w:after="280"/>
      </w:pPr>
      <w:r>
        <w:t>• Remediation Status: NOT_STARTED</w:t>
        <w:br/>
      </w:r>
      <w:r>
        <w:t>• Retest Status: PENDING</w:t>
        <w:br/>
      </w:r>
    </w:p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8. Prioritized Remediation Action Plan</w:t>
      </w:r>
    </w:p>
    <w:p>
      <w:pPr>
        <w:spacing w:after="160"/>
      </w:pPr>
      <w:r>
        <w:t>Engineering and DevOps teams should remediate confirmed vulnerabilities according to the risk-prioritized schedule below. Critical and High severity findings must be scheduled for immediate resolution.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Priority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Recommended Action</w:t>
            </w:r>
          </w:p>
        </w:tc>
        <w:tc>
          <w:tcPr>
            <w:tcW w:type="dxa" w:w="1440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129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Target SLA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B91C1C"/>
                <w:sz w:val="17"/>
              </w:rPr>
              <w:t>CRITICAL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Utilize parameterized prepared statements without string concatenation.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24-48 Hours</w:t>
            </w:r>
          </w:p>
        </w:tc>
      </w:tr>
      <w:tr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C2410C"/>
                <w:sz w:val="17"/>
              </w:rPr>
              <w:t>HIGH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Implement authoritative tenancy validation and verify request ownership against the session identity.</w:t>
            </w:r>
          </w:p>
        </w:tc>
        <w:tc>
          <w:tcPr>
            <w:tcW w:type="dxa" w:w="1440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129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7 Days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9. Retest &amp; Validation Lifecycle</w:t>
      </w:r>
    </w:p>
    <w:p>
      <w:pPr>
        <w:spacing w:after="160"/>
      </w:pPr>
      <w:r>
        <w:t>Remediation validation is an essential phase of any security assessment. The following table records the verification state for all identified findings.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Finding ID</w:t>
            </w:r>
          </w:p>
        </w:tc>
        <w:tc>
          <w:tcPr>
            <w:tcW w:type="dxa" w:w="3744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Vulnerability Title</w:t>
            </w:r>
          </w:p>
        </w:tc>
        <w:tc>
          <w:tcPr>
            <w:tcW w:type="dxa" w:w="1872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Remediation Status</w:t>
            </w:r>
          </w:p>
        </w:tc>
        <w:tc>
          <w:tcPr>
            <w:tcW w:type="dxa" w:w="2016"/>
            <w:shd w:fill="1E3A8A"/>
            <w:tcMar>
              <w:top w:w="100" w:type="dxa"/>
              <w:bottom w:w="100" w:type="dxa"/>
              <w:left w:w="100" w:type="dxa"/>
              <w:right w:w="100" w:type="dxa"/>
            </w:tcMar>
          </w:tcPr>
          <w:p>
            <w:r>
              <w:rPr>
                <w:rFonts w:ascii="Calibri" w:hAnsi="Calibri"/>
                <w:b/>
                <w:color w:val="FFFFFF"/>
                <w:sz w:val="18"/>
              </w:rPr>
              <w:t>Retest Verification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sz w:val="17"/>
              </w:rPr>
              <w:t>VULN-001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SQL Injection in Authentication Header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  <w:tr>
        <w:tc>
          <w:tcPr>
            <w:tcW w:type="dxa" w:w="1728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sz w:val="17"/>
              </w:rPr>
              <w:t>VULN-002</w:t>
            </w:r>
          </w:p>
        </w:tc>
        <w:tc>
          <w:tcPr>
            <w:tcW w:type="dxa" w:w="3744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Broken Object Level Authorization on Order Invoices</w:t>
            </w:r>
          </w:p>
        </w:tc>
        <w:tc>
          <w:tcPr>
            <w:tcW w:type="dxa" w:w="1872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sz w:val="17"/>
              </w:rPr>
              <w:t>NOT_STARTED</w:t>
            </w:r>
          </w:p>
        </w:tc>
        <w:tc>
          <w:tcPr>
            <w:tcW w:type="dxa" w:w="2016"/>
            <w:tcMar>
              <w:top w:w="60" w:type="dxa"/>
              <w:bottom w:w="60" w:type="dxa"/>
              <w:left w:w="80" w:type="dxa"/>
              <w:right w:w="80" w:type="dxa"/>
            </w:tcMar>
            <w:shd w:fill="F1F5F9"/>
          </w:tcPr>
          <w:p>
            <w:r>
              <w:rPr>
                <w:rFonts w:ascii="Calibri" w:hAnsi="Calibri"/>
                <w:b/>
                <w:color w:val="64748B"/>
                <w:sz w:val="17"/>
              </w:rPr>
              <w:t>PENDING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10. Assessment Conclusion &amp; Formal Sign-Off</w:t>
      </w:r>
    </w:p>
    <w:p>
      <w:pPr>
        <w:spacing w:after="400"/>
      </w:pPr>
      <w:r>
        <w:t>The cybersecurity assessment against 'VAPT Report Test Project' identified 2 confirmed findings within the tested scope (1 Critical, 1 High, 0 Medium, 0 Low, 0 Informational). Remediation must be executed according to the recommended priority targets, followed by a retest verification cycle to guarantee that vulnerability vectors have been eliminated.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08"/>
          </w:tcPr>
          <w:p>
            <w:r>
              <w:rPr>
                <w:b/>
              </w:rPr>
              <w:t>Prepared by:</w:t>
            </w:r>
          </w:p>
        </w:tc>
        <w:tc>
          <w:tcPr>
            <w:tcW w:type="dxa" w:w="4752"/>
          </w:tcPr>
          <w:p>
            <w:r>
              <w:rPr>
                <w:b/>
              </w:rPr>
              <w:t>Verified &amp; Reviewed by:</w:t>
            </w:r>
          </w:p>
        </w:tc>
      </w:tr>
      <w:tr>
        <w:tc>
          <w:tcPr>
            <w:tcW w:type="dxa" w:w="4680"/>
          </w:tcPr>
          <w:p>
            <w:r>
              <w:br/>
              <w:t>___________________________________</w:t>
              <w:br/>
              <w:t>Lead Assessor Alice</w:t>
              <w:br/>
              <w:t>Security Assessor, Tracegate VAPT</w:t>
            </w:r>
          </w:p>
        </w:tc>
        <w:tc>
          <w:tcPr>
            <w:tcW w:type="dxa" w:w="4680"/>
          </w:tcPr>
          <w:p>
            <w:r>
              <w:br/>
              <w:t>___________________________________</w:t>
              <w:br/>
              <w:t>Lead Security Reviewer</w:t>
              <w:br/>
              <w:t>Senior Penetration Testing Lead</w:t>
            </w:r>
          </w:p>
        </w:tc>
      </w:tr>
      <w:tr>
        <w:tc>
          <w:tcPr>
            <w:tcW w:type="dxa" w:w="4680"/>
          </w:tcPr>
          <w:p>
            <w:r>
              <w:t>Date: September 08, 2026</w:t>
            </w:r>
          </w:p>
        </w:tc>
        <w:tc>
          <w:tcPr>
            <w:tcW w:type="dxa" w:w="4680"/>
          </w:tcPr>
          <w:p>
            <w:r>
              <w:t>Date: September 08, 2026</w:t>
            </w:r>
          </w:p>
        </w:tc>
      </w:tr>
    </w:tbl>
    <w:p>
      <w:r>
        <w:br w:type="page"/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A: CWE Classification Index</w:t>
      </w:r>
    </w:p>
    <w:p>
      <w:r>
        <w:t>• CWE-89: Improper Neutralization of Special Elements used in an SQL Command ('SQL Injection')</w:t>
        <w:br/>
        <w:t>• CWE-79: Improper Neutralization of Input During Web Page Generation ('Cross-site Scripting')</w:t>
        <w:br/>
        <w:t>• CWE-639: Authorization Bypass Through User-Controlled Key ('Insecure Direct Object References')</w:t>
        <w:br/>
        <w:t>• CWE-287: Improper Authentication</w:t>
        <w:br/>
        <w:t>• CWE-352: Cross-Site Request Forgery (CSRF)</w:t>
        <w:br/>
        <w:t>• CWE-434: Unrestricted Upload of File with Dangerous Type</w:t>
        <w:br/>
        <w:t>• CWE-200: Exposure of Sensitive Information to an Unauthorized Actor</w:t>
        <w:br/>
        <w:t>• CWE-693: Protection Mechanism Failure</w:t>
      </w:r>
    </w:p>
    <w:p>
      <w:pPr>
        <w:pStyle w:val="Heading1"/>
        <w:keepNext/>
        <w:spacing w:before="280" w:after="120"/>
      </w:pPr>
      <w:r>
        <w:rPr>
          <w:rFonts w:ascii="Calibri" w:hAnsi="Calibri"/>
          <w:b/>
          <w:color w:val="1E3A8A"/>
          <w:sz w:val="30"/>
        </w:rPr>
        <w:t>Appendix B: Report Traceability &amp; Audit Metadata</w:t>
      </w:r>
    </w:p>
    <w:p>
      <w:r>
        <w:t>• Project ID: proj-1788859991810</w:t>
        <w:br/>
        <w:t>• Report Document Version: v1.0</w:t>
        <w:br/>
        <w:t>• Selected Finding IDs: find-1788859991843, cand-ee85edb3</w:t>
        <w:br/>
        <w:t>• Assessment Methodology: OWASP Web Security Testing Guide (WSTG v4.2) &amp; PTES</w:t>
        <w:br/>
        <w:t>• Generation Timestamp: 2026-09-08T15:03:11.937804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Calibri" w:hAnsi="Calibri"/>
        <w:color w:val="64748B"/>
        <w:sz w:val="17"/>
      </w:rPr>
      <w:t>Project: VAPT Report Test Project (v1.0)  |  Classification: CONFIDENTIAL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64748B"/>
        <w:sz w:val="17"/>
      </w:rPr>
      <w:t>TRACEGATE SECURITY ASSESSMENT  |  STRICTLY CONFIDENTIAL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