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</w:p>
    <w:p>
      <w:pPr>
        <w:spacing w:after="160"/>
      </w:pPr>
      <w:r>
        <w:rPr>
          <w:rFonts w:ascii="Calibri" w:hAnsi="Calibri"/>
          <w:b/>
          <w:color w:val="1E3A8A"/>
          <w:sz w:val="22"/>
        </w:rPr>
        <w:t>TRACEGATE SECURITY ASSESSMENT</w:t>
      </w:r>
    </w:p>
    <w:p>
      <w:pPr>
        <w:spacing w:after="160"/>
      </w:pPr>
      <w:r>
        <w:rPr>
          <w:rFonts w:ascii="Calibri" w:hAnsi="Calibri"/>
          <w:b/>
          <w:color w:val="0F172A"/>
          <w:sz w:val="44"/>
        </w:rPr>
        <w:t>CYBERSECURITY ASSESSMENT &amp; PENETRATION TESTING REPORT</w:t>
      </w:r>
    </w:p>
    <w:p>
      <w:pPr>
        <w:spacing w:after="1200"/>
      </w:pPr>
      <w:r>
        <w:rPr>
          <w:rFonts w:ascii="Calibri" w:hAnsi="Calibri"/>
          <w:color w:val="64748B"/>
          <w:sz w:val="28"/>
        </w:rPr>
        <w:t>Target: DOCX-AutoFix-Proj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Project Name: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DOCX-AutoFix-Proj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Target URL / Host: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https://docx-af.test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Environment: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Web Application (Staging)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Methodology: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OWASP Web Security Testing Guide (WSTG v4.2) &amp; PTES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Date: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September 09, 2026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Document Version: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v1.0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Lead Security Assessor: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Security Learner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Document Control &amp; Version History</w:t>
      </w:r>
    </w:p>
    <w:p>
      <w:pPr>
        <w:spacing w:after="160"/>
      </w:pPr>
      <w:r>
        <w:t>This document is an authorized, confidential deliverable. Any modifications to this report must be registered in the version control history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Change Summary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v1.0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2026-09-09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Security Learner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Compiled assessment report with 1 verified findings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1. Executive Summary &amp; Risk Rating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2. Findings Severity Matrix &amp; SLAs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2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3. Assessment Scope &amp; Target Architecture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3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4. Testing Methodology &amp; Security Standards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4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5. Security Test Coverage &amp; Statistics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5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6. Summary of Confirmed Vulnerabilities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6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7. Detailed Technical Findings &amp; Proof of Concept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7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8. Prioritized Remediation Action Plan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8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9. Retest &amp; Validation Lifecycle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9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10. Conclusion, Sign-Off &amp; Appendices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10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1. Executive Summary</w:t>
      </w:r>
    </w:p>
    <w:p>
      <w:pPr>
        <w:spacing w:after="160"/>
      </w:pPr>
      <w:r>
        <w:t>Tracegate performed an authorized security assessment against 'DOCX-AutoFix-Proj' located at https://docx-af.test. The primary objective was to identify security vulnerabilities, validate access boundaries, evaluate input handling safeguards, and provide actionable technical guidance to harden the system against potential compromise.</w:t>
      </w:r>
    </w:p>
    <w:p>
      <w:pPr>
        <w:spacing w:before="120" w:after="120"/>
      </w:pPr>
      <w:r>
        <w:rPr>
          <w:b/>
          <w:color w:val="0F172A"/>
          <w:sz w:val="22"/>
        </w:rPr>
        <w:t xml:space="preserve">Tracegate Assessment Risk Rating: </w:t>
      </w:r>
      <w:r>
        <w:rPr>
          <w:b/>
          <w:color w:val="C2410C"/>
          <w:sz w:val="22"/>
        </w:rPr>
        <w:t>HIGH RISK</w:t>
      </w:r>
    </w:p>
    <w:p>
      <w:pPr>
        <w:spacing w:after="160"/>
      </w:pPr>
      <w:r>
        <w:t>The target environment contains high-impact flaws or multiple moderate weaknesses that could be chained to bypass security boundaries. Timely remediation should be prioritized.</w:t>
      </w:r>
    </w:p>
    <w:p>
      <w:pPr>
        <w:spacing w:after="80"/>
      </w:pPr>
      <w:r>
        <w:t>The assessment identified 1 confirmed security finding across evaluated scope.</w:t>
      </w:r>
    </w:p>
    <w:p>
      <w:pPr>
        <w:spacing w:after="240"/>
      </w:pPr>
      <w:r>
        <w:t>• Total Confirmed Findings in Report: 1</w:t>
        <w:br/>
      </w:r>
      <w:r>
        <w:t>• Critical Severity: 0</w:t>
        <w:br/>
      </w:r>
      <w:r>
        <w:t>• High Severity: 1</w:t>
        <w:br/>
      </w:r>
      <w:r>
        <w:t>• Medium Severity: 0</w:t>
        <w:br/>
      </w:r>
      <w:r>
        <w:t>• Low Severity: 0</w:t>
        <w:br/>
      </w:r>
      <w:r>
        <w:t>• Informational: 0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2. Findings Severity Matrix</w:t>
      </w:r>
    </w:p>
    <w:p>
      <w:pPr>
        <w:spacing w:after="160"/>
      </w:pPr>
      <w:r>
        <w:t>The following matrix summarizes confirmed findings across severity tiers, calculated percentages relative to total identified findings, and recommended service level targets.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 Level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SLA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Immediate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Urgent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100.0%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Planned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30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047857"/>
                <w:sz w:val="17"/>
              </w:rPr>
              <w:t>LOW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Advisory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90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INFORMATIONAL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Best Practice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Discretionary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3. Assessment Scope &amp; Target Architecture</w:t>
      </w:r>
    </w:p>
    <w:p>
      <w:pPr>
        <w:spacing w:after="200"/>
      </w:pPr>
      <w:r>
        <w:t>• Target Application Name: DOCX-AutoFix-Proj</w:t>
        <w:br/>
        <w:t>• Target URL / Host: https://docx-af.test</w:t>
        <w:br/>
        <w:t>• Target Environment: Web Application (Staging)</w:t>
        <w:br/>
        <w:t>• Scope Summary: Comprehensive web application assessment.</w:t>
        <w:br/>
        <w:t>• Scope Boundaries &amp; Notes: Authorized testing procedures within designated endpoints.</w:t>
        <w:br/>
        <w:t>• In-Scope Components: Web Application UI, REST API endpoints, user authentication flows, session handling.</w:t>
        <w:br/>
        <w:t>• Out-of-Scope Components: Third-party payment gateways, external cloud infrastructure, Denial of Service (DoS/DDoS) attacks.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4. Testing Methodology &amp; Standards</w:t>
      </w:r>
    </w:p>
    <w:p>
      <w:pPr>
        <w:spacing w:after="200"/>
      </w:pPr>
      <w:r>
        <w:t>Testing activities were conducted in alignment with OWASP Web Security Testing Guide (WSTG v4.2) &amp; PTES. The assessment executed an eight-stage security testing lifecycle:</w:t>
        <w:br/>
        <w:t>1. Reconnaissance &amp; Surface Inspection: Asset enumeration and input identification.</w:t>
        <w:br/>
        <w:t>2. Functional Analysis &amp; Visual Classification: Analysis of workflows and UI controls.</w:t>
        <w:br/>
        <w:t>3. Security Test Selection: Prioritized selection of threat-relevant testing procedures.</w:t>
        <w:br/>
        <w:t>4. Manual Verification: Hands-on probing of boundaries, session tokens, and business logic.</w:t>
        <w:br/>
        <w:t>5. Proof-of-Concept Validation: Controlled exploitation to confirm business and technical impact.</w:t>
        <w:br/>
        <w:t>6. Finding Documentation: Precise recording of steps, payloads, and evidence.</w:t>
        <w:br/>
        <w:t>7. Remediation Guidance: Concrete code and architecture remediation recommendations.</w:t>
        <w:br/>
        <w:t>8. Retesting &amp; Verification: Validation of deployed security fixes to prevent regressions.</w:t>
        <w:br/>
        <w:br/>
        <w:t>Note: Referencing security standards indicates methodological alignment and does not constitute third-party certification.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5. Security Test Coverage &amp; Statistics</w:t>
      </w:r>
    </w:p>
    <w:p>
      <w:pPr>
        <w:spacing w:after="160"/>
      </w:pPr>
      <w:r>
        <w:t>• Total Planned Security Controls: 0</w:t>
        <w:br/>
        <w:t>• Controls Fully Evaluated: 0</w:t>
        <w:br/>
        <w:t>• Controls Not Tested: 0</w:t>
        <w:br/>
        <w:t>• Confirmed Vulnerabilities Identified: 0</w:t>
        <w:br/>
        <w:t>• Verified Clean Controls (Pass): 0</w:t>
        <w:br/>
        <w:t>• Security Test Coverage: 0.0%</w:t>
        <w:br/>
        <w:t>Verified clean controls: 0</w:t>
        <w:br/>
        <w:t>Controls not tested: 0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6. Summary of Confirmed Vulnerabilities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4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15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Insecure Direct Object Reference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CWE-639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7. Detailed Technical Findings &amp; Proof of Concept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VULN-001: Insecure Direct Object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8"/>
              </w:rPr>
              <w:t>HIGH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CWE-639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8.5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Fix Applied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A. Executive Description</w:t>
      </w:r>
    </w:p>
    <w:p>
      <w:pPr>
        <w:spacing w:after="120"/>
      </w:pPr>
      <w:r>
        <w:t>The application references sensitive objects (user accounts, orders, records) directly by client-supplied identifiers without enforcing server-side authorization checks comparing user identity to resource ownership.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B. Technical Observation</w:t>
      </w:r>
    </w:p>
    <w:p>
      <w:pPr>
        <w:spacing w:after="120"/>
      </w:pPr>
      <w:r>
        <w:t>The application references sensitive objects (user accounts, orders, records) directly by client-supplied identifiers without enforcing server-side authorization checks comparing user identity to resource ownership.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C. Affected Asset &amp; Component</w:t>
      </w:r>
    </w:p>
    <w:p>
      <w:pPr>
        <w:spacing w:after="120"/>
      </w:pPr>
      <w:r>
        <w:t>• Target Endpoint / URL: /api</w:t>
        <w:br/>
      </w:r>
      <w:r>
        <w:t>• Affected Subsystem / Component: Web Application</w:t>
        <w:br/>
      </w:r>
      <w:r>
        <w:t>• Provenance / Source ID: VULN-001 (Tracegate Checklist)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D. Security Impact</w:t>
      </w:r>
    </w:p>
    <w:p>
      <w:pPr>
        <w:spacing w:after="120"/>
      </w:pPr>
      <w:r>
        <w:t>Authenticated users can view, modify, or delete sensitive records belonging to other users or organizations across the platform.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E. Business Impact</w:t>
      </w:r>
    </w:p>
    <w:p>
      <w:pPr>
        <w:spacing w:after="120"/>
      </w:pPr>
      <w:r>
        <w:t>Unremediated security vulnerabilities expose the business to regulatory non-compliance fines, unauthorized operations, customer data breach exposure, and reputational impairment.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F. Step-by-Step Reproduction Procedure</w:t>
      </w:r>
    </w:p>
    <w:p>
      <w:pPr>
        <w:spacing w:after="120"/>
      </w:pPr>
      <w:r>
        <w:t>1. Log in as test user A with ID 101.</w:t>
        <w:br/>
        <w:t>2. Observe API request targeting `/api/records/101`.</w:t>
        <w:br/>
        <w:t>3. Alter ID parameter to 102 (belonging to test user B) and replay request.</w:t>
        <w:br/>
        <w:t>4. Observe that the server returns user B's confidential record with HTTP 200 OK.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G.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GET /api/v1/records/102 HTTP/1.1</w:t>
              <w:br/>
              <w:t>Host: target.app</w:t>
              <w:br/>
              <w:t>Authorization: Bearer &lt;user_a_token&gt;</w:t>
              <w:br/>
              <w:br/>
              <w:t>--&gt; HTTP/1.1 200 OK</w:t>
              <w:br/>
              <w:t>{"record_id": 102, "owner": "user_b", "sensitive_data": "Confidential Info"}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I. Root Cause Analysis</w:t>
      </w:r>
    </w:p>
    <w:p>
      <w:pPr>
        <w:spacing w:after="120"/>
      </w:pPr>
      <w:r>
        <w:t>The underlying defect stems from missing server-side authorization boundaries and inadequate input parameter validation prior to execution.</w:t>
      </w:r>
    </w:p>
    <w:p>
      <w:pPr>
        <w:keepNext/>
        <w:spacing w:before="120" w:after="40"/>
      </w:pPr>
      <w:r>
        <w:rPr>
          <w:rFonts w:ascii="Calibri" w:hAnsi="Calibri"/>
          <w:b/>
          <w:color w:val="047857"/>
          <w:sz w:val="20"/>
        </w:rPr>
        <w:t>J. Recommended Technical Remediation</w:t>
      </w:r>
    </w:p>
    <w:p>
      <w:pPr>
        <w:spacing w:after="120"/>
      </w:pPr>
      <w:r>
        <w:t>Enforce server-side authorization checks on every object reference. Validate that the authenticated session identity possesses ownership or authorized access to the requested entity before returning data.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K. Defense-in-Depth Architectural Mitigation</w:t>
      </w:r>
    </w:p>
    <w:p>
      <w:pPr>
        <w:spacing w:after="120"/>
      </w:pPr>
      <w:r>
        <w:t>Use indirect reference maps or unguessable cryptographically secure UUIDv4 identifiers rather than sequential integer IDs; enforce centralized authorization middleware (ABAC/RBAC).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L. Detection &amp; Monitoring Guidance</w:t>
      </w:r>
    </w:p>
    <w:p>
      <w:pPr>
        <w:spacing w:after="120"/>
      </w:pPr>
      <w:r>
        <w:t>Configure application logging to capture anomalous parameter values and audit authorization rejections targeting VULN-001. Set SIEM threshold alerts for repeated access boundary violations.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M. Developer Validation Guidance</w:t>
      </w:r>
    </w:p>
    <w:p>
      <w:pPr>
        <w:spacing w:after="120"/>
      </w:pPr>
      <w:r>
        <w:t>Developers should execute automated unit and integration tests verifying that unauthorized attempts against /api consistently return HTTP 403 Forbidden or 400 Bad Request.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N. Remediation Status &amp; GitHub Audit</w:t>
      </w:r>
    </w:p>
    <w:p>
      <w:pPr>
        <w:spacing w:after="120"/>
      </w:pPr>
      <w:r>
        <w:t>• Remediation Status: Fix Applied</w:t>
        <w:br/>
      </w:r>
      <w:r>
        <w:t>• Dedicated Fix Branch: tracegate/fix/VULN-001</w:t>
        <w:br/>
      </w:r>
      <w:r>
        <w:t>• Remediation Commit SHA: a1b2c3d4e5</w:t>
        <w:br/>
      </w:r>
      <w:r>
        <w:t>• Pull Request: https://github.com/tracegate-lab/ecommerce-platform/pull/101</w:t>
        <w:br/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O. Retest &amp; Verification Lifecycle</w:t>
      </w:r>
    </w:p>
    <w:p>
      <w:pPr>
        <w:spacing w:after="280"/>
      </w:pPr>
      <w:r>
        <w:t>• Retest Verification Status: PENDING</w:t>
        <w:br/>
      </w:r>
      <w:r>
        <w:t>• Retest Verification Notes: Finding is pending re-assessment by testing engineers upon remediation deployment.</w:t>
        <w:br/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8. Prioritized Remediation Action Plan</w:t>
      </w:r>
    </w:p>
    <w:p>
      <w:pPr>
        <w:spacing w:after="160"/>
      </w:pPr>
      <w:r>
        <w:t>Engineering and DevOps teams should remediate confirmed vulnerabilities according to the risk-prioritized schedule below. Critical and High severity findings must be scheduled for immediate resolution.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Action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SLA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Enforce server-side authorization checks on every object reference. Validate that the authenticated session identity possesses ownership or authorized access...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Fix Applied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9. Retest &amp; Validation Lifecycle</w:t>
      </w:r>
    </w:p>
    <w:p>
      <w:pPr>
        <w:spacing w:after="160"/>
      </w:pPr>
      <w:r>
        <w:t>Remediation validation is an essential phase of any security assessment. The following table records the verification state for all identified findings.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Status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 Verification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Insecure Direct Object Reference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Fix Applied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10. Assessment Conclusion &amp; Formal Sign-Off</w:t>
      </w:r>
    </w:p>
    <w:p>
      <w:pPr>
        <w:spacing w:after="400"/>
      </w:pPr>
      <w:r>
        <w:t>The cybersecurity assessment against 'DOCX-AutoFix-Proj' identified 1 confirmed findings within the tested scope (0 Critical, 1 High, 0 Medium, 0 Low, 0 Informational). Remediation must be executed according to the recommended priority targets, followed by a retest verification cycle to guarantee that vulnerability vectors have been eliminated.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752"/>
          </w:tcPr>
          <w:p>
            <w:r>
              <w:rPr>
                <w:b/>
              </w:rPr>
              <w:t>Verified &amp; Reviewed by: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___________________________________</w:t>
              <w:br/>
              <w:t>Security Learner</w:t>
              <w:br/>
              <w:t>Security Assessor, Tracegate VAPT</w:t>
            </w:r>
          </w:p>
        </w:tc>
        <w:tc>
          <w:tcPr>
            <w:tcW w:type="dxa" w:w="4680"/>
          </w:tcPr>
          <w:p>
            <w:r>
              <w:br/>
              <w:t>___________________________________</w:t>
              <w:br/>
              <w:t>Lead Security Reviewer</w:t>
              <w:br/>
              <w:t>Senior Penetration Testing Lead</w:t>
            </w:r>
          </w:p>
        </w:tc>
      </w:tr>
      <w:tr>
        <w:tc>
          <w:tcPr>
            <w:tcW w:type="dxa" w:w="4680"/>
          </w:tcPr>
          <w:p>
            <w:r>
              <w:t>Date: September 09, 2026</w:t>
            </w:r>
          </w:p>
        </w:tc>
        <w:tc>
          <w:tcPr>
            <w:tcW w:type="dxa" w:w="4680"/>
          </w:tcPr>
          <w:p>
            <w:r>
              <w:t>Date: September 09, 2026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A: CWE Classification Index</w:t>
      </w:r>
    </w:p>
    <w:p>
      <w:r>
        <w:t>• CWE-89: Improper Neutralization of Special Elements used in an SQL Command ('SQL Injection')</w:t>
        <w:br/>
        <w:t>• CWE-79: Improper Neutralization of Input During Web Page Generation ('Cross-site Scripting')</w:t>
        <w:br/>
        <w:t>• CWE-639: Authorization Bypass Through User-Controlled Key ('Insecure Direct Object References')</w:t>
        <w:br/>
        <w:t>• CWE-287: Improper Authentication</w:t>
        <w:br/>
        <w:t>• CWE-352: Cross-Site Request Forgery (CSRF)</w:t>
        <w:br/>
        <w:t>• CWE-434: Unrestricted Upload of File with Dangerous Type</w:t>
        <w:br/>
        <w:t>• CWE-200: Exposure of Sensitive Information to an Unauthorized Actor</w:t>
        <w:br/>
        <w:t>• CWE-693: Protection Mechanism Failure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B: Report Traceability &amp; Audit Metadata</w:t>
      </w:r>
    </w:p>
    <w:p>
      <w:r>
        <w:t>• Project ID: proj-1788949921311</w:t>
        <w:br/>
        <w:t>• Report Document Version: v1.0</w:t>
        <w:br/>
        <w:t>• Selected Finding IDs: find-1788949921316</w:t>
        <w:br/>
        <w:t>• Assessment Methodology: OWASP Web Security Testing Guide (WSTG v4.2) &amp; PTES</w:t>
        <w:br/>
        <w:t>• Generation Timestamp: 2026-09-09T16:02:01.392939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Project: DOCX-AutoFix-Proj (v1.0)  |  Classification: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TRACEGATE SECURITY ASSESSMENT  | 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