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5932416" id="docshape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749"/>
        <w:rPr>
          <w:rFonts w:ascii="Times New Roman"/>
          <w:sz w:val="72"/>
        </w:rPr>
      </w:pPr>
    </w:p>
    <w:p>
      <w:pPr>
        <w:pStyle w:val="Heading1"/>
        <w:spacing w:line="304" w:lineRule="auto"/>
      </w:pPr>
      <w:r>
        <w:rPr/>
        <w:t>ETAPA</w:t>
      </w:r>
      <w:r>
        <w:rPr>
          <w:spacing w:val="-39"/>
        </w:rPr>
        <w:t> </w:t>
      </w:r>
      <w:r>
        <w:rPr/>
        <w:t>4 </w:t>
      </w:r>
      <w:r>
        <w:rPr>
          <w:spacing w:val="-2"/>
        </w:rPr>
        <w:t>CIERRE</w:t>
      </w:r>
    </w:p>
    <w:p>
      <w:pPr>
        <w:pStyle w:val="Heading1"/>
        <w:spacing w:after="0" w:line="304" w:lineRule="auto"/>
        <w:sectPr>
          <w:footerReference w:type="default" r:id="rId5"/>
          <w:type w:val="continuous"/>
          <w:pgSz w:w="12240" w:h="15840"/>
          <w:pgMar w:header="0" w:footer="1118" w:top="780" w:bottom="1300" w:left="720" w:right="144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"/>
        </w:sectPr>
      </w:pPr>
    </w:p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5931904" id="docshape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2"/>
        <w:spacing w:before="30"/>
      </w:pPr>
      <w:bookmarkStart w:name="Introducción de la etapa 4" w:id="1"/>
      <w:bookmarkEnd w:id="1"/>
      <w:r>
        <w:rPr/>
      </w:r>
      <w:r>
        <w:rPr>
          <w:color w:val="0E4660"/>
          <w:spacing w:val="-2"/>
          <w:w w:val="90"/>
        </w:rPr>
        <w:t>Introducción</w:t>
      </w:r>
      <w:r>
        <w:rPr>
          <w:color w:val="0E4660"/>
          <w:spacing w:val="-14"/>
          <w:w w:val="90"/>
        </w:rPr>
        <w:t> </w:t>
      </w:r>
      <w:r>
        <w:rPr>
          <w:color w:val="0E4660"/>
          <w:spacing w:val="-2"/>
          <w:w w:val="90"/>
        </w:rPr>
        <w:t>de</w:t>
      </w:r>
      <w:r>
        <w:rPr>
          <w:color w:val="0E4660"/>
          <w:spacing w:val="-16"/>
          <w:w w:val="90"/>
        </w:rPr>
        <w:t> </w:t>
      </w:r>
      <w:r>
        <w:rPr>
          <w:color w:val="0E4660"/>
          <w:spacing w:val="-2"/>
          <w:w w:val="90"/>
        </w:rPr>
        <w:t>la</w:t>
      </w:r>
      <w:r>
        <w:rPr>
          <w:color w:val="0E4660"/>
          <w:spacing w:val="-19"/>
          <w:w w:val="90"/>
        </w:rPr>
        <w:t> </w:t>
      </w:r>
      <w:r>
        <w:rPr>
          <w:color w:val="0E4660"/>
          <w:spacing w:val="-2"/>
          <w:w w:val="90"/>
        </w:rPr>
        <w:t>etapa</w:t>
      </w:r>
      <w:r>
        <w:rPr>
          <w:color w:val="0E4660"/>
          <w:spacing w:val="-14"/>
          <w:w w:val="90"/>
        </w:rPr>
        <w:t> </w:t>
      </w:r>
      <w:r>
        <w:rPr>
          <w:color w:val="0E4660"/>
          <w:spacing w:val="-10"/>
          <w:w w:val="90"/>
        </w:rPr>
        <w:t>4</w:t>
      </w:r>
    </w:p>
    <w:p>
      <w:pPr>
        <w:pStyle w:val="BodyText"/>
        <w:spacing w:before="122"/>
        <w:rPr>
          <w:sz w:val="30"/>
        </w:rPr>
      </w:pPr>
    </w:p>
    <w:p>
      <w:pPr>
        <w:spacing w:before="0"/>
        <w:ind w:left="980" w:right="0" w:firstLine="0"/>
        <w:jc w:val="left"/>
        <w:rPr>
          <w:sz w:val="28"/>
        </w:rPr>
      </w:pPr>
      <w:r>
        <w:rPr>
          <w:spacing w:val="-4"/>
          <w:sz w:val="28"/>
        </w:rPr>
        <w:t>Propósito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de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la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etapa</w:t>
      </w:r>
    </w:p>
    <w:p>
      <w:pPr>
        <w:pStyle w:val="BodyText"/>
        <w:spacing w:line="273" w:lineRule="auto" w:before="203"/>
        <w:ind w:left="980" w:right="310"/>
        <w:jc w:val="both"/>
      </w:pP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presente</w:t>
      </w:r>
      <w:r>
        <w:rPr>
          <w:spacing w:val="-14"/>
        </w:rPr>
        <w:t> </w:t>
      </w:r>
      <w:r>
        <w:rPr>
          <w:spacing w:val="-4"/>
        </w:rPr>
        <w:t>Etapa</w:t>
      </w:r>
      <w:r>
        <w:rPr>
          <w:spacing w:val="-14"/>
        </w:rPr>
        <w:t> </w:t>
      </w:r>
      <w:r>
        <w:rPr>
          <w:spacing w:val="-4"/>
        </w:rPr>
        <w:t>4</w:t>
      </w:r>
      <w:r>
        <w:rPr>
          <w:spacing w:val="-14"/>
        </w:rPr>
        <w:t> </w:t>
      </w:r>
      <w:r>
        <w:rPr>
          <w:spacing w:val="-4"/>
        </w:rPr>
        <w:t>representa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culminación</w:t>
      </w:r>
      <w:r>
        <w:rPr>
          <w:spacing w:val="-14"/>
        </w:rPr>
        <w:t> </w:t>
      </w:r>
      <w:r>
        <w:rPr>
          <w:spacing w:val="-4"/>
        </w:rPr>
        <w:t>integral</w:t>
      </w:r>
      <w:r>
        <w:rPr>
          <w:spacing w:val="-14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cierre</w:t>
      </w:r>
      <w:r>
        <w:rPr>
          <w:spacing w:val="-15"/>
        </w:rPr>
        <w:t> </w:t>
      </w:r>
      <w:r>
        <w:rPr>
          <w:spacing w:val="-4"/>
        </w:rPr>
        <w:t>formal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todas</w:t>
      </w:r>
      <w:r>
        <w:rPr>
          <w:spacing w:val="-14"/>
        </w:rPr>
        <w:t> </w:t>
      </w:r>
      <w:r>
        <w:rPr>
          <w:spacing w:val="-4"/>
        </w:rPr>
        <w:t>las </w:t>
      </w:r>
      <w:r>
        <w:rPr>
          <w:spacing w:val="-2"/>
        </w:rPr>
        <w:t>actividades</w:t>
      </w:r>
      <w:r>
        <w:rPr>
          <w:spacing w:val="-12"/>
        </w:rPr>
        <w:t> </w:t>
      </w:r>
      <w:r>
        <w:rPr>
          <w:spacing w:val="-2"/>
        </w:rPr>
        <w:t>operativas,</w:t>
      </w:r>
      <w:r>
        <w:rPr>
          <w:spacing w:val="-9"/>
        </w:rPr>
        <w:t> </w:t>
      </w:r>
      <w:r>
        <w:rPr>
          <w:spacing w:val="-2"/>
        </w:rPr>
        <w:t>comerciales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desarrollo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dieron</w:t>
      </w:r>
      <w:r>
        <w:rPr>
          <w:spacing w:val="-7"/>
        </w:rPr>
        <w:t> </w:t>
      </w:r>
      <w:r>
        <w:rPr>
          <w:spacing w:val="-2"/>
        </w:rPr>
        <w:t>vida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plataforma </w:t>
      </w:r>
      <w:r>
        <w:rPr/>
        <w:t>Testify. Alineado de manera estricta con los lineamientos globales para la culminación de proyectos establecidos en el PMBOK 79 Edición, este bloque final </w:t>
      </w:r>
      <w:r>
        <w:rPr>
          <w:spacing w:val="-2"/>
        </w:rPr>
        <w:t>tiene</w:t>
      </w:r>
      <w:r>
        <w:rPr>
          <w:spacing w:val="-18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prioridad</w:t>
      </w:r>
      <w:r>
        <w:rPr>
          <w:spacing w:val="-16"/>
        </w:rPr>
        <w:t> </w:t>
      </w:r>
      <w:r>
        <w:rPr>
          <w:spacing w:val="-2"/>
        </w:rPr>
        <w:t>consolidar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balance</w:t>
      </w:r>
      <w:r>
        <w:rPr>
          <w:spacing w:val="-23"/>
        </w:rPr>
        <w:t> </w:t>
      </w:r>
      <w:r>
        <w:rPr>
          <w:spacing w:val="-2"/>
        </w:rPr>
        <w:t>técnico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8"/>
        </w:rPr>
        <w:t> </w:t>
      </w:r>
      <w:r>
        <w:rPr>
          <w:spacing w:val="-2"/>
        </w:rPr>
        <w:t>institucional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13"/>
        </w:rPr>
        <w:t> </w:t>
      </w:r>
      <w:r>
        <w:rPr>
          <w:spacing w:val="-2"/>
        </w:rPr>
        <w:t>software.</w:t>
      </w:r>
    </w:p>
    <w:p>
      <w:pPr>
        <w:pStyle w:val="BodyText"/>
        <w:spacing w:after="0" w:line="273" w:lineRule="auto"/>
        <w:jc w:val="both"/>
        <w:sectPr>
          <w:pgSz w:w="12240" w:h="15840"/>
          <w:pgMar w:header="0" w:footer="1118" w:top="780" w:bottom="1300" w:left="720" w:right="144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5931392" id="docshape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61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ind w:left="0"/>
              <w:rPr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costos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ET.4</w:t>
            </w:r>
          </w:p>
          <w:p>
            <w:pPr>
              <w:pStyle w:val="TableParagraph"/>
              <w:spacing w:line="254" w:lineRule="auto" w:before="10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Presupuesto: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25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junio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2026</w:t>
            </w:r>
          </w:p>
        </w:tc>
      </w:tr>
    </w:tbl>
    <w:p>
      <w:pPr>
        <w:pStyle w:val="BodyText"/>
        <w:spacing w:before="123"/>
        <w:rPr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45AFE0"/>
          <w:left w:val="single" w:sz="8" w:space="0" w:color="45AFE0"/>
          <w:bottom w:val="single" w:sz="8" w:space="0" w:color="45AFE0"/>
          <w:right w:val="single" w:sz="8" w:space="0" w:color="45AFE0"/>
          <w:insideH w:val="single" w:sz="8" w:space="0" w:color="45AFE0"/>
          <w:insideV w:val="single" w:sz="8" w:space="0" w:color="45AF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1"/>
        <w:gridCol w:w="1096"/>
        <w:gridCol w:w="1191"/>
        <w:gridCol w:w="1582"/>
        <w:gridCol w:w="1192"/>
        <w:gridCol w:w="1192"/>
        <w:gridCol w:w="1317"/>
      </w:tblGrid>
      <w:tr>
        <w:trPr>
          <w:trHeight w:val="1505" w:hRule="atLeast"/>
        </w:trPr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20" w:right="10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Etapa</w:t>
            </w:r>
            <w:r>
              <w:rPr>
                <w:b/>
                <w:color w:val="FFFFFF"/>
                <w:spacing w:val="40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del Proyecto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20" w:right="216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Costo </w:t>
            </w:r>
            <w:r>
              <w:rPr>
                <w:b/>
                <w:color w:val="FFFFFF"/>
                <w:spacing w:val="-2"/>
                <w:sz w:val="24"/>
              </w:rPr>
              <w:t>Planea </w:t>
            </w:r>
            <w:r>
              <w:rPr>
                <w:b/>
                <w:color w:val="FFFFFF"/>
                <w:spacing w:val="-6"/>
                <w:sz w:val="24"/>
              </w:rPr>
              <w:t>do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19" w:right="12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Costo</w:t>
            </w:r>
            <w:r>
              <w:rPr>
                <w:b/>
                <w:color w:val="FFFFFF"/>
                <w:spacing w:val="80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de </w:t>
            </w:r>
            <w:r>
              <w:rPr>
                <w:b/>
                <w:color w:val="FFFFFF"/>
                <w:spacing w:val="-4"/>
                <w:sz w:val="24"/>
              </w:rPr>
              <w:t>Ejecució </w:t>
            </w:r>
            <w:r>
              <w:rPr>
                <w:b/>
                <w:color w:val="FFFFFF"/>
                <w:spacing w:val="-10"/>
                <w:sz w:val="24"/>
              </w:rPr>
              <w:t>n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18" w:right="1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Costo</w:t>
            </w:r>
            <w:r>
              <w:rPr>
                <w:b/>
                <w:color w:val="FFFFFF"/>
                <w:spacing w:val="-10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 </w:t>
            </w:r>
            <w:r>
              <w:rPr>
                <w:b/>
                <w:color w:val="FFFFFF"/>
                <w:spacing w:val="-2"/>
                <w:sz w:val="24"/>
              </w:rPr>
              <w:t>Implementa </w:t>
            </w:r>
            <w:r>
              <w:rPr>
                <w:b/>
                <w:color w:val="FFFFFF"/>
                <w:spacing w:val="-4"/>
                <w:sz w:val="24"/>
              </w:rPr>
              <w:t>ción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12" w:right="124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Costo </w:t>
            </w:r>
            <w:r>
              <w:rPr>
                <w:b/>
                <w:color w:val="FFFFFF"/>
                <w:spacing w:val="-6"/>
                <w:sz w:val="24"/>
              </w:rPr>
              <w:t>Total</w:t>
            </w:r>
            <w:r>
              <w:rPr>
                <w:b/>
                <w:color w:val="FFFFFF"/>
                <w:spacing w:val="-24"/>
                <w:sz w:val="24"/>
              </w:rPr>
              <w:t> </w:t>
            </w:r>
            <w:r>
              <w:rPr>
                <w:b/>
                <w:color w:val="FFFFFF"/>
                <w:spacing w:val="-6"/>
                <w:sz w:val="24"/>
              </w:rPr>
              <w:t>del </w:t>
            </w:r>
            <w:r>
              <w:rPr>
                <w:b/>
                <w:color w:val="FFFFFF"/>
                <w:spacing w:val="-2"/>
                <w:sz w:val="24"/>
              </w:rPr>
              <w:t>Proyect </w:t>
            </w:r>
            <w:r>
              <w:rPr>
                <w:b/>
                <w:color w:val="FFFFFF"/>
                <w:spacing w:val="-10"/>
                <w:sz w:val="24"/>
              </w:rPr>
              <w:t>o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49" w:lineRule="auto" w:before="19"/>
              <w:ind w:right="12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Desviaci </w:t>
            </w:r>
            <w:r>
              <w:rPr>
                <w:b/>
                <w:color w:val="FFFFFF"/>
                <w:sz w:val="24"/>
              </w:rPr>
              <w:t>ón</w:t>
            </w:r>
            <w:r>
              <w:rPr>
                <w:b/>
                <w:color w:val="FFFFFF"/>
                <w:spacing w:val="-22"/>
                <w:sz w:val="24"/>
              </w:rPr>
              <w:t> </w:t>
            </w:r>
            <w:r>
              <w:rPr>
                <w:b/>
                <w:color w:val="FFFFFF"/>
                <w:spacing w:val="-11"/>
                <w:sz w:val="24"/>
              </w:rPr>
              <w:t>(Total</w:t>
            </w:r>
          </w:p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-</w:t>
            </w:r>
          </w:p>
          <w:p>
            <w:pPr>
              <w:pStyle w:val="TableParagraph"/>
              <w:spacing w:line="249" w:lineRule="auto" w:before="17"/>
              <w:ind w:right="12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Planead </w:t>
            </w:r>
            <w:r>
              <w:rPr>
                <w:b/>
                <w:color w:val="FFFFFF"/>
                <w:spacing w:val="-6"/>
                <w:sz w:val="24"/>
              </w:rPr>
              <w:t>o)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>
            <w:pPr>
              <w:pStyle w:val="TableParagraph"/>
              <w:spacing w:line="252" w:lineRule="auto" w:before="19"/>
              <w:ind w:left="109" w:right="15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Estado Presupue </w:t>
            </w:r>
            <w:r>
              <w:rPr>
                <w:b/>
                <w:color w:val="FFFFFF"/>
                <w:spacing w:val="-4"/>
                <w:sz w:val="24"/>
              </w:rPr>
              <w:t>stal</w:t>
            </w:r>
          </w:p>
        </w:tc>
      </w:tr>
      <w:tr>
        <w:trPr>
          <w:trHeight w:val="880" w:hRule="atLeast"/>
        </w:trPr>
        <w:tc>
          <w:tcPr>
            <w:tcW w:w="1211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E0</w:t>
            </w:r>
            <w:r>
              <w:rPr>
                <w:b/>
                <w:spacing w:val="-15"/>
                <w:w w:val="95"/>
                <w:sz w:val="24"/>
              </w:rPr>
              <w:t> </w:t>
            </w:r>
            <w:r>
              <w:rPr>
                <w:b/>
                <w:spacing w:val="-10"/>
                <w:w w:val="110"/>
                <w:sz w:val="24"/>
              </w:rPr>
              <w:t>—</w:t>
            </w: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Inicio</w:t>
            </w:r>
          </w:p>
        </w:tc>
        <w:tc>
          <w:tcPr>
            <w:tcW w:w="1096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$65,320</w:t>
            </w:r>
          </w:p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$43,240</w:t>
            </w:r>
          </w:p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582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$364,000</w:t>
            </w:r>
          </w:p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7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$407,240</w:t>
            </w:r>
          </w:p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49" w:lineRule="auto"/>
              <w:ind w:left="100" w:right="98"/>
              <w:rPr>
                <w:sz w:val="24"/>
              </w:rPr>
            </w:pPr>
            <w:r>
              <w:rPr>
                <w:spacing w:val="-2"/>
                <w:sz w:val="24"/>
              </w:rPr>
              <w:t>+$341,92 </w:t>
            </w: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MXN</w:t>
            </w:r>
          </w:p>
        </w:tc>
        <w:tc>
          <w:tcPr>
            <w:tcW w:w="1317" w:type="dxa"/>
            <w:tcBorders>
              <w:top w:val="nil"/>
            </w:tcBorders>
            <w:shd w:val="clear" w:color="auto" w:fill="C1E3F5"/>
          </w:tcPr>
          <w:p>
            <w:pPr>
              <w:pStyle w:val="TableParagraph"/>
              <w:spacing w:line="249" w:lineRule="auto"/>
              <w:ind w:left="99"/>
              <w:rPr>
                <w:sz w:val="24"/>
              </w:rPr>
            </w:pPr>
            <w:r>
              <w:rPr>
                <w:spacing w:val="-6"/>
                <w:sz w:val="24"/>
              </w:rPr>
              <w:t>En </w:t>
            </w:r>
            <w:r>
              <w:rPr>
                <w:spacing w:val="-2"/>
                <w:sz w:val="24"/>
              </w:rPr>
              <w:t>Sobrecost</w:t>
            </w:r>
          </w:p>
          <w:p>
            <w:pPr>
              <w:pStyle w:val="TableParagraph"/>
              <w:spacing w:line="275" w:lineRule="exact" w:before="5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</w:tr>
      <w:tr>
        <w:trPr>
          <w:trHeight w:val="880" w:hRule="atLeast"/>
        </w:trPr>
        <w:tc>
          <w:tcPr>
            <w:tcW w:w="1211" w:type="dxa"/>
          </w:tcPr>
          <w:p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E1</w:t>
            </w:r>
            <w:r>
              <w:rPr>
                <w:b/>
                <w:spacing w:val="-15"/>
                <w:w w:val="95"/>
                <w:sz w:val="24"/>
              </w:rPr>
              <w:t> </w:t>
            </w:r>
            <w:r>
              <w:rPr>
                <w:b/>
                <w:spacing w:val="-10"/>
                <w:w w:val="110"/>
                <w:sz w:val="24"/>
              </w:rPr>
              <w:t>—</w:t>
            </w:r>
          </w:p>
          <w:p>
            <w:pPr>
              <w:pStyle w:val="TableParagraph"/>
              <w:spacing w:line="29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Planeaci </w:t>
            </w:r>
            <w:r>
              <w:rPr>
                <w:b/>
                <w:spacing w:val="-6"/>
                <w:sz w:val="24"/>
              </w:rPr>
              <w:t>ón</w:t>
            </w:r>
          </w:p>
        </w:tc>
        <w:tc>
          <w:tcPr>
            <w:tcW w:w="1096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$34,250</w:t>
            </w:r>
          </w:p>
          <w:p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$34,250</w:t>
            </w:r>
          </w:p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582" w:type="dxa"/>
          </w:tcPr>
          <w:p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z w:val="24"/>
              </w:rPr>
              <w:t>$0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7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$34,250</w:t>
            </w:r>
          </w:p>
          <w:p>
            <w:pPr>
              <w:pStyle w:val="TableParagraph"/>
              <w:spacing w:before="11"/>
              <w:ind w:left="10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78" w:lineRule="exact"/>
              <w:ind w:left="100"/>
              <w:rPr>
                <w:sz w:val="24"/>
              </w:rPr>
            </w:pPr>
            <w:r>
              <w:rPr>
                <w:sz w:val="24"/>
              </w:rPr>
              <w:t>$0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317" w:type="dxa"/>
          </w:tcPr>
          <w:p>
            <w:pPr>
              <w:pStyle w:val="TableParagraph"/>
              <w:spacing w:line="278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Exitoso</w:t>
            </w:r>
          </w:p>
        </w:tc>
      </w:tr>
      <w:tr>
        <w:trPr>
          <w:trHeight w:val="880" w:hRule="atLeast"/>
        </w:trPr>
        <w:tc>
          <w:tcPr>
            <w:tcW w:w="1211" w:type="dxa"/>
            <w:shd w:val="clear" w:color="auto" w:fill="C1E3F5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E2</w:t>
            </w:r>
            <w:r>
              <w:rPr>
                <w:b/>
                <w:spacing w:val="-15"/>
                <w:w w:val="95"/>
                <w:sz w:val="24"/>
              </w:rPr>
              <w:t> </w:t>
            </w:r>
            <w:r>
              <w:rPr>
                <w:b/>
                <w:spacing w:val="-10"/>
                <w:w w:val="110"/>
                <w:sz w:val="24"/>
              </w:rPr>
              <w:t>—</w:t>
            </w:r>
          </w:p>
          <w:p>
            <w:pPr>
              <w:pStyle w:val="TableParagraph"/>
              <w:spacing w:line="290" w:lineRule="atLeast" w:before="5"/>
              <w:ind w:right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Ejecució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096" w:type="dxa"/>
            <w:shd w:val="clear" w:color="auto" w:fill="C1E3F5"/>
          </w:tcPr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$9,864, </w:t>
            </w:r>
            <w:r>
              <w:rPr>
                <w:spacing w:val="-4"/>
                <w:sz w:val="24"/>
              </w:rPr>
              <w:t>000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  <w:shd w:val="clear" w:color="auto" w:fill="C1E3F5"/>
          </w:tcPr>
          <w:p>
            <w:pPr>
              <w:pStyle w:val="TableParagraph"/>
              <w:spacing w:line="254" w:lineRule="auto"/>
              <w:ind w:left="109" w:right="126"/>
              <w:rPr>
                <w:sz w:val="24"/>
              </w:rPr>
            </w:pPr>
            <w:r>
              <w:rPr>
                <w:spacing w:val="-2"/>
                <w:sz w:val="24"/>
              </w:rPr>
              <w:t>$11,570, </w:t>
            </w:r>
            <w:r>
              <w:rPr>
                <w:sz w:val="24"/>
              </w:rPr>
              <w:t>000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582" w:type="dxa"/>
            <w:shd w:val="clear" w:color="auto" w:fill="C1E3F5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$682,000</w:t>
            </w:r>
          </w:p>
          <w:p>
            <w:pPr>
              <w:pStyle w:val="TableParagraph"/>
              <w:spacing w:before="16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  <w:shd w:val="clear" w:color="auto" w:fill="C1E3F5"/>
          </w:tcPr>
          <w:p>
            <w:pPr>
              <w:pStyle w:val="TableParagraph"/>
              <w:spacing w:line="254" w:lineRule="auto"/>
              <w:ind w:left="102" w:right="134"/>
              <w:rPr>
                <w:sz w:val="24"/>
              </w:rPr>
            </w:pPr>
            <w:r>
              <w:rPr>
                <w:spacing w:val="-2"/>
                <w:sz w:val="24"/>
              </w:rPr>
              <w:t>$12,252, </w:t>
            </w:r>
            <w:r>
              <w:rPr>
                <w:sz w:val="24"/>
              </w:rPr>
              <w:t>000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192" w:type="dxa"/>
            <w:shd w:val="clear" w:color="auto" w:fill="C1E3F5"/>
          </w:tcPr>
          <w:p>
            <w:pPr>
              <w:pStyle w:val="TableParagraph"/>
              <w:spacing w:line="254" w:lineRule="auto"/>
              <w:ind w:left="100" w:right="136"/>
              <w:rPr>
                <w:sz w:val="24"/>
              </w:rPr>
            </w:pPr>
            <w:r>
              <w:rPr>
                <w:spacing w:val="-2"/>
                <w:sz w:val="24"/>
              </w:rPr>
              <w:t>+$2,388, </w:t>
            </w:r>
            <w:r>
              <w:rPr>
                <w:sz w:val="24"/>
              </w:rPr>
              <w:t>000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317" w:type="dxa"/>
            <w:shd w:val="clear" w:color="auto" w:fill="C1E3F5"/>
          </w:tcPr>
          <w:p>
            <w:pPr>
              <w:pStyle w:val="TableParagraph"/>
              <w:spacing w:line="273" w:lineRule="exact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En</w:t>
            </w:r>
          </w:p>
          <w:p>
            <w:pPr>
              <w:pStyle w:val="TableParagraph"/>
              <w:spacing w:line="290" w:lineRule="atLeast" w:before="5"/>
              <w:ind w:left="99" w:right="75"/>
              <w:rPr>
                <w:sz w:val="24"/>
              </w:rPr>
            </w:pPr>
            <w:r>
              <w:rPr>
                <w:spacing w:val="-2"/>
                <w:sz w:val="24"/>
              </w:rPr>
              <w:t>Sobrecost </w:t>
            </w:r>
            <w:r>
              <w:rPr>
                <w:spacing w:val="-10"/>
                <w:sz w:val="24"/>
              </w:rPr>
              <w:t>o</w:t>
            </w:r>
          </w:p>
        </w:tc>
      </w:tr>
      <w:tr>
        <w:trPr>
          <w:trHeight w:val="1465" w:hRule="atLeast"/>
        </w:trPr>
        <w:tc>
          <w:tcPr>
            <w:tcW w:w="1211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E3</w:t>
            </w:r>
            <w:r>
              <w:rPr>
                <w:b/>
                <w:spacing w:val="-15"/>
                <w:w w:val="95"/>
                <w:sz w:val="24"/>
              </w:rPr>
              <w:t> </w:t>
            </w:r>
            <w:r>
              <w:rPr>
                <w:b/>
                <w:spacing w:val="-10"/>
                <w:w w:val="110"/>
                <w:sz w:val="24"/>
              </w:rPr>
              <w:t>—</w:t>
            </w:r>
          </w:p>
          <w:p>
            <w:pPr>
              <w:pStyle w:val="TableParagraph"/>
              <w:spacing w:line="252" w:lineRule="auto" w:before="16"/>
              <w:ind w:righ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y </w:t>
            </w:r>
            <w:r>
              <w:rPr>
                <w:b/>
                <w:spacing w:val="-4"/>
                <w:sz w:val="24"/>
              </w:rPr>
              <w:t>Verificac</w:t>
            </w:r>
          </w:p>
          <w:p>
            <w:pPr>
              <w:pStyle w:val="TableParagraph"/>
              <w:spacing w:line="275" w:lineRule="exact" w:before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ión</w:t>
            </w:r>
          </w:p>
        </w:tc>
        <w:tc>
          <w:tcPr>
            <w:tcW w:w="109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$16,440</w:t>
            </w:r>
          </w:p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$16,440</w:t>
            </w:r>
          </w:p>
          <w:p>
            <w:pPr>
              <w:pStyle w:val="TableParagraph"/>
              <w:spacing w:before="16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582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$181,500</w:t>
            </w:r>
          </w:p>
          <w:p>
            <w:pPr>
              <w:pStyle w:val="TableParagraph"/>
              <w:spacing w:before="16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73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$197,940</w:t>
            </w:r>
          </w:p>
          <w:p>
            <w:pPr>
              <w:pStyle w:val="TableParagraph"/>
              <w:spacing w:before="16"/>
              <w:ind w:left="10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54" w:lineRule="auto"/>
              <w:ind w:left="100" w:right="98"/>
              <w:rPr>
                <w:sz w:val="24"/>
              </w:rPr>
            </w:pPr>
            <w:r>
              <w:rPr>
                <w:spacing w:val="-2"/>
                <w:sz w:val="24"/>
              </w:rPr>
              <w:t>+$181,50 </w:t>
            </w: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MXN</w:t>
            </w:r>
          </w:p>
        </w:tc>
        <w:tc>
          <w:tcPr>
            <w:tcW w:w="1317" w:type="dxa"/>
          </w:tcPr>
          <w:p>
            <w:pPr>
              <w:pStyle w:val="TableParagraph"/>
              <w:spacing w:line="252" w:lineRule="auto"/>
              <w:ind w:left="99" w:right="75"/>
              <w:rPr>
                <w:sz w:val="24"/>
              </w:rPr>
            </w:pPr>
            <w:r>
              <w:rPr>
                <w:spacing w:val="-6"/>
                <w:sz w:val="24"/>
              </w:rPr>
              <w:t>En </w:t>
            </w:r>
            <w:r>
              <w:rPr>
                <w:spacing w:val="-2"/>
                <w:sz w:val="24"/>
              </w:rPr>
              <w:t>Sobrecost </w:t>
            </w:r>
            <w:r>
              <w:rPr>
                <w:spacing w:val="-10"/>
                <w:sz w:val="24"/>
              </w:rPr>
              <w:t>o</w:t>
            </w:r>
          </w:p>
        </w:tc>
      </w:tr>
      <w:tr>
        <w:trPr>
          <w:trHeight w:val="585" w:hRule="atLeast"/>
        </w:trPr>
        <w:tc>
          <w:tcPr>
            <w:tcW w:w="1211" w:type="dxa"/>
            <w:shd w:val="clear" w:color="auto" w:fill="C1E3F5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E4</w:t>
            </w:r>
            <w:r>
              <w:rPr>
                <w:b/>
                <w:spacing w:val="-15"/>
                <w:w w:val="95"/>
                <w:sz w:val="24"/>
              </w:rPr>
              <w:t> </w:t>
            </w:r>
            <w:r>
              <w:rPr>
                <w:b/>
                <w:spacing w:val="-10"/>
                <w:w w:val="110"/>
                <w:sz w:val="24"/>
              </w:rPr>
              <w:t>—</w:t>
            </w:r>
          </w:p>
          <w:p>
            <w:pPr>
              <w:pStyle w:val="TableParagraph"/>
              <w:spacing w:line="275" w:lineRule="exact" w:before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Cierre</w:t>
            </w:r>
          </w:p>
        </w:tc>
        <w:tc>
          <w:tcPr>
            <w:tcW w:w="1096" w:type="dxa"/>
            <w:shd w:val="clear" w:color="auto" w:fill="C1E3F5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$12,330</w:t>
            </w:r>
          </w:p>
          <w:p>
            <w:pPr>
              <w:pStyle w:val="TableParagraph"/>
              <w:spacing w:line="275" w:lineRule="exact" w:before="1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  <w:shd w:val="clear" w:color="auto" w:fill="C1E3F5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$12,330</w:t>
            </w:r>
          </w:p>
          <w:p>
            <w:pPr>
              <w:pStyle w:val="TableParagraph"/>
              <w:spacing w:line="275" w:lineRule="exact" w:before="16"/>
              <w:ind w:left="10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582" w:type="dxa"/>
            <w:shd w:val="clear" w:color="auto" w:fill="C1E3F5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$0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192" w:type="dxa"/>
            <w:shd w:val="clear" w:color="auto" w:fill="C1E3F5"/>
          </w:tcPr>
          <w:p>
            <w:pPr>
              <w:pStyle w:val="TableParagraph"/>
              <w:spacing w:line="273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$12,330</w:t>
            </w:r>
          </w:p>
          <w:p>
            <w:pPr>
              <w:pStyle w:val="TableParagraph"/>
              <w:spacing w:line="275" w:lineRule="exact" w:before="16"/>
              <w:ind w:left="102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  <w:shd w:val="clear" w:color="auto" w:fill="C1E3F5"/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$0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317" w:type="dxa"/>
            <w:shd w:val="clear" w:color="auto" w:fill="C1E3F5"/>
          </w:tcPr>
          <w:p>
            <w:pPr>
              <w:pStyle w:val="TableParagraph"/>
              <w:spacing w:line="273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Exitoso</w:t>
            </w:r>
          </w:p>
        </w:tc>
      </w:tr>
      <w:tr>
        <w:trPr>
          <w:trHeight w:val="880" w:hRule="atLeast"/>
        </w:trPr>
        <w:tc>
          <w:tcPr>
            <w:tcW w:w="1211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96" w:type="dxa"/>
          </w:tcPr>
          <w:p>
            <w:pPr>
              <w:pStyle w:val="TableParagraph"/>
              <w:spacing w:line="254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$9,992, </w:t>
            </w:r>
            <w:r>
              <w:rPr>
                <w:spacing w:val="-4"/>
                <w:sz w:val="24"/>
              </w:rPr>
              <w:t>340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1" w:type="dxa"/>
          </w:tcPr>
          <w:p>
            <w:pPr>
              <w:pStyle w:val="TableParagraph"/>
              <w:spacing w:line="254" w:lineRule="auto"/>
              <w:ind w:left="109" w:right="126"/>
              <w:rPr>
                <w:sz w:val="24"/>
              </w:rPr>
            </w:pPr>
            <w:r>
              <w:rPr>
                <w:spacing w:val="-2"/>
                <w:sz w:val="24"/>
              </w:rPr>
              <w:t>$11,676, </w:t>
            </w:r>
            <w:r>
              <w:rPr>
                <w:sz w:val="24"/>
              </w:rPr>
              <w:t>260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582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$1,227,500</w:t>
            </w:r>
          </w:p>
          <w:p>
            <w:pPr>
              <w:pStyle w:val="TableParagraph"/>
              <w:spacing w:before="16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54" w:lineRule="auto"/>
              <w:ind w:left="102" w:right="134"/>
              <w:rPr>
                <w:sz w:val="24"/>
              </w:rPr>
            </w:pPr>
            <w:r>
              <w:rPr>
                <w:spacing w:val="-2"/>
                <w:sz w:val="24"/>
              </w:rPr>
              <w:t>$12,903, </w:t>
            </w:r>
            <w:r>
              <w:rPr>
                <w:sz w:val="24"/>
              </w:rPr>
              <w:t>760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192" w:type="dxa"/>
          </w:tcPr>
          <w:p>
            <w:pPr>
              <w:pStyle w:val="TableParagraph"/>
              <w:spacing w:line="254" w:lineRule="auto"/>
              <w:ind w:left="100" w:right="136"/>
              <w:rPr>
                <w:sz w:val="24"/>
              </w:rPr>
            </w:pPr>
            <w:r>
              <w:rPr>
                <w:spacing w:val="-2"/>
                <w:sz w:val="24"/>
              </w:rPr>
              <w:t>+$2,911, </w:t>
            </w:r>
            <w:r>
              <w:rPr>
                <w:sz w:val="24"/>
              </w:rPr>
              <w:t>420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317" w:type="dxa"/>
          </w:tcPr>
          <w:p>
            <w:pPr>
              <w:pStyle w:val="TableParagraph"/>
              <w:spacing w:line="254" w:lineRule="auto"/>
              <w:ind w:left="99" w:right="75"/>
              <w:rPr>
                <w:sz w:val="24"/>
              </w:rPr>
            </w:pPr>
            <w:r>
              <w:rPr>
                <w:spacing w:val="-2"/>
                <w:sz w:val="24"/>
              </w:rPr>
              <w:t>Sobrecost </w:t>
            </w:r>
            <w:r>
              <w:rPr>
                <w:sz w:val="24"/>
              </w:rPr>
              <w:t>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7"/>
                <w:sz w:val="24"/>
              </w:rPr>
              <w:t>General:</w:t>
            </w:r>
          </w:p>
          <w:p>
            <w:pPr>
              <w:pStyle w:val="TableParagraph"/>
              <w:spacing w:line="275" w:lineRule="exact"/>
              <w:ind w:left="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+29.1%</w:t>
            </w:r>
          </w:p>
        </w:tc>
      </w:tr>
    </w:tbl>
    <w:p>
      <w:pPr>
        <w:pStyle w:val="BodyText"/>
        <w:spacing w:before="347"/>
        <w:rPr>
          <w:sz w:val="30"/>
        </w:rPr>
      </w:pPr>
    </w:p>
    <w:p>
      <w:pPr>
        <w:pStyle w:val="Heading2"/>
      </w:pPr>
      <w:bookmarkStart w:name="Análisis de la desviación presupuestal" w:id="2"/>
      <w:bookmarkEnd w:id="2"/>
      <w:r>
        <w:rPr/>
      </w:r>
      <w:r>
        <w:rPr>
          <w:color w:val="0E4660"/>
          <w:w w:val="90"/>
        </w:rPr>
        <w:t>Análisis</w:t>
      </w:r>
      <w:r>
        <w:rPr>
          <w:color w:val="0E4660"/>
          <w:spacing w:val="-5"/>
          <w:w w:val="90"/>
        </w:rPr>
        <w:t> </w:t>
      </w:r>
      <w:r>
        <w:rPr>
          <w:color w:val="0E4660"/>
          <w:w w:val="90"/>
        </w:rPr>
        <w:t>de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la</w:t>
      </w:r>
      <w:r>
        <w:rPr>
          <w:color w:val="0E4660"/>
          <w:spacing w:val="-8"/>
          <w:w w:val="90"/>
        </w:rPr>
        <w:t> </w:t>
      </w:r>
      <w:r>
        <w:rPr>
          <w:color w:val="0E4660"/>
          <w:w w:val="90"/>
        </w:rPr>
        <w:t>desviación</w:t>
      </w:r>
      <w:r>
        <w:rPr>
          <w:color w:val="0E4660"/>
          <w:spacing w:val="-8"/>
          <w:w w:val="90"/>
        </w:rPr>
        <w:t> </w:t>
      </w:r>
      <w:r>
        <w:rPr>
          <w:color w:val="0E4660"/>
          <w:spacing w:val="-2"/>
          <w:w w:val="90"/>
        </w:rPr>
        <w:t>presupuestal</w:t>
      </w:r>
    </w:p>
    <w:p>
      <w:pPr>
        <w:pStyle w:val="BodyText"/>
        <w:spacing w:before="120"/>
        <w:rPr>
          <w:sz w:val="30"/>
        </w:rPr>
      </w:pPr>
    </w:p>
    <w:p>
      <w:pPr>
        <w:pStyle w:val="BodyText"/>
        <w:spacing w:line="408" w:lineRule="auto"/>
        <w:ind w:left="980" w:right="4376"/>
      </w:pPr>
      <w:r>
        <w:rPr>
          <w:spacing w:val="-2"/>
        </w:rPr>
        <w:t>Costo</w:t>
      </w:r>
      <w:r>
        <w:rPr>
          <w:spacing w:val="-25"/>
        </w:rPr>
        <w:t> </w:t>
      </w:r>
      <w:r>
        <w:rPr>
          <w:spacing w:val="-2"/>
        </w:rPr>
        <w:t>Planeado</w:t>
      </w:r>
      <w:r>
        <w:rPr>
          <w:spacing w:val="-18"/>
        </w:rPr>
        <w:t> </w:t>
      </w:r>
      <w:r>
        <w:rPr>
          <w:b/>
          <w:spacing w:val="-2"/>
        </w:rPr>
        <w:t>(PGT):</w:t>
      </w:r>
      <w:r>
        <w:rPr>
          <w:b/>
          <w:spacing w:val="-25"/>
        </w:rPr>
        <w:t> </w:t>
      </w:r>
      <w:r>
        <w:rPr>
          <w:spacing w:val="-2"/>
        </w:rPr>
        <w:t>$9,992,340</w:t>
      </w:r>
      <w:r>
        <w:rPr>
          <w:spacing w:val="-21"/>
        </w:rPr>
        <w:t> </w:t>
      </w:r>
      <w:r>
        <w:rPr>
          <w:spacing w:val="-2"/>
        </w:rPr>
        <w:t>MXN. </w:t>
      </w:r>
      <w:r>
        <w:rPr/>
        <w:t>Costo Real</w:t>
      </w:r>
      <w:r>
        <w:rPr>
          <w:b/>
        </w:rPr>
        <w:t>: </w:t>
      </w:r>
      <w:r>
        <w:rPr/>
        <w:t>$12,903,760 MXN.</w:t>
      </w:r>
    </w:p>
    <w:p>
      <w:pPr>
        <w:spacing w:before="3"/>
        <w:ind w:left="980" w:right="0" w:firstLine="0"/>
        <w:jc w:val="left"/>
        <w:rPr>
          <w:sz w:val="24"/>
        </w:rPr>
      </w:pPr>
      <w:r>
        <w:rPr>
          <w:b/>
          <w:spacing w:val="-2"/>
          <w:sz w:val="24"/>
        </w:rPr>
        <w:t>Desviación</w:t>
      </w:r>
      <w:r>
        <w:rPr>
          <w:b/>
          <w:spacing w:val="-35"/>
          <w:sz w:val="24"/>
        </w:rPr>
        <w:t> </w:t>
      </w:r>
      <w:r>
        <w:rPr>
          <w:b/>
          <w:spacing w:val="-2"/>
          <w:sz w:val="24"/>
        </w:rPr>
        <w:t>Neta</w:t>
      </w:r>
      <w:r>
        <w:rPr>
          <w:b/>
          <w:spacing w:val="-28"/>
          <w:sz w:val="24"/>
        </w:rPr>
        <w:t> </w:t>
      </w:r>
      <w:r>
        <w:rPr>
          <w:b/>
          <w:spacing w:val="-2"/>
          <w:sz w:val="24"/>
        </w:rPr>
        <w:t>Acumulada:</w:t>
      </w:r>
      <w:r>
        <w:rPr>
          <w:b/>
          <w:spacing w:val="-34"/>
          <w:sz w:val="24"/>
        </w:rPr>
        <w:t> </w:t>
      </w:r>
      <w:r>
        <w:rPr>
          <w:spacing w:val="-2"/>
          <w:sz w:val="24"/>
        </w:rPr>
        <w:t>+$2,911,420</w:t>
      </w:r>
      <w:r>
        <w:rPr>
          <w:spacing w:val="-34"/>
          <w:sz w:val="24"/>
        </w:rPr>
        <w:t> </w:t>
      </w:r>
      <w:r>
        <w:rPr>
          <w:spacing w:val="-2"/>
          <w:sz w:val="24"/>
        </w:rPr>
        <w:t>MXN,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32"/>
          <w:sz w:val="24"/>
        </w:rPr>
        <w:t> </w:t>
      </w:r>
      <w:r>
        <w:rPr>
          <w:spacing w:val="-2"/>
          <w:sz w:val="24"/>
        </w:rPr>
        <w:t>representa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incremento</w:t>
      </w:r>
      <w:r>
        <w:rPr>
          <w:spacing w:val="-32"/>
          <w:sz w:val="24"/>
        </w:rPr>
        <w:t> </w:t>
      </w:r>
      <w:r>
        <w:rPr>
          <w:spacing w:val="-5"/>
          <w:sz w:val="24"/>
        </w:rPr>
        <w:t>del</w:t>
      </w:r>
    </w:p>
    <w:p>
      <w:pPr>
        <w:pStyle w:val="BodyText"/>
        <w:spacing w:before="42"/>
        <w:ind w:left="980"/>
      </w:pPr>
      <w:r>
        <w:rPr>
          <w:spacing w:val="-2"/>
        </w:rPr>
        <w:t>+29.13%</w:t>
      </w:r>
      <w:r>
        <w:rPr>
          <w:spacing w:val="-22"/>
        </w:rPr>
        <w:t> </w:t>
      </w:r>
      <w:r>
        <w:rPr>
          <w:spacing w:val="-2"/>
        </w:rPr>
        <w:t>sobre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planeación</w:t>
      </w:r>
      <w:r>
        <w:rPr>
          <w:spacing w:val="-21"/>
        </w:rPr>
        <w:t> </w:t>
      </w:r>
      <w:r>
        <w:rPr>
          <w:spacing w:val="-2"/>
        </w:rPr>
        <w:t>inicial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21"/>
        </w:rPr>
        <w:t> </w:t>
      </w:r>
      <w:r>
        <w:rPr>
          <w:spacing w:val="-4"/>
        </w:rPr>
        <w:t>PGT.</w:t>
      </w:r>
    </w:p>
    <w:p>
      <w:pPr>
        <w:pStyle w:val="BodyText"/>
        <w:spacing w:after="0"/>
        <w:sectPr>
          <w:pgSz w:w="12240" w:h="15840"/>
          <w:pgMar w:header="0" w:footer="1118" w:top="780" w:bottom="1300" w:left="720" w:right="144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5930880" id="docshape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1" w:lineRule="auto" w:before="31"/>
        <w:ind w:left="980" w:right="309"/>
        <w:jc w:val="both"/>
      </w:pPr>
      <w:r>
        <w:rPr/>
        <w:t>El comportamiento financiero del proyecto muestra que la variación económica </w:t>
      </w:r>
      <w:r>
        <w:rPr>
          <w:spacing w:val="-2"/>
        </w:rPr>
        <w:t>responde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decisiones</w:t>
      </w:r>
      <w:r>
        <w:rPr>
          <w:spacing w:val="-11"/>
        </w:rPr>
        <w:t> </w:t>
      </w:r>
      <w:r>
        <w:rPr>
          <w:spacing w:val="-2"/>
        </w:rPr>
        <w:t>estratégicas</w:t>
      </w:r>
      <w:r>
        <w:rPr>
          <w:spacing w:val="-11"/>
        </w:rPr>
        <w:t> </w:t>
      </w:r>
      <w:r>
        <w:rPr>
          <w:spacing w:val="-2"/>
        </w:rPr>
        <w:t>distribuidas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tres</w:t>
      </w:r>
      <w:r>
        <w:rPr>
          <w:spacing w:val="-16"/>
        </w:rPr>
        <w:t> </w:t>
      </w:r>
      <w:r>
        <w:rPr>
          <w:spacing w:val="-2"/>
        </w:rPr>
        <w:t>momentos</w:t>
      </w:r>
      <w:r>
        <w:rPr>
          <w:spacing w:val="-16"/>
        </w:rPr>
        <w:t> </w:t>
      </w:r>
      <w:r>
        <w:rPr>
          <w:spacing w:val="-2"/>
        </w:rPr>
        <w:t>clave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6"/>
        </w:rPr>
        <w:t> </w:t>
      </w:r>
      <w:r>
        <w:rPr>
          <w:spacing w:val="-2"/>
        </w:rPr>
        <w:t>ciclo</w:t>
      </w:r>
      <w:r>
        <w:rPr>
          <w:spacing w:val="-11"/>
        </w:rPr>
        <w:t> </w:t>
      </w:r>
      <w:r>
        <w:rPr>
          <w:spacing w:val="-2"/>
        </w:rPr>
        <w:t>de </w:t>
      </w:r>
      <w:r>
        <w:rPr/>
        <w:t>vida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 plataforma:</w:t>
      </w:r>
    </w:p>
    <w:p>
      <w:pPr>
        <w:pStyle w:val="ListParagraph"/>
        <w:numPr>
          <w:ilvl w:val="0"/>
          <w:numId w:val="1"/>
        </w:numPr>
        <w:tabs>
          <w:tab w:pos="1701" w:val="left" w:leader="none"/>
        </w:tabs>
        <w:spacing w:line="273" w:lineRule="auto" w:before="160" w:after="0"/>
        <w:ind w:left="1701" w:right="311" w:hanging="360"/>
        <w:jc w:val="both"/>
        <w:rPr>
          <w:sz w:val="24"/>
        </w:rPr>
      </w:pPr>
      <w:r>
        <w:rPr>
          <w:b/>
          <w:spacing w:val="-4"/>
          <w:sz w:val="24"/>
        </w:rPr>
        <w:t>Etapa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0: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registró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impacto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+$341,920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MXN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derivado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maduración </w:t>
      </w:r>
      <w:r>
        <w:rPr>
          <w:sz w:val="24"/>
        </w:rPr>
        <w:t>y</w:t>
      </w:r>
      <w:r>
        <w:rPr>
          <w:spacing w:val="-22"/>
          <w:sz w:val="24"/>
        </w:rPr>
        <w:t> </w:t>
      </w:r>
      <w:r>
        <w:rPr>
          <w:sz w:val="24"/>
        </w:rPr>
        <w:t>robustecimiento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estrategia</w:t>
      </w:r>
      <w:r>
        <w:rPr>
          <w:spacing w:val="-21"/>
          <w:sz w:val="24"/>
        </w:rPr>
        <w:t> </w:t>
      </w:r>
      <w:r>
        <w:rPr>
          <w:sz w:val="24"/>
        </w:rPr>
        <w:t>comercial</w:t>
      </w:r>
      <w:r>
        <w:rPr>
          <w:spacing w:val="-25"/>
          <w:sz w:val="24"/>
        </w:rPr>
        <w:t> </w:t>
      </w:r>
      <w:r>
        <w:rPr>
          <w:sz w:val="24"/>
        </w:rPr>
        <w:t>inicial.</w:t>
      </w:r>
    </w:p>
    <w:p>
      <w:pPr>
        <w:pStyle w:val="ListParagraph"/>
        <w:numPr>
          <w:ilvl w:val="0"/>
          <w:numId w:val="1"/>
        </w:numPr>
        <w:tabs>
          <w:tab w:pos="1701" w:val="left" w:leader="none"/>
        </w:tabs>
        <w:spacing w:line="271" w:lineRule="auto" w:before="0" w:after="0"/>
        <w:ind w:left="1701" w:right="306" w:hanging="360"/>
        <w:jc w:val="both"/>
        <w:rPr>
          <w:sz w:val="24"/>
        </w:rPr>
      </w:pPr>
      <w:r>
        <w:rPr>
          <w:b/>
          <w:sz w:val="24"/>
        </w:rPr>
        <w:t>Etapa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6"/>
          <w:sz w:val="24"/>
        </w:rPr>
        <w:t> </w:t>
      </w:r>
      <w:r>
        <w:rPr>
          <w:sz w:val="24"/>
        </w:rPr>
        <w:t>Representa</w:t>
      </w:r>
      <w:r>
        <w:rPr>
          <w:spacing w:val="-17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mayor</w:t>
      </w:r>
      <w:r>
        <w:rPr>
          <w:spacing w:val="-15"/>
          <w:sz w:val="24"/>
        </w:rPr>
        <w:t> </w:t>
      </w:r>
      <w:r>
        <w:rPr>
          <w:sz w:val="24"/>
        </w:rPr>
        <w:t>volumen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desviación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7"/>
          <w:sz w:val="24"/>
        </w:rPr>
        <w:t> </w:t>
      </w:r>
      <w:r>
        <w:rPr>
          <w:sz w:val="24"/>
        </w:rPr>
        <w:t>+$2,388,000</w:t>
      </w:r>
      <w:r>
        <w:rPr>
          <w:spacing w:val="-18"/>
          <w:sz w:val="24"/>
        </w:rPr>
        <w:t> </w:t>
      </w:r>
      <w:r>
        <w:rPr>
          <w:sz w:val="24"/>
        </w:rPr>
        <w:t>MXN, </w:t>
      </w:r>
      <w:r>
        <w:rPr>
          <w:spacing w:val="-4"/>
          <w:sz w:val="24"/>
        </w:rPr>
        <w:t>originado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descomposición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tareas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técnicas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modulares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integración </w:t>
      </w:r>
      <w:r>
        <w:rPr>
          <w:sz w:val="24"/>
        </w:rPr>
        <w:t>especializada de servicios de Inteligencia Artificial dedicados a la automatización de la documentación, lo que elevó los requerimientos de desarrollo</w:t>
      </w:r>
      <w:r>
        <w:rPr>
          <w:spacing w:val="-25"/>
          <w:sz w:val="24"/>
        </w:rPr>
        <w:t> </w:t>
      </w:r>
      <w:r>
        <w:rPr>
          <w:sz w:val="24"/>
        </w:rPr>
        <w:t>técnico</w:t>
      </w:r>
      <w:r>
        <w:rPr>
          <w:spacing w:val="-21"/>
          <w:sz w:val="24"/>
        </w:rPr>
        <w:t> </w:t>
      </w:r>
      <w:r>
        <w:rPr>
          <w:sz w:val="24"/>
        </w:rPr>
        <w:t>frente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estimación</w:t>
      </w:r>
      <w:r>
        <w:rPr>
          <w:spacing w:val="-25"/>
          <w:sz w:val="24"/>
        </w:rPr>
        <w:t> </w:t>
      </w:r>
      <w:r>
        <w:rPr>
          <w:sz w:val="24"/>
        </w:rPr>
        <w:t>global</w:t>
      </w:r>
      <w:r>
        <w:rPr>
          <w:spacing w:val="-26"/>
          <w:sz w:val="24"/>
        </w:rPr>
        <w:t> </w:t>
      </w:r>
      <w:r>
        <w:rPr>
          <w:sz w:val="24"/>
        </w:rPr>
        <w:t>previa.</w:t>
      </w:r>
    </w:p>
    <w:p>
      <w:pPr>
        <w:pStyle w:val="ListParagraph"/>
        <w:numPr>
          <w:ilvl w:val="0"/>
          <w:numId w:val="1"/>
        </w:numPr>
        <w:tabs>
          <w:tab w:pos="1701" w:val="left" w:leader="none"/>
        </w:tabs>
        <w:spacing w:line="273" w:lineRule="auto" w:before="0" w:after="0"/>
        <w:ind w:left="1701" w:right="305" w:hanging="360"/>
        <w:jc w:val="both"/>
        <w:rPr>
          <w:sz w:val="24"/>
        </w:rPr>
      </w:pPr>
      <w:r>
        <w:rPr>
          <w:b/>
          <w:sz w:val="24"/>
        </w:rPr>
        <w:t>Etapa 3: </w:t>
      </w:r>
      <w:r>
        <w:rPr>
          <w:sz w:val="24"/>
        </w:rPr>
        <w:t>Generó un desfase de +$181,500 MXN derivado del despliegue logístico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monitoreo</w:t>
      </w:r>
      <w:r>
        <w:rPr>
          <w:spacing w:val="-13"/>
          <w:sz w:val="24"/>
        </w:rPr>
        <w:t> </w:t>
      </w:r>
      <w:r>
        <w:rPr>
          <w:sz w:val="24"/>
        </w:rPr>
        <w:t>post-lanzamiento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soporte</w:t>
      </w:r>
      <w:r>
        <w:rPr>
          <w:spacing w:val="-17"/>
          <w:sz w:val="24"/>
        </w:rPr>
        <w:t> </w:t>
      </w:r>
      <w:r>
        <w:rPr>
          <w:sz w:val="24"/>
        </w:rPr>
        <w:t>técnico</w:t>
      </w:r>
      <w:r>
        <w:rPr>
          <w:spacing w:val="-14"/>
          <w:sz w:val="24"/>
        </w:rPr>
        <w:t> </w:t>
      </w:r>
      <w:r>
        <w:rPr>
          <w:sz w:val="24"/>
        </w:rPr>
        <w:t>temprano brindado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entornos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13"/>
          <w:sz w:val="24"/>
        </w:rPr>
        <w:t> </w:t>
      </w:r>
      <w:r>
        <w:rPr>
          <w:sz w:val="24"/>
        </w:rPr>
        <w:t>agencias</w:t>
      </w:r>
      <w:r>
        <w:rPr>
          <w:spacing w:val="-7"/>
          <w:sz w:val="24"/>
        </w:rPr>
        <w:t> </w:t>
      </w:r>
      <w:r>
        <w:rPr>
          <w:sz w:val="24"/>
        </w:rPr>
        <w:t>piloto.</w:t>
      </w:r>
    </w:p>
    <w:p>
      <w:pPr>
        <w:pStyle w:val="BodyText"/>
        <w:spacing w:line="273" w:lineRule="auto" w:before="155"/>
        <w:ind w:left="980" w:right="302"/>
        <w:jc w:val="both"/>
      </w:pPr>
      <w:r>
        <w:rPr>
          <w:b/>
        </w:rPr>
        <w:t>Sustentabilidad y Viabilidad del Proyecto: </w:t>
      </w:r>
      <w:r>
        <w:rPr/>
        <w:t>A pesar de la variación del +29.13% </w:t>
      </w:r>
      <w:r>
        <w:rPr>
          <w:spacing w:val="-8"/>
        </w:rPr>
        <w:t>observada</w:t>
      </w:r>
      <w:r>
        <w:rPr>
          <w:spacing w:val="-11"/>
        </w:rPr>
        <w:t> </w:t>
      </w:r>
      <w:r>
        <w:rPr>
          <w:spacing w:val="-8"/>
        </w:rPr>
        <w:t>al comparar el</w:t>
      </w:r>
      <w:r>
        <w:rPr>
          <w:spacing w:val="-3"/>
        </w:rPr>
        <w:t> </w:t>
      </w:r>
      <w:r>
        <w:rPr>
          <w:spacing w:val="-8"/>
        </w:rPr>
        <w:t>costo</w:t>
      </w:r>
      <w:r>
        <w:rPr>
          <w:spacing w:val="-3"/>
        </w:rPr>
        <w:t> </w:t>
      </w:r>
      <w:r>
        <w:rPr>
          <w:spacing w:val="-8"/>
        </w:rPr>
        <w:t>real</w:t>
      </w:r>
      <w:r>
        <w:rPr>
          <w:spacing w:val="-11"/>
        </w:rPr>
        <w:t> </w:t>
      </w:r>
      <w:r>
        <w:rPr>
          <w:spacing w:val="-8"/>
        </w:rPr>
        <w:t>frente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línea</w:t>
      </w:r>
      <w:r>
        <w:rPr>
          <w:spacing w:val="-3"/>
        </w:rPr>
        <w:t> </w:t>
      </w:r>
      <w:r>
        <w:rPr>
          <w:spacing w:val="-8"/>
        </w:rPr>
        <w:t>base</w:t>
      </w:r>
      <w:r>
        <w:rPr>
          <w:spacing w:val="-9"/>
        </w:rPr>
        <w:t> </w:t>
      </w:r>
      <w:r>
        <w:rPr>
          <w:spacing w:val="-8"/>
        </w:rPr>
        <w:t>del</w:t>
      </w:r>
      <w:r>
        <w:rPr>
          <w:spacing w:val="-3"/>
        </w:rPr>
        <w:t> </w:t>
      </w:r>
      <w:r>
        <w:rPr>
          <w:spacing w:val="-8"/>
        </w:rPr>
        <w:t>Plan</w:t>
      </w:r>
      <w:r>
        <w:rPr>
          <w:spacing w:val="-3"/>
        </w:rPr>
        <w:t> </w:t>
      </w:r>
      <w:r>
        <w:rPr>
          <w:spacing w:val="-8"/>
        </w:rPr>
        <w:t>General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9"/>
        </w:rPr>
        <w:t> </w:t>
      </w:r>
      <w:r>
        <w:rPr>
          <w:spacing w:val="-8"/>
        </w:rPr>
        <w:t>Trabajo,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salud</w:t>
      </w:r>
      <w:r>
        <w:rPr>
          <w:spacing w:val="-16"/>
        </w:rPr>
        <w:t> </w:t>
      </w:r>
      <w:r>
        <w:rPr>
          <w:spacing w:val="-2"/>
        </w:rPr>
        <w:t>financiera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Testify</w:t>
      </w:r>
      <w:r>
        <w:rPr>
          <w:spacing w:val="-16"/>
        </w:rPr>
        <w:t> </w:t>
      </w:r>
      <w:r>
        <w:rPr>
          <w:spacing w:val="-2"/>
        </w:rPr>
        <w:t>está</w:t>
      </w:r>
      <w:r>
        <w:rPr>
          <w:spacing w:val="-16"/>
        </w:rPr>
        <w:t> </w:t>
      </w:r>
      <w:r>
        <w:rPr>
          <w:spacing w:val="-2"/>
        </w:rPr>
        <w:t>plenamente</w:t>
      </w:r>
      <w:r>
        <w:rPr>
          <w:spacing w:val="-16"/>
        </w:rPr>
        <w:t> </w:t>
      </w:r>
      <w:r>
        <w:rPr>
          <w:spacing w:val="-2"/>
        </w:rPr>
        <w:t>respaldada.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6"/>
        </w:rPr>
        <w:t> </w:t>
      </w:r>
      <w:r>
        <w:rPr>
          <w:spacing w:val="-2"/>
        </w:rPr>
        <w:t>costo</w:t>
      </w:r>
      <w:r>
        <w:rPr>
          <w:spacing w:val="-16"/>
        </w:rPr>
        <w:t> </w:t>
      </w:r>
      <w:r>
        <w:rPr>
          <w:spacing w:val="-2"/>
        </w:rPr>
        <w:t>real</w:t>
      </w:r>
      <w:r>
        <w:rPr>
          <w:spacing w:val="-16"/>
        </w:rPr>
        <w:t> </w:t>
      </w:r>
      <w:r>
        <w:rPr>
          <w:spacing w:val="-2"/>
        </w:rPr>
        <w:t>consolidado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$12,903,760</w:t>
      </w:r>
      <w:r>
        <w:rPr>
          <w:spacing w:val="-14"/>
        </w:rPr>
        <w:t> </w:t>
      </w:r>
      <w:r>
        <w:rPr>
          <w:spacing w:val="-4"/>
        </w:rPr>
        <w:t>MXN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4"/>
        </w:rPr>
        <w:t> </w:t>
      </w:r>
      <w:r>
        <w:rPr>
          <w:spacing w:val="-4"/>
        </w:rPr>
        <w:t>mantuvo</w:t>
      </w:r>
      <w:r>
        <w:rPr>
          <w:spacing w:val="-14"/>
        </w:rPr>
        <w:t> </w:t>
      </w:r>
      <w:r>
        <w:rPr>
          <w:spacing w:val="-4"/>
        </w:rPr>
        <w:t>firmemente</w:t>
      </w:r>
      <w:r>
        <w:rPr>
          <w:spacing w:val="-14"/>
        </w:rPr>
        <w:t> </w:t>
      </w:r>
      <w:r>
        <w:rPr>
          <w:spacing w:val="-4"/>
        </w:rPr>
        <w:t>por</w:t>
      </w:r>
      <w:r>
        <w:rPr>
          <w:spacing w:val="-14"/>
        </w:rPr>
        <w:t> </w:t>
      </w:r>
      <w:r>
        <w:rPr>
          <w:spacing w:val="-4"/>
        </w:rPr>
        <w:t>debajo</w:t>
      </w:r>
      <w:r>
        <w:rPr>
          <w:spacing w:val="-14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Presupuesto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Proyecto </w:t>
      </w:r>
      <w:r>
        <w:rPr/>
        <w:t>global de $14,462,590 MXN que fue autorizado formalmente en el Acta de </w:t>
      </w:r>
      <w:r>
        <w:rPr>
          <w:spacing w:val="-4"/>
        </w:rPr>
        <w:t>Constitución.</w:t>
      </w:r>
      <w:r>
        <w:rPr>
          <w:spacing w:val="-15"/>
        </w:rPr>
        <w:t> </w:t>
      </w:r>
      <w:r>
        <w:rPr>
          <w:spacing w:val="-4"/>
        </w:rPr>
        <w:t>Esta</w:t>
      </w:r>
      <w:r>
        <w:rPr>
          <w:spacing w:val="-14"/>
        </w:rPr>
        <w:t> </w:t>
      </w:r>
      <w:r>
        <w:rPr>
          <w:spacing w:val="-4"/>
        </w:rPr>
        <w:t>contención</w:t>
      </w:r>
      <w:r>
        <w:rPr>
          <w:spacing w:val="-12"/>
        </w:rPr>
        <w:t> </w:t>
      </w:r>
      <w:r>
        <w:rPr>
          <w:spacing w:val="-4"/>
        </w:rPr>
        <w:t>técnica</w:t>
      </w:r>
      <w:r>
        <w:rPr>
          <w:spacing w:val="-13"/>
        </w:rPr>
        <w:t> </w:t>
      </w:r>
      <w:r>
        <w:rPr>
          <w:spacing w:val="-4"/>
        </w:rPr>
        <w:t>generó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5"/>
        </w:rPr>
        <w:t> </w:t>
      </w:r>
      <w:r>
        <w:rPr>
          <w:spacing w:val="-4"/>
        </w:rPr>
        <w:t>margen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favor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b/>
          <w:spacing w:val="-4"/>
        </w:rPr>
        <w:t>$1,558,830</w:t>
      </w:r>
      <w:r>
        <w:rPr>
          <w:b/>
          <w:spacing w:val="-13"/>
        </w:rPr>
        <w:t> </w:t>
      </w:r>
      <w:r>
        <w:rPr>
          <w:b/>
          <w:spacing w:val="-4"/>
        </w:rPr>
        <w:t>MXN </w:t>
      </w:r>
      <w:r>
        <w:rPr/>
        <w:t>en</w:t>
      </w:r>
      <w:r>
        <w:rPr>
          <w:spacing w:val="-6"/>
        </w:rPr>
        <w:t> </w:t>
      </w:r>
      <w:r>
        <w:rPr/>
        <w:t>eficiencias</w:t>
      </w:r>
      <w:r>
        <w:rPr>
          <w:spacing w:val="-9"/>
        </w:rPr>
        <w:t> </w:t>
      </w:r>
      <w:r>
        <w:rPr/>
        <w:t>presupuestales</w:t>
      </w:r>
      <w:r>
        <w:rPr>
          <w:spacing w:val="-9"/>
        </w:rPr>
        <w:t> </w:t>
      </w:r>
      <w:r>
        <w:rPr/>
        <w:t>no</w:t>
      </w:r>
      <w:r>
        <w:rPr>
          <w:spacing w:val="-6"/>
        </w:rPr>
        <w:t> </w:t>
      </w:r>
      <w:r>
        <w:rPr/>
        <w:t>ejercidas,</w:t>
      </w:r>
      <w:r>
        <w:rPr>
          <w:spacing w:val="-11"/>
        </w:rPr>
        <w:t> </w:t>
      </w:r>
      <w:r>
        <w:rPr/>
        <w:t>demostrando</w:t>
      </w:r>
      <w:r>
        <w:rPr>
          <w:spacing w:val="-9"/>
        </w:rPr>
        <w:t> </w:t>
      </w:r>
      <w:r>
        <w:rPr/>
        <w:t>que</w:t>
      </w:r>
      <w:r>
        <w:rPr>
          <w:spacing w:val="-13"/>
        </w:rPr>
        <w:t> </w:t>
      </w:r>
      <w:r>
        <w:rPr/>
        <w:t>la</w:t>
      </w:r>
      <w:r>
        <w:rPr>
          <w:spacing w:val="-10"/>
        </w:rPr>
        <w:t> </w:t>
      </w:r>
      <w:r>
        <w:rPr/>
        <w:t>administración</w:t>
      </w:r>
      <w:r>
        <w:rPr>
          <w:spacing w:val="-9"/>
        </w:rPr>
        <w:t> </w:t>
      </w:r>
      <w:r>
        <w:rPr/>
        <w:t>de recursos</w:t>
      </w:r>
      <w:r>
        <w:rPr>
          <w:spacing w:val="-6"/>
        </w:rPr>
        <w:t> </w:t>
      </w:r>
      <w:r>
        <w:rPr/>
        <w:t>absorbió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cambios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alcance</w:t>
      </w:r>
      <w:r>
        <w:rPr>
          <w:spacing w:val="-5"/>
        </w:rPr>
        <w:t> </w:t>
      </w:r>
      <w:r>
        <w:rPr/>
        <w:t>operacionales</w:t>
      </w:r>
      <w:r>
        <w:rPr>
          <w:spacing w:val="-6"/>
        </w:rPr>
        <w:t> </w:t>
      </w:r>
      <w:r>
        <w:rPr/>
        <w:t>sin</w:t>
      </w:r>
      <w:r>
        <w:rPr>
          <w:spacing w:val="-6"/>
        </w:rPr>
        <w:t> </w:t>
      </w:r>
      <w:r>
        <w:rPr/>
        <w:t>comprometer</w:t>
      </w:r>
      <w:r>
        <w:rPr>
          <w:spacing w:val="-4"/>
        </w:rPr>
        <w:t> </w:t>
      </w:r>
      <w:r>
        <w:rPr/>
        <w:t>el</w:t>
      </w:r>
      <w:r>
        <w:rPr>
          <w:spacing w:val="-11"/>
        </w:rPr>
        <w:t> </w:t>
      </w:r>
      <w:r>
        <w:rPr/>
        <w:t>techo </w:t>
      </w:r>
      <w:r>
        <w:rPr>
          <w:spacing w:val="-2"/>
        </w:rPr>
        <w:t>financiero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negocio</w:t>
      </w:r>
      <w:r>
        <w:rPr>
          <w:spacing w:val="-16"/>
        </w:rPr>
        <w:t> </w:t>
      </w:r>
      <w:r>
        <w:rPr>
          <w:spacing w:val="-2"/>
        </w:rPr>
        <w:t>ni</w:t>
      </w:r>
      <w:r>
        <w:rPr>
          <w:spacing w:val="-11"/>
        </w:rPr>
        <w:t> </w:t>
      </w:r>
      <w:r>
        <w:rPr>
          <w:spacing w:val="-2"/>
        </w:rPr>
        <w:t>requerir</w:t>
      </w:r>
      <w:r>
        <w:rPr>
          <w:spacing w:val="-20"/>
        </w:rPr>
        <w:t> </w:t>
      </w:r>
      <w:r>
        <w:rPr>
          <w:spacing w:val="-2"/>
        </w:rPr>
        <w:t>aportaciones</w:t>
      </w:r>
      <w:r>
        <w:rPr>
          <w:spacing w:val="-16"/>
        </w:rPr>
        <w:t> </w:t>
      </w:r>
      <w:r>
        <w:rPr>
          <w:spacing w:val="-2"/>
        </w:rPr>
        <w:t>adicionales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patrocinador.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297"/>
        <w:gridCol w:w="1861"/>
      </w:tblGrid>
      <w:tr>
        <w:trPr>
          <w:trHeight w:val="2000" w:hRule="atLeast"/>
        </w:trPr>
        <w:tc>
          <w:tcPr>
            <w:tcW w:w="2617" w:type="dxa"/>
          </w:tcPr>
          <w:p>
            <w:pPr>
              <w:pStyle w:val="TableParagraph"/>
              <w:spacing w:before="2"/>
              <w:ind w:left="0"/>
              <w:rPr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233" cy="67056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233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z w:val="24"/>
              </w:rPr>
              <w:t>costos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ET.4</w:t>
            </w:r>
          </w:p>
          <w:p>
            <w:pPr>
              <w:pStyle w:val="TableParagraph"/>
              <w:spacing w:line="288" w:lineRule="auto" w:before="36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</w:t>
            </w:r>
          </w:p>
          <w:p>
            <w:pPr>
              <w:pStyle w:val="TableParagraph"/>
              <w:spacing w:before="7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</w:p>
          <w:p>
            <w:pPr>
              <w:pStyle w:val="TableParagraph"/>
              <w:spacing w:line="330" w:lineRule="atLeast" w:before="5"/>
              <w:ind w:left="159" w:right="814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 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junio 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297" w:type="dxa"/>
          </w:tcPr>
          <w:p>
            <w:pPr>
              <w:pStyle w:val="TableParagraph"/>
              <w:spacing w:line="27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61" w:type="dxa"/>
          </w:tcPr>
          <w:p>
            <w:pPr>
              <w:pStyle w:val="TableParagraph"/>
              <w:spacing w:line="278" w:lineRule="exact"/>
              <w:ind w:left="1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1845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right="104"/>
              <w:rPr>
                <w:sz w:val="24"/>
              </w:rPr>
            </w:pPr>
            <w:r>
              <w:rPr>
                <w:sz w:val="24"/>
              </w:rPr>
              <w:t>Análisis unificado y </w:t>
            </w:r>
            <w:r>
              <w:rPr>
                <w:spacing w:val="-4"/>
                <w:sz w:val="24"/>
              </w:rPr>
              <w:t>validación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financiera </w:t>
            </w:r>
            <w:r>
              <w:rPr>
                <w:sz w:val="24"/>
              </w:rPr>
              <w:t>de las desviaciones presupuestales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Testify.</w:t>
            </w:r>
          </w:p>
        </w:tc>
        <w:tc>
          <w:tcPr>
            <w:tcW w:w="4297" w:type="dxa"/>
          </w:tcPr>
          <w:p>
            <w:pPr>
              <w:pStyle w:val="TableParagraph"/>
              <w:spacing w:line="290" w:lineRule="auto"/>
              <w:ind w:left="109" w:right="186"/>
              <w:rPr>
                <w:sz w:val="24"/>
              </w:rPr>
            </w:pPr>
            <w:r>
              <w:rPr>
                <w:sz w:val="24"/>
              </w:rPr>
              <w:t>El Director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Finanzas, Eduardo </w:t>
            </w:r>
            <w:r>
              <w:rPr>
                <w:spacing w:val="-2"/>
                <w:sz w:val="24"/>
              </w:rPr>
              <w:t>Carbajal,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presentó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balance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general </w:t>
            </w:r>
            <w:r>
              <w:rPr>
                <w:sz w:val="24"/>
              </w:rPr>
              <w:t>de costos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frente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líneas </w:t>
            </w:r>
            <w:r>
              <w:rPr>
                <w:spacing w:val="-4"/>
                <w:sz w:val="24"/>
              </w:rPr>
              <w:t>base.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acordó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aprobar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registro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sobre-costo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análisis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la</w:t>
            </w:r>
          </w:p>
        </w:tc>
        <w:tc>
          <w:tcPr>
            <w:tcW w:w="1861" w:type="dxa"/>
          </w:tcPr>
          <w:p>
            <w:pPr>
              <w:pStyle w:val="TableParagraph"/>
              <w:spacing w:before="248"/>
              <w:ind w:left="0"/>
              <w:rPr>
                <w:sz w:val="32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1</w:t>
            </w:r>
            <w:r>
              <w:rPr>
                <w:b/>
                <w:spacing w:val="-22"/>
                <w:w w:val="90"/>
                <w:sz w:val="32"/>
              </w:rPr>
              <w:t> </w:t>
            </w:r>
            <w:r>
              <w:rPr>
                <w:b/>
                <w:spacing w:val="-5"/>
                <w:w w:val="95"/>
                <w:sz w:val="32"/>
              </w:rPr>
              <w:t>día</w:t>
            </w:r>
          </w:p>
        </w:tc>
      </w:tr>
    </w:tbl>
    <w:p>
      <w:pPr>
        <w:pStyle w:val="TableParagraph"/>
        <w:spacing w:after="0"/>
        <w:jc w:val="center"/>
        <w:rPr>
          <w:b/>
          <w:sz w:val="32"/>
        </w:rPr>
        <w:sectPr>
          <w:pgSz w:w="12240" w:h="15840"/>
          <w:pgMar w:header="0" w:footer="1118" w:top="780" w:bottom="1300" w:left="720" w:right="144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15930368" id="docshape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297"/>
        <w:gridCol w:w="1861"/>
      </w:tblGrid>
      <w:tr>
        <w:trPr>
          <w:trHeight w:val="1845" w:hRule="atLeast"/>
        </w:trPr>
        <w:tc>
          <w:tcPr>
            <w:tcW w:w="261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297" w:type="dxa"/>
          </w:tcPr>
          <w:p>
            <w:pPr>
              <w:pStyle w:val="TableParagraph"/>
              <w:spacing w:line="290" w:lineRule="auto"/>
              <w:ind w:left="109" w:right="19"/>
              <w:rPr>
                <w:sz w:val="24"/>
              </w:rPr>
            </w:pPr>
            <w:r>
              <w:rPr>
                <w:sz w:val="24"/>
              </w:rPr>
              <w:t>desviación presupuestal,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ratificando 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costo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mantiene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por </w:t>
            </w:r>
            <w:r>
              <w:rPr>
                <w:spacing w:val="-6"/>
                <w:sz w:val="24"/>
              </w:rPr>
              <w:t>debajo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límite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máximo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proyecto, </w:t>
            </w:r>
            <w:r>
              <w:rPr>
                <w:sz w:val="24"/>
              </w:rPr>
              <w:t>lo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salud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financiera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Testify.</w:t>
            </w:r>
          </w:p>
        </w:tc>
        <w:tc>
          <w:tcPr>
            <w:tcW w:w="18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before="4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6"/>
        <w:rPr>
          <w:rFonts w:ascii="Lucida Sans Unicode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5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0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09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7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64" w:after="1"/>
        <w:rPr>
          <w:rFonts w:ascii="Lucida Sans Unicode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ind w:left="0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sectPr>
      <w:pgSz w:w="12240" w:h="15840"/>
      <w:pgMar w:header="0" w:footer="1118" w:top="780" w:bottom="1300" w:left="720" w:right="1440"/>
      <w:pgBorders w:offsetFrom="page">
        <w:top w:val="single" w:color="000000" w:space="29" w:sz="8"/>
        <w:left w:val="single" w:color="000000" w:space="29" w:sz="8"/>
        <w:bottom w:val="single" w:color="000000" w:space="28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49250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92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2G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2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200012pt;margin-top:725.079468pt;width:27.5pt;height:19.1pt;mso-position-horizontal-relative:page;mso-position-vertical-relative:page;z-index:-1593241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2G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2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7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3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977" w:right="483" w:hanging="90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980"/>
      <w:outlineLvl w:val="2"/>
    </w:pPr>
    <w:rPr>
      <w:rFonts w:ascii="Trebuchet MS" w:hAnsi="Trebuchet MS" w:eastAsia="Trebuchet MS" w:cs="Trebuchet MS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701" w:right="305" w:hanging="360"/>
      <w:jc w:val="both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2026-06-22T19:23:41Z</dcterms:created>
  <dcterms:modified xsi:type="dcterms:W3CDTF">2026-06-22T19:23:41Z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iLovePDF</vt:lpwstr>
  </property>
</Properties>
</file>