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p>
      <w:pPr>
        <w:pStyle w:val="Heading1"/>
      </w:pPr>
      <w:bookmarkStart w:id="21" w:name="задачи"/>
      <w:r>
        <w:t xml:space="preserve">Задачи</w:t>
      </w:r>
      <w:bookmarkEnd w:id="21"/>
    </w:p>
    <w:p>
      <w:pPr>
        <w:numPr>
          <w:numId w:val="1001"/>
          <w:ilvl w:val="0"/>
        </w:numPr>
      </w:pPr>
      <w:r>
        <w:t xml:space="preserve">Выполнить последовательно лабораторную работу по заданному алгоритму.</w:t>
      </w:r>
    </w:p>
    <w:p>
      <w:pPr>
        <w:numPr>
          <w:numId w:val="1001"/>
          <w:ilvl w:val="0"/>
        </w:numPr>
      </w:pPr>
      <w:r>
        <w:t xml:space="preserve">Ознакомиться с атрибутами и правами и заполнить таблицы из лабораторной.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Первым шагом я создала новую учетную запись guest и guest2, создала пароль для guest2 и добавила guest 2 в группу guest (рис 1.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4012733"/>
            <wp:effectExtent b="0" l="0" r="0" t="0"/>
            <wp:docPr descr="Создание учетной записи guest2, добавление в групп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учетной записи guest2, добавление в группу</w:t>
      </w:r>
    </w:p>
    <w:p>
      <w:pPr>
        <w:pStyle w:val="BodyText"/>
      </w:pPr>
      <w:r>
        <w:t xml:space="preserve">Далее вошла через две вкладки терминала в эти учетные записи (рис 2.</w:t>
      </w:r>
      <w:r>
        <w:t xml:space="preserve"> </w:t>
      </w:r>
      <w:r>
        <w:t xml:space="preserve">@fig:002</w:t>
      </w:r>
      <w:r>
        <w:t xml:space="preserve">) (рис 3.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4038600" cy="241300"/>
            <wp:effectExtent b="0" l="0" r="0" t="0"/>
            <wp:docPr descr="Учетная запись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Учетная запись guest</w:t>
      </w:r>
    </w:p>
    <w:p>
      <w:pPr>
        <w:pStyle w:val="CaptionedFigure"/>
      </w:pPr>
      <w:bookmarkStart w:id="28" w:name="fig:003"/>
      <w:r>
        <w:drawing>
          <wp:inline>
            <wp:extent cx="4419600" cy="749300"/>
            <wp:effectExtent b="0" l="0" r="0" t="0"/>
            <wp:docPr descr="Учетная запись guest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Учетная запись guest2</w:t>
      </w:r>
    </w:p>
    <w:p>
      <w:pPr>
        <w:pStyle w:val="BodyText"/>
      </w:pPr>
      <w:r>
        <w:t xml:space="preserve">Определила командами groups guest и groups guest2, в какие группы входят пользователи guest и guest2. Сравнила вывод команды groups с выводом команд id -Gn и id -G.(рис 4.</w:t>
      </w:r>
      <w:r>
        <w:t xml:space="preserve"> </w:t>
      </w:r>
      <w:r>
        <w:t xml:space="preserve">@fig:004</w:t>
      </w:r>
      <w:r>
        <w:t xml:space="preserve">)(рис 5.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334000" cy="1483753"/>
            <wp:effectExtent b="0" l="0" r="0" t="0"/>
            <wp:docPr descr="Выполнение команд для сравнения guest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Выполнение команд для сравнения guest2</w:t>
      </w:r>
    </w:p>
    <w:p>
      <w:pPr>
        <w:pStyle w:val="CaptionedFigure"/>
      </w:pPr>
      <w:bookmarkStart w:id="32" w:name="fig:005"/>
      <w:r>
        <w:drawing>
          <wp:inline>
            <wp:extent cx="4216400" cy="2578100"/>
            <wp:effectExtent b="0" l="0" r="0" t="0"/>
            <wp:docPr descr="Выполнение команд для сравнения gues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Выполнение команд для сравнения guest</w:t>
      </w:r>
    </w:p>
    <w:p>
      <w:pPr>
        <w:pStyle w:val="BodyText"/>
      </w:pPr>
      <w:r>
        <w:t xml:space="preserve">От имени пользователя guest изменила права директории /home/guest, разрешив все действия для пользователей группы. От имени пользователя guest сняла с директории /home/guest/dir1 все атрибуты (рис 6.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2689132"/>
            <wp:effectExtent b="0" l="0" r="0" t="0"/>
            <wp:docPr descr="Изменения прав директори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Изменения прав директории</w:t>
      </w:r>
    </w:p>
    <w:p>
      <w:pPr>
        <w:pStyle w:val="BodyText"/>
      </w:pPr>
      <w:r>
        <w:t xml:space="preserve">Далее я составила таблицы в которых заполнила какие действия возможны при определенных правах на файл/директорию (таб. 1).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.0"/>
        <w:tblLook w:firstRow="1"/>
        <w:tblCaption w:val="Установленные права и разрешённые действия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Далее создала таблицу, в которой обозначила минимальные права на действие (таб.2)</w:t>
      </w:r>
    </w:p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pct" w:w="0.0"/>
        <w:tblLook w:firstRow="1"/>
        <w:tblCaption w:val="Минимальные права для совершения операций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p>
            <w:pPr>
              <w:pStyle w:val="Compact"/>
              <w:jc w:val="left"/>
            </w:pPr>
            <w:r>
              <w:t xml:space="preserve">(r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p>
            <w:pPr>
              <w:pStyle w:val="Compact"/>
              <w:jc w:val="left"/>
            </w:pPr>
            <w:r>
              <w:t xml:space="preserve">(- w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 w x / r-x)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</w:tbl>
    <w:p>
      <w:pPr>
        <w:pStyle w:val="Heading1"/>
      </w:pPr>
      <w:bookmarkStart w:id="35" w:name="выводы"/>
      <w:r>
        <w:t xml:space="preserve">Выводы</w:t>
      </w:r>
      <w:bookmarkEnd w:id="35"/>
    </w:p>
    <w:p>
      <w:pPr>
        <w:pStyle w:val="FirstParagraph"/>
      </w:pPr>
      <w:r>
        <w:t xml:space="preserve">При выполнении данной лабораторной работы я получила практические навыки работы в консоли с атрибутами файлов для групп пользователей.</w:t>
      </w:r>
    </w:p>
    <w:p>
      <w:pPr>
        <w:pStyle w:val="Heading1"/>
      </w:pPr>
      <w:bookmarkStart w:id="36" w:name="библиография"/>
      <w:r>
        <w:t xml:space="preserve">Библиография</w:t>
      </w:r>
      <w:bookmarkEnd w:id="36"/>
    </w:p>
    <w:p>
      <w:pPr>
        <w:pStyle w:val="Compact"/>
        <w:numPr>
          <w:numId w:val="1002"/>
          <w:ilvl w:val="0"/>
        </w:numPr>
      </w:pPr>
      <w:r>
        <w:t xml:space="preserve">Кулябов Д. С., Королькова А. В., Геворкян М. Н. Информационная безопасность компьютерных сетей. Лабораторная работа № 3. Дискреционное разграничение прав в Linux. Два пользователя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</dc:title>
  <dc:creator>Силкина Мария Александровна</dc:creator>
  <cp:keywords/>
  <dcterms:created xsi:type="dcterms:W3CDTF">2021-10-16T06:25:39Z</dcterms:created>
  <dcterms:modified xsi:type="dcterms:W3CDTF">2021-10-16T06:25:39Z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