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##Теоретическая справка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</w:t>
      </w:r>
    </w:p>
    <w:bookmarkStart w:id="26" w:name="выполнение-задач"/>
    <w:p>
      <w:pPr>
        <w:pStyle w:val="Heading2"/>
      </w:pPr>
      <w:r>
        <w:t xml:space="preserve">Выполнение задач</w:t>
      </w:r>
    </w:p>
    <w:p>
      <w:pPr>
        <w:pStyle w:val="FirstParagraph"/>
      </w:pPr>
      <w:r>
        <w:t xml:space="preserve">Первым шагом написала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, который был задан по условию. В выводе я получила наш изначальный текст, его вид в шестнадцатеричной системе, рандомный ключ и зашифрованный текст. (рис -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852889"/>
            <wp:effectExtent b="0" l="0" r="0" t="0"/>
            <wp:docPr descr="Функция, шифрующая данные и ее выполн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 и ее выполнение</w:t>
      </w:r>
    </w:p>
    <w:p>
      <w:pPr>
        <w:pStyle w:val="BodyText"/>
      </w:pPr>
      <w:r>
        <w:t xml:space="preserve">Далее я создала функцию для дешифрования,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(рис -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256392"/>
            <wp:effectExtent b="0" l="0" r="0" t="0"/>
            <wp:docPr descr="Функция, дешифрующая данные и ее выполн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Функция, дешифрующая данные и ее выполнение</w:t>
      </w:r>
    </w:p>
    <w:p>
      <w:pPr>
        <w:pStyle w:val="BodyText"/>
      </w:pPr>
      <w:r>
        <w:t xml:space="preserve">##Контрольные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Однократное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однократное гаммирование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FirstParagraph"/>
      </w:pPr>
      <w:r>
        <w:t xml:space="preserve">Недостаток однократного гаммирования:</w:t>
      </w:r>
    </w:p>
    <w:p>
      <w:pPr>
        <w:numPr>
          <w:ilvl w:val="0"/>
          <w:numId w:val="1003"/>
        </w:numPr>
        <w:pStyle w:val="Compact"/>
      </w:pP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</w:t>
      </w:r>
    </w:p>
    <w:p>
      <w:pPr>
        <w:numPr>
          <w:ilvl w:val="0"/>
          <w:numId w:val="1005"/>
        </w:numPr>
      </w:pPr>
      <w:r>
        <w:t xml:space="preserve">Такой способ симметричен, то есть двойное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5"/>
        </w:numPr>
      </w:pPr>
      <w:r>
        <w:t xml:space="preserve">Шифрование и расшифрование может быть выполнено одной и той же программой.</w:t>
      </w:r>
    </w:p>
    <w:p>
      <w:pPr>
        <w:numPr>
          <w:ilvl w:val="0"/>
          <w:numId w:val="1005"/>
        </w:numPr>
      </w:pPr>
      <w:r>
        <w:t xml:space="preserve">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6"/>
        </w:numPr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</w:p>
    <w:p>
      <w:pPr>
        <w:numPr>
          <w:ilvl w:val="0"/>
          <w:numId w:val="1006"/>
        </w:numPr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6"/>
        </w:numPr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6"/>
        </w:numPr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6"/>
        </w:numPr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использования однократного гаммирования для шифрования и дешифрования данных.</w:t>
      </w:r>
      <w:r>
        <w:t xml:space="preserve"> </w:t>
      </w:r>
      <w:r>
        <w:t xml:space="preserve"># Библиография</w:t>
      </w:r>
    </w:p>
    <w:p>
      <w:pPr>
        <w:numPr>
          <w:ilvl w:val="0"/>
          <w:numId w:val="1007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5. Дискреционное</w:t>
      </w:r>
      <w:r>
        <w:t xml:space="preserve"> </w:t>
      </w:r>
      <w:r>
        <w:t xml:space="preserve">разграничение прав в Linux. Исследование влияния дополнительных атрибутов.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Силкина Мария Александровна</dc:creator>
  <cp:keywords/>
  <dcterms:created xsi:type="dcterms:W3CDTF">2021-12-09T19:51:05Z</dcterms:created>
  <dcterms:modified xsi:type="dcterms:W3CDTF">2021-12-09T19:51:05Z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