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2E5F9E"/>
          <w:sz w:val="24"/>
        </w:rPr>
        <w:t>DOCUMENTO 3 DE 5 · EL MOTOR DE TRACCIÓN (DINÁMICO)</w:t>
      </w:r>
    </w:p>
    <w:p>
      <w:pPr>
        <w:jc w:val="center"/>
      </w:pPr>
      <w:r>
        <w:rPr>
          <w:rFonts w:ascii="Arial" w:hAnsi="Arial"/>
          <w:b/>
          <w:color w:val="1B3A6B"/>
          <w:sz w:val="60"/>
        </w:rPr>
        <w:t>Aegis Commercial Playbook</w:t>
      </w:r>
    </w:p>
    <w:p>
      <w:pPr>
        <w:jc w:val="center"/>
      </w:pPr>
      <w:r>
        <w:rPr>
          <w:i/>
          <w:color w:val="4A4A4A"/>
          <w:sz w:val="28"/>
        </w:rPr>
        <w:t>Manual Táctico y Dinámico de Tracción Comercial</w:t>
      </w:r>
    </w:p>
    <w:p>
      <w:pPr>
        <w:pBdr>
          <w:bottom w:val="single" w:sz="10" w:space="1" w:color="2E5F9E"/>
        </w:pBdr>
        <w:spacing w:before="0" w:after="0"/>
      </w:pPr>
    </w:p>
    <w:p>
      <w:pPr>
        <w:jc w:val="center"/>
      </w:pPr>
      <w:r>
        <w:rPr>
          <w:b w:val="0"/>
          <w:i w:val="0"/>
          <w:sz w:val="22"/>
        </w:rPr>
        <w:t>Objetivos de Tracción · Motores Estratégicos · Estándar Precio/Cobertura · Ideación · Go-To-Market de Comunidades · Precedente Studio III · Delivery · Tablero</w:t>
      </w:r>
    </w:p>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POSICIÓN EN LA ARQUITECTURA AEGIS</w:t>
            </w:r>
          </w:p>
          <w:p>
            <w:pPr>
              <w:spacing w:before="60" w:after="0"/>
            </w:pPr>
            <w:r>
              <w:rPr>
                <w:rFonts w:ascii="Arial" w:hAnsi="Arial"/>
                <w:sz w:val="20"/>
              </w:rPr>
              <w:t>Tercer motor del ecosistema Aegis Pentacore y primer documento de la tríada dinámica. Es el manual operativo para generar e implementar líneas de negocio rentables y capturar flujo de caja, usando la infraestructura y los límites definidos en el Corporate OS (Documento 2). Su ejecución técnica se especifica en el Operational Plan (Documento 4) y su secuencia temporal en el Execution Roadmap (Documento 5). Es un documento vivo: las metas, los motores y las tácticas evolucionan; lo que no cambia es la máxima Precio/Cobertura y el respeto al marco inmutable.</w:t>
            </w:r>
          </w:p>
        </w:tc>
      </w:tr>
    </w:tbl>
    <w:p>
      <w:pPr>
        <w:spacing w:after="40"/>
      </w:pPr>
    </w:p>
    <w:p/>
    <w:p>
      <w:pPr>
        <w:jc w:val="center"/>
      </w:pPr>
      <w:r>
        <w:rPr>
          <w:b/>
          <w:i w:val="0"/>
          <w:color w:val="1B3A6B"/>
        </w:rPr>
        <w:t>SEGUROS AEGIS · Corredora de Seguros · Chile</w:t>
      </w:r>
    </w:p>
    <w:p>
      <w:pPr>
        <w:jc w:val="center"/>
      </w:pPr>
      <w:r>
        <w:rPr>
          <w:b w:val="0"/>
          <w:i w:val="0"/>
          <w:color w:val="4A4A4A"/>
          <w:sz w:val="20"/>
        </w:rPr>
        <w:t>Versión 1.2 · Pentacore · Mayo 2026</w:t>
      </w:r>
    </w:p>
    <w:p>
      <w:pPr>
        <w:jc w:val="center"/>
      </w:pPr>
      <w:r>
        <w:rPr>
          <w:b/>
          <w:i w:val="0"/>
          <w:color w:val="C0392B"/>
          <w:sz w:val="18"/>
        </w:rPr>
        <w:t>CONFIDENCIAL · Documento de uso interno exclusivo</w:t>
      </w:r>
    </w:p>
    <w:p>
      <w:r>
        <w:br w:type="page"/>
      </w:r>
    </w:p>
    <w:p>
      <w:pPr>
        <w:pStyle w:val="Heading1"/>
      </w:pPr>
      <w:r>
        <w:t>Índice de Contenidos</w:t>
      </w:r>
    </w:p>
    <w:p>
      <w:pPr>
        <w:spacing w:before="100" w:after="60"/>
      </w:pPr>
      <w:r>
        <w:rPr>
          <w:rFonts w:ascii="Arial" w:hAnsi="Arial"/>
          <w:b/>
          <w:color w:val="1B3A6B"/>
          <w:sz w:val="22"/>
        </w:rPr>
        <w:t>Cómo Usar Este Playbook</w:t>
      </w:r>
    </w:p>
    <w:p>
      <w:pPr>
        <w:spacing w:before="100" w:after="60"/>
      </w:pPr>
      <w:r>
        <w:rPr>
          <w:rFonts w:ascii="Arial" w:hAnsi="Arial"/>
          <w:b/>
          <w:color w:val="1B3A6B"/>
          <w:sz w:val="22"/>
        </w:rPr>
        <w:t>1. Objetivos Financieros de Tracción (Nuevo Norte)</w:t>
      </w:r>
    </w:p>
    <w:p>
      <w:pPr>
        <w:spacing w:before="0" w:after="60"/>
        <w:ind w:left="454"/>
      </w:pPr>
      <w:r>
        <w:rPr>
          <w:rFonts w:ascii="Arial" w:hAnsi="Arial"/>
          <w:color w:val="4A4A4A"/>
          <w:sz w:val="20"/>
        </w:rPr>
        <w:t>1.1 Las Dos Metas</w:t>
      </w:r>
    </w:p>
    <w:p>
      <w:pPr>
        <w:spacing w:before="0" w:after="60"/>
        <w:ind w:left="454"/>
      </w:pPr>
      <w:r>
        <w:rPr>
          <w:rFonts w:ascii="Arial" w:hAnsi="Arial"/>
          <w:color w:val="4A4A4A"/>
          <w:sz w:val="20"/>
        </w:rPr>
        <w:t>1.2 Trayectoria de Hitos (Recalibrada)</w:t>
      </w:r>
    </w:p>
    <w:p>
      <w:pPr>
        <w:spacing w:before="100" w:after="60"/>
      </w:pPr>
      <w:r>
        <w:rPr>
          <w:rFonts w:ascii="Arial" w:hAnsi="Arial"/>
          <w:b/>
          <w:color w:val="1B3A6B"/>
          <w:sz w:val="22"/>
        </w:rPr>
        <w:t>2. Motores de Negocio Estratégicos (Prioridades Reestructuradas)</w:t>
      </w:r>
    </w:p>
    <w:p>
      <w:pPr>
        <w:spacing w:before="0" w:after="60"/>
        <w:ind w:left="454"/>
      </w:pPr>
      <w:r>
        <w:rPr>
          <w:rFonts w:ascii="Arial" w:hAnsi="Arial"/>
          <w:color w:val="4A4A4A"/>
          <w:sz w:val="20"/>
        </w:rPr>
        <w:t>2.1 Motor Principal (Prioridad 1) — Motor de Comunidades</w:t>
      </w:r>
    </w:p>
    <w:p>
      <w:pPr>
        <w:spacing w:before="0" w:after="60"/>
        <w:ind w:left="454"/>
      </w:pPr>
      <w:r>
        <w:rPr>
          <w:rFonts w:ascii="Arial" w:hAnsi="Arial"/>
          <w:color w:val="4A4A4A"/>
          <w:sz w:val="20"/>
        </w:rPr>
        <w:t>2.2 Motor Secundario (Prioridad 2) — Convenios con Clubes</w:t>
      </w:r>
    </w:p>
    <w:p>
      <w:pPr>
        <w:spacing w:before="0" w:after="60"/>
        <w:ind w:left="454"/>
      </w:pPr>
      <w:r>
        <w:rPr>
          <w:rFonts w:ascii="Arial" w:hAnsi="Arial"/>
          <w:color w:val="4A4A4A"/>
          <w:sz w:val="20"/>
        </w:rPr>
        <w:t>2.3 Canales de Reserva (Escala Futura)</w:t>
      </w:r>
    </w:p>
    <w:p>
      <w:pPr>
        <w:spacing w:before="100" w:after="60"/>
      </w:pPr>
      <w:r>
        <w:rPr>
          <w:rFonts w:ascii="Arial" w:hAnsi="Arial"/>
          <w:b/>
          <w:color w:val="1B3A6B"/>
          <w:sz w:val="22"/>
        </w:rPr>
        <w:t>3. Directriz de Diseño de Productos (El Estándar de Oro)</w:t>
      </w:r>
    </w:p>
    <w:p>
      <w:pPr>
        <w:spacing w:before="0" w:after="60"/>
        <w:ind w:left="454"/>
      </w:pPr>
      <w:r>
        <w:rPr>
          <w:rFonts w:ascii="Arial" w:hAnsi="Arial"/>
          <w:color w:val="4A4A4A"/>
          <w:sz w:val="20"/>
        </w:rPr>
        <w:t>3.1 Portafolio Disponible para los Motores</w:t>
      </w:r>
    </w:p>
    <w:p>
      <w:pPr>
        <w:spacing w:before="100" w:after="60"/>
      </w:pPr>
      <w:r>
        <w:rPr>
          <w:rFonts w:ascii="Arial" w:hAnsi="Arial"/>
          <w:b/>
          <w:color w:val="1B3A6B"/>
          <w:sz w:val="22"/>
        </w:rPr>
        <w:t>4. Fase de Ideación y Descubrimiento</w:t>
      </w:r>
    </w:p>
    <w:p>
      <w:pPr>
        <w:spacing w:before="0" w:after="60"/>
        <w:ind w:left="454"/>
      </w:pPr>
      <w:r>
        <w:rPr>
          <w:rFonts w:ascii="Arial" w:hAnsi="Arial"/>
          <w:color w:val="4A4A4A"/>
          <w:sz w:val="20"/>
        </w:rPr>
        <w:t>4.1 Detección de Problemas (Discovery)</w:t>
      </w:r>
    </w:p>
    <w:p>
      <w:pPr>
        <w:spacing w:before="0" w:after="60"/>
        <w:ind w:left="454"/>
      </w:pPr>
      <w:r>
        <w:rPr>
          <w:rFonts w:ascii="Arial" w:hAnsi="Arial"/>
          <w:color w:val="4A4A4A"/>
          <w:sz w:val="20"/>
        </w:rPr>
        <w:t>4.2 Diseño de la Oferta de Valor</w:t>
      </w:r>
    </w:p>
    <w:p>
      <w:pPr>
        <w:spacing w:before="0" w:after="60"/>
        <w:ind w:left="454"/>
      </w:pPr>
      <w:r>
        <w:rPr>
          <w:rFonts w:ascii="Arial" w:hAnsi="Arial"/>
          <w:color w:val="4A4A4A"/>
          <w:sz w:val="20"/>
        </w:rPr>
        <w:t>4.3 Empaquetado Rápido de Soluciones</w:t>
      </w:r>
    </w:p>
    <w:p>
      <w:pPr>
        <w:spacing w:before="100" w:after="60"/>
      </w:pPr>
      <w:r>
        <w:rPr>
          <w:rFonts w:ascii="Arial" w:hAnsi="Arial"/>
          <w:b/>
          <w:color w:val="1B3A6B"/>
          <w:sz w:val="22"/>
        </w:rPr>
        <w:t>5. Fase de Validación y Go-To-Market para Comunidades</w:t>
      </w:r>
    </w:p>
    <w:p>
      <w:pPr>
        <w:spacing w:before="0" w:after="60"/>
        <w:ind w:left="454"/>
      </w:pPr>
      <w:r>
        <w:rPr>
          <w:rFonts w:ascii="Arial" w:hAnsi="Arial"/>
          <w:color w:val="4A4A4A"/>
          <w:sz w:val="20"/>
        </w:rPr>
        <w:t>5.1 Abordaje de los 40 Edificios Prioritarios</w:t>
      </w:r>
    </w:p>
    <w:p>
      <w:pPr>
        <w:spacing w:before="0" w:after="60"/>
        <w:ind w:left="454"/>
      </w:pPr>
      <w:r>
        <w:rPr>
          <w:rFonts w:ascii="Arial" w:hAnsi="Arial"/>
          <w:color w:val="4A4A4A"/>
          <w:sz w:val="20"/>
        </w:rPr>
        <w:t>5.2 MVP de Seguros para Comunidades</w:t>
      </w:r>
    </w:p>
    <w:p>
      <w:pPr>
        <w:spacing w:before="0" w:after="60"/>
        <w:ind w:left="454"/>
      </w:pPr>
      <w:r>
        <w:rPr>
          <w:rFonts w:ascii="Arial" w:hAnsi="Arial"/>
          <w:color w:val="4A4A4A"/>
          <w:sz w:val="20"/>
        </w:rPr>
        <w:t>5.3 Pricing Competitivo</w:t>
      </w:r>
    </w:p>
    <w:p>
      <w:pPr>
        <w:spacing w:before="0" w:after="60"/>
        <w:ind w:left="454"/>
      </w:pPr>
      <w:r>
        <w:rPr>
          <w:rFonts w:ascii="Arial" w:hAnsi="Arial"/>
          <w:color w:val="4A4A4A"/>
          <w:sz w:val="20"/>
        </w:rPr>
        <w:t>5.4 Canales de Adquisición y Embudo de Alta Conversión</w:t>
      </w:r>
    </w:p>
    <w:p>
      <w:pPr>
        <w:spacing w:before="0" w:after="60"/>
        <w:ind w:left="454"/>
      </w:pPr>
      <w:r>
        <w:rPr>
          <w:rFonts w:ascii="Arial" w:hAnsi="Arial"/>
          <w:color w:val="4A4A4A"/>
          <w:sz w:val="20"/>
        </w:rPr>
        <w:t>5.5 Precedente Studio III — Plantilla Oficial de Abordaje de Comunidades</w:t>
      </w:r>
    </w:p>
    <w:p>
      <w:pPr>
        <w:spacing w:before="100" w:after="60"/>
      </w:pPr>
      <w:r>
        <w:rPr>
          <w:rFonts w:ascii="Arial" w:hAnsi="Arial"/>
          <w:b/>
          <w:color w:val="1B3A6B"/>
          <w:sz w:val="22"/>
        </w:rPr>
        <w:t>6. Fase de Concreción y Operación (Delivery)</w:t>
      </w:r>
    </w:p>
    <w:p>
      <w:pPr>
        <w:spacing w:before="0" w:after="60"/>
        <w:ind w:left="454"/>
      </w:pPr>
      <w:r>
        <w:rPr>
          <w:rFonts w:ascii="Arial" w:hAnsi="Arial"/>
          <w:color w:val="4A4A4A"/>
          <w:sz w:val="20"/>
        </w:rPr>
        <w:t>6.1 Protocolo de Atención Post-Venta</w:t>
      </w:r>
    </w:p>
    <w:p>
      <w:pPr>
        <w:spacing w:before="0" w:after="60"/>
        <w:ind w:left="454"/>
      </w:pPr>
      <w:r>
        <w:rPr>
          <w:rFonts w:ascii="Arial" w:hAnsi="Arial"/>
          <w:color w:val="4A4A4A"/>
          <w:sz w:val="20"/>
        </w:rPr>
        <w:t>6.2 Flujos de Trabajo Internos</w:t>
      </w:r>
    </w:p>
    <w:p>
      <w:pPr>
        <w:spacing w:before="0" w:after="60"/>
        <w:ind w:left="454"/>
      </w:pPr>
      <w:r>
        <w:rPr>
          <w:rFonts w:ascii="Arial" w:hAnsi="Arial"/>
          <w:color w:val="4A4A4A"/>
          <w:sz w:val="20"/>
        </w:rPr>
        <w:t>6.3 Mitigación de Fricciones Operativas</w:t>
      </w:r>
    </w:p>
    <w:p>
      <w:pPr>
        <w:spacing w:before="0" w:after="60"/>
        <w:ind w:left="454"/>
      </w:pPr>
      <w:r>
        <w:rPr>
          <w:rFonts w:ascii="Arial" w:hAnsi="Arial"/>
          <w:color w:val="4A4A4A"/>
          <w:sz w:val="20"/>
        </w:rPr>
        <w:t>6.4 Motor de Promociones para Clientes (Cross-Selling Automatizado)</w:t>
      </w:r>
    </w:p>
    <w:p>
      <w:pPr>
        <w:spacing w:before="100" w:after="60"/>
      </w:pPr>
      <w:r>
        <w:rPr>
          <w:rFonts w:ascii="Arial" w:hAnsi="Arial"/>
          <w:b/>
          <w:color w:val="1B3A6B"/>
          <w:sz w:val="22"/>
        </w:rPr>
        <w:t>7. Tablero de Control de Tracción</w:t>
      </w:r>
    </w:p>
    <w:p>
      <w:pPr>
        <w:spacing w:before="0" w:after="60"/>
        <w:ind w:left="454"/>
      </w:pPr>
      <w:r>
        <w:rPr>
          <w:rFonts w:ascii="Arial" w:hAnsi="Arial"/>
          <w:color w:val="4A4A4A"/>
          <w:sz w:val="20"/>
        </w:rPr>
        <w:t>7.1 KPIs Comerciales Núcleo</w:t>
      </w:r>
    </w:p>
    <w:p>
      <w:pPr>
        <w:spacing w:before="0" w:after="60"/>
        <w:ind w:left="454"/>
      </w:pPr>
      <w:r>
        <w:rPr>
          <w:rFonts w:ascii="Arial" w:hAnsi="Arial"/>
          <w:color w:val="4A4A4A"/>
          <w:sz w:val="20"/>
        </w:rPr>
        <w:t>7.2 Métricas de Eficiencia del Embudo</w:t>
      </w:r>
    </w:p>
    <w:p>
      <w:pPr>
        <w:spacing w:before="0" w:after="60"/>
        <w:ind w:left="454"/>
      </w:pPr>
      <w:r>
        <w:rPr>
          <w:rFonts w:ascii="Arial" w:hAnsi="Arial"/>
          <w:color w:val="4A4A4A"/>
          <w:sz w:val="20"/>
        </w:rPr>
        <w:t>7.3 Tracking de Metas de Compañías (Promociones Corredor)</w:t>
      </w:r>
    </w:p>
    <w:p>
      <w:pPr>
        <w:spacing w:before="0" w:after="60"/>
        <w:ind w:left="454"/>
      </w:pPr>
      <w:r>
        <w:rPr>
          <w:rFonts w:ascii="Arial" w:hAnsi="Arial"/>
          <w:color w:val="4A4A4A"/>
          <w:sz w:val="20"/>
        </w:rPr>
        <w:t>7.4 Señales de Alerta y Acción</w:t>
      </w:r>
    </w:p>
    <w:p>
      <w:pPr>
        <w:spacing w:before="100" w:after="60"/>
      </w:pPr>
      <w:r>
        <w:rPr>
          <w:rFonts w:ascii="Arial" w:hAnsi="Arial"/>
          <w:b/>
          <w:color w:val="1B3A6B"/>
          <w:sz w:val="22"/>
        </w:rPr>
        <w:t>Control del Documento</w:t>
      </w:r>
    </w:p>
    <w:p>
      <w:r>
        <w:br w:type="page"/>
      </w:r>
    </w:p>
    <w:p>
      <w:pPr>
        <w:pStyle w:val="Heading1"/>
      </w:pPr>
      <w:r>
        <w:t>Cómo Usar Este Playbook</w:t>
      </w:r>
    </w:p>
    <w:p>
      <w:r>
        <w:rPr>
          <w:b w:val="0"/>
          <w:i w:val="0"/>
        </w:rPr>
        <w:t>El Commercial Playbook traduce el ADN de Aegis en flujo de caja. Opera siempre dentro de la frontera del Corporate OS: el marco legal, los roles, los activos técnicos y —sobre todo— la máxima Precio/Cobertura no son variables comerciales, son su límite. Toda táctica de este documento existe para hacer crecer una cartera rentable sin sacrificar jamás el interés del cliente.</w:t>
      </w:r>
    </w:p>
    <w:tbl>
      <w:tblPr>
        <w:tblStyle w:val="TableGrid"/>
        <w:tblW w:type="auto" w:w="0"/>
        <w:tblLook w:firstColumn="1" w:firstRow="1" w:lastColumn="0" w:lastRow="0" w:noHBand="0" w:noVBand="1" w:val="04A0"/>
      </w:tblPr>
      <w:tblGrid>
        <w:gridCol w:w="8640"/>
      </w:tblGrid>
      <w:tr>
        <w:tc>
          <w:tcPr>
            <w:tcW w:type="dxa" w:w="8640"/>
            <w:shd w:val="clear" w:color="auto" w:fill="EAF4EC"/>
            <w:tcMar>
              <w:top w:w="120" w:type="dxa"/>
              <w:left w:w="160" w:type="dxa"/>
              <w:bottom w:w="120" w:type="dxa"/>
              <w:right w:w="160" w:type="dxa"/>
            </w:tcMar>
          </w:tcPr>
          <w:p>
            <w:pPr>
              <w:spacing w:before="0" w:after="0"/>
            </w:pPr>
            <w:r>
              <w:rPr>
                <w:rFonts w:ascii="Arial" w:hAnsi="Arial"/>
                <w:b/>
                <w:color w:val="145A32"/>
                <w:sz w:val="21"/>
              </w:rPr>
              <w:t>🧭 EL NUEVO NORTE EN UNA FRASE</w:t>
            </w:r>
          </w:p>
          <w:p>
            <w:pPr>
              <w:spacing w:before="60" w:after="0"/>
            </w:pPr>
            <w:r>
              <w:rPr>
                <w:rFonts w:ascii="Arial" w:hAnsi="Arial"/>
                <w:sz w:val="20"/>
              </w:rPr>
              <w:t>Prioridad absoluta: llegar a 100 UF de comisión neta mensual en el menor tiempo posible. Horizonte de mediano plazo: 500 UF netas mensuales a 3 años. Punta de lanza: el Motor de Comunidades sobre una base inicial de ~40 edificios prioritarios.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TRÍADA DINÁMICA ACOPLADA</w:t>
            </w:r>
          </w:p>
          <w:p>
            <w:pPr>
              <w:spacing w:before="60" w:after="0"/>
            </w:pPr>
            <w:r>
              <w:rPr>
                <w:rFonts w:ascii="Arial" w:hAnsi="Arial"/>
                <w:sz w:val="20"/>
              </w:rPr>
              <w:t>Este Playbook es el origen del cambio en un circuito cerrado de tres documentos: cuando aquí se mueve una meta de UF o se repriorisa un motor (como el piloto Studio III), el Aegis Operational Plan adapta el software por extensión de sus schemas y el Aegis Execution Roadmap reordena las tareas en el tiempo. Los tres evolucionan juntos, pero se subordinan unidireccionalmente al Corporate OS: ninguna decisión comercial modifica jamás la Constitución.</w:t>
            </w:r>
          </w:p>
        </w:tc>
      </w:tr>
    </w:tbl>
    <w:p>
      <w:pPr>
        <w:spacing w:after="40"/>
      </w:pPr>
    </w:p>
    <w:p>
      <w:r>
        <w:br w:type="page"/>
      </w:r>
    </w:p>
    <w:p>
      <w:pPr>
        <w:pStyle w:val="Heading1"/>
      </w:pPr>
      <w:r>
        <w:t>1. Objetivos Financieros de Tracción (Nuevo Norte)</w:t>
      </w:r>
    </w:p>
    <w:p>
      <w:r>
        <w:rPr>
          <w:b w:val="0"/>
          <w:i w:val="0"/>
        </w:rPr>
        <w:t>El plan de crecimiento de Aegis se reordena en torno a dos metas claras y secuenciales, medidas en comisión neta mensual expresada en UF.</w:t>
      </w:r>
    </w:p>
    <w:p>
      <w:pPr>
        <w:pStyle w:val="Heading2"/>
      </w:pPr>
      <w:r>
        <w:t>1.1 Las Dos Metas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41"/>
            <w:shd w:val="clear" w:color="auto" w:fill="1B3A6B"/>
            <w:tcMar>
              <w:top w:w="60" w:type="dxa"/>
              <w:left w:w="110" w:type="dxa"/>
              <w:bottom w:w="60" w:type="dxa"/>
              <w:right w:w="110" w:type="dxa"/>
            </w:tcMar>
          </w:tcPr>
          <w:p>
            <w:pPr>
              <w:spacing w:before="0" w:after="0"/>
            </w:pPr>
            <w:r>
              <w:rPr>
                <w:rFonts w:ascii="Arial" w:hAnsi="Arial"/>
                <w:b/>
                <w:color w:val="FFFFFF"/>
                <w:sz w:val="18"/>
              </w:rPr>
              <w:t>Meta</w:t>
            </w:r>
          </w:p>
        </w:tc>
        <w:tc>
          <w:tcPr>
            <w:tcW w:type="dxa" w:w="1928"/>
            <w:shd w:val="clear" w:color="auto" w:fill="1B3A6B"/>
            <w:tcMar>
              <w:top w:w="60" w:type="dxa"/>
              <w:left w:w="110" w:type="dxa"/>
              <w:bottom w:w="60" w:type="dxa"/>
              <w:right w:w="110" w:type="dxa"/>
            </w:tcMar>
          </w:tcPr>
          <w:p>
            <w:pPr>
              <w:spacing w:before="0" w:after="0"/>
            </w:pPr>
            <w:r>
              <w:rPr>
                <w:rFonts w:ascii="Arial" w:hAnsi="Arial"/>
                <w:b/>
                <w:color w:val="FFFFFF"/>
                <w:sz w:val="18"/>
              </w:rPr>
              <w:t>Objetivo</w:t>
            </w:r>
          </w:p>
        </w:tc>
        <w:tc>
          <w:tcPr>
            <w:tcW w:type="dxa" w:w="2041"/>
            <w:shd w:val="clear" w:color="auto" w:fill="1B3A6B"/>
            <w:tcMar>
              <w:top w:w="60" w:type="dxa"/>
              <w:left w:w="110" w:type="dxa"/>
              <w:bottom w:w="60" w:type="dxa"/>
              <w:right w:w="110" w:type="dxa"/>
            </w:tcMar>
          </w:tcPr>
          <w:p>
            <w:pPr>
              <w:spacing w:before="0" w:after="0"/>
            </w:pPr>
            <w:r>
              <w:rPr>
                <w:rFonts w:ascii="Arial" w:hAnsi="Arial"/>
                <w:b/>
                <w:color w:val="FFFFFF"/>
                <w:sz w:val="18"/>
              </w:rPr>
              <w:t>Horizonte</w:t>
            </w:r>
          </w:p>
        </w:tc>
        <w:tc>
          <w:tcPr>
            <w:tcW w:type="dxa" w:w="2835"/>
            <w:shd w:val="clear" w:color="auto" w:fill="1B3A6B"/>
            <w:tcMar>
              <w:top w:w="60" w:type="dxa"/>
              <w:left w:w="110" w:type="dxa"/>
              <w:bottom w:w="60" w:type="dxa"/>
              <w:right w:w="110" w:type="dxa"/>
            </w:tcMar>
          </w:tcPr>
          <w:p>
            <w:pPr>
              <w:spacing w:before="0" w:after="0"/>
            </w:pPr>
            <w:r>
              <w:rPr>
                <w:rFonts w:ascii="Arial" w:hAnsi="Arial"/>
                <w:b/>
                <w:color w:val="FFFFFF"/>
                <w:sz w:val="18"/>
              </w:rPr>
              <w:t>Carácter</w:t>
            </w:r>
          </w:p>
        </w:tc>
      </w:tr>
      <w:tr>
        <w:tc>
          <w:tcPr>
            <w:tcW w:type="dxa" w:w="2041"/>
            <w:tcMar>
              <w:top w:w="60" w:type="dxa"/>
              <w:left w:w="110" w:type="dxa"/>
              <w:bottom w:w="60" w:type="dxa"/>
              <w:right w:w="110" w:type="dxa"/>
            </w:tcMar>
          </w:tcPr>
          <w:p>
            <w:pPr>
              <w:spacing w:before="0" w:after="0"/>
            </w:pPr>
            <w:r>
              <w:rPr>
                <w:rFonts w:ascii="Arial" w:hAnsi="Arial"/>
                <w:b/>
                <w:sz w:val="18"/>
              </w:rPr>
              <w:t>Meta Inmediata</w:t>
            </w:r>
          </w:p>
        </w:tc>
        <w:tc>
          <w:tcPr>
            <w:tcW w:type="dxa" w:w="1928"/>
            <w:tcMar>
              <w:top w:w="60" w:type="dxa"/>
              <w:left w:w="110" w:type="dxa"/>
              <w:bottom w:w="60" w:type="dxa"/>
              <w:right w:w="110" w:type="dxa"/>
            </w:tcMar>
          </w:tcPr>
          <w:p>
            <w:pPr>
              <w:spacing w:before="0" w:after="0"/>
            </w:pPr>
            <w:r>
              <w:rPr>
                <w:rFonts w:ascii="Arial" w:hAnsi="Arial"/>
                <w:sz w:val="18"/>
              </w:rPr>
              <w:t>100 UF netas / mes</w:t>
            </w:r>
          </w:p>
        </w:tc>
        <w:tc>
          <w:tcPr>
            <w:tcW w:type="dxa" w:w="2041"/>
            <w:tcMar>
              <w:top w:w="60" w:type="dxa"/>
              <w:left w:w="110" w:type="dxa"/>
              <w:bottom w:w="60" w:type="dxa"/>
              <w:right w:w="110" w:type="dxa"/>
            </w:tcMar>
          </w:tcPr>
          <w:p>
            <w:pPr>
              <w:spacing w:before="0" w:after="0"/>
            </w:pPr>
            <w:r>
              <w:rPr>
                <w:rFonts w:ascii="Arial" w:hAnsi="Arial"/>
                <w:sz w:val="18"/>
              </w:rPr>
              <w:t>En el menor tiempo posible</w:t>
            </w:r>
          </w:p>
        </w:tc>
        <w:tc>
          <w:tcPr>
            <w:tcW w:type="dxa" w:w="2835"/>
            <w:tcMar>
              <w:top w:w="60" w:type="dxa"/>
              <w:left w:w="110" w:type="dxa"/>
              <w:bottom w:w="60" w:type="dxa"/>
              <w:right w:w="110" w:type="dxa"/>
            </w:tcMar>
          </w:tcPr>
          <w:p>
            <w:pPr>
              <w:spacing w:before="0" w:after="0"/>
            </w:pPr>
            <w:r>
              <w:rPr>
                <w:rFonts w:ascii="Arial" w:hAnsi="Arial"/>
                <w:sz w:val="18"/>
              </w:rPr>
              <w:t>PRIORIDAD MÁXIMA — concentra todo el foco y los recursos.</w:t>
            </w:r>
          </w:p>
        </w:tc>
      </w:tr>
      <w:tr>
        <w:tc>
          <w:tcPr>
            <w:tcW w:type="dxa" w:w="2041"/>
            <w:shd w:val="clear" w:color="auto" w:fill="F2F4F7"/>
            <w:tcMar>
              <w:top w:w="60" w:type="dxa"/>
              <w:left w:w="110" w:type="dxa"/>
              <w:bottom w:w="60" w:type="dxa"/>
              <w:right w:w="110" w:type="dxa"/>
            </w:tcMar>
          </w:tcPr>
          <w:p>
            <w:pPr>
              <w:spacing w:before="0" w:after="0"/>
            </w:pPr>
            <w:r>
              <w:rPr>
                <w:rFonts w:ascii="Arial" w:hAnsi="Arial"/>
                <w:b/>
                <w:sz w:val="18"/>
              </w:rPr>
              <w:t>Meta de Mediano Plazo</w:t>
            </w:r>
          </w:p>
        </w:tc>
        <w:tc>
          <w:tcPr>
            <w:tcW w:type="dxa" w:w="1928"/>
            <w:shd w:val="clear" w:color="auto" w:fill="F2F4F7"/>
            <w:tcMar>
              <w:top w:w="60" w:type="dxa"/>
              <w:left w:w="110" w:type="dxa"/>
              <w:bottom w:w="60" w:type="dxa"/>
              <w:right w:w="110" w:type="dxa"/>
            </w:tcMar>
          </w:tcPr>
          <w:p>
            <w:pPr>
              <w:spacing w:before="0" w:after="0"/>
            </w:pPr>
            <w:r>
              <w:rPr>
                <w:rFonts w:ascii="Arial" w:hAnsi="Arial"/>
                <w:sz w:val="18"/>
              </w:rPr>
              <w:t>500 UF netas / mes</w:t>
            </w:r>
          </w:p>
        </w:tc>
        <w:tc>
          <w:tcPr>
            <w:tcW w:type="dxa" w:w="2041"/>
            <w:shd w:val="clear" w:color="auto" w:fill="F2F4F7"/>
            <w:tcMar>
              <w:top w:w="60" w:type="dxa"/>
              <w:left w:w="110" w:type="dxa"/>
              <w:bottom w:w="60" w:type="dxa"/>
              <w:right w:w="110" w:type="dxa"/>
            </w:tcMar>
          </w:tcPr>
          <w:p>
            <w:pPr>
              <w:spacing w:before="0" w:after="0"/>
            </w:pPr>
            <w:r>
              <w:rPr>
                <w:rFonts w:ascii="Arial" w:hAnsi="Arial"/>
                <w:sz w:val="18"/>
              </w:rPr>
              <w:t>3 años (36 meses)</w:t>
            </w:r>
          </w:p>
        </w:tc>
        <w:tc>
          <w:tcPr>
            <w:tcW w:type="dxa" w:w="2835"/>
            <w:shd w:val="clear" w:color="auto" w:fill="F2F4F7"/>
            <w:tcMar>
              <w:top w:w="60" w:type="dxa"/>
              <w:left w:w="110" w:type="dxa"/>
              <w:bottom w:w="60" w:type="dxa"/>
              <w:right w:w="110" w:type="dxa"/>
            </w:tcMar>
          </w:tcPr>
          <w:p>
            <w:pPr>
              <w:spacing w:before="0" w:after="0"/>
            </w:pPr>
            <w:r>
              <w:rPr>
                <w:rFonts w:ascii="Arial" w:hAnsi="Arial"/>
                <w:sz w:val="18"/>
              </w:rPr>
              <w:t>Norte de escalamiento sostenible sobre la base ya tracción­ada.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REGLA DE FOCO</w:t>
            </w:r>
          </w:p>
          <w:p>
            <w:pPr>
              <w:spacing w:before="60" w:after="0"/>
            </w:pPr>
            <w:r>
              <w:rPr>
                <w:rFonts w:ascii="Arial" w:hAnsi="Arial"/>
                <w:sz w:val="20"/>
              </w:rPr>
              <w:t>Hasta alcanzar y estabilizar las 100 UF, ninguna iniciativa que no contribuya directa y medible­mente a esa meta tiene prioridad. Las 100 UF no son un hito decorativo: son la condición de viabilidad que financia todo lo demás.</w:t>
            </w:r>
          </w:p>
        </w:tc>
      </w:tr>
    </w:tbl>
    <w:p>
      <w:pPr>
        <w:spacing w:after="40"/>
      </w:pPr>
    </w:p>
    <w:p>
      <w:pPr>
        <w:pStyle w:val="Heading2"/>
      </w:pPr>
      <w:r>
        <w:t>1.2 Trayectoria de Hitos (Recalibrada)</w:t>
      </w:r>
    </w:p>
    <w:p>
      <w:r>
        <w:rPr>
          <w:b w:val="0"/>
          <w:i w:val="0"/>
        </w:rPr>
        <w:t>Partiendo de la cartera base actual, la trayectoria se ordena en cuatro hitos. Las cifras intermedias son objetivos de planificación a validar contra la ejecución real mes a mes: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28"/>
            <w:shd w:val="clear" w:color="auto" w:fill="1B3A6B"/>
            <w:tcMar>
              <w:top w:w="60" w:type="dxa"/>
              <w:left w:w="110" w:type="dxa"/>
              <w:bottom w:w="60" w:type="dxa"/>
              <w:right w:w="110" w:type="dxa"/>
            </w:tcMar>
          </w:tcPr>
          <w:p>
            <w:pPr>
              <w:spacing w:before="0" w:after="0"/>
            </w:pPr>
            <w:r>
              <w:rPr>
                <w:rFonts w:ascii="Arial" w:hAnsi="Arial"/>
                <w:b/>
                <w:color w:val="FFFFFF"/>
                <w:sz w:val="17"/>
              </w:rPr>
              <w:t>Hito</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7"/>
              </w:rPr>
              <w:t>Mes objetivo</w:t>
            </w:r>
          </w:p>
        </w:tc>
        <w:tc>
          <w:tcPr>
            <w:tcW w:type="dxa" w:w="2154"/>
            <w:shd w:val="clear" w:color="auto" w:fill="1B3A6B"/>
            <w:tcMar>
              <w:top w:w="60" w:type="dxa"/>
              <w:left w:w="110" w:type="dxa"/>
              <w:bottom w:w="60" w:type="dxa"/>
              <w:right w:w="110" w:type="dxa"/>
            </w:tcMar>
          </w:tcPr>
          <w:p>
            <w:pPr>
              <w:spacing w:before="0" w:after="0"/>
            </w:pPr>
            <w:r>
              <w:rPr>
                <w:rFonts w:ascii="Arial" w:hAnsi="Arial"/>
                <w:b/>
                <w:color w:val="FFFFFF"/>
                <w:sz w:val="17"/>
              </w:rPr>
              <w:t>Comisión neta mensual</w:t>
            </w:r>
          </w:p>
        </w:tc>
        <w:tc>
          <w:tcPr>
            <w:tcW w:type="dxa" w:w="2948"/>
            <w:shd w:val="clear" w:color="auto" w:fill="1B3A6B"/>
            <w:tcMar>
              <w:top w:w="60" w:type="dxa"/>
              <w:left w:w="110" w:type="dxa"/>
              <w:bottom w:w="60" w:type="dxa"/>
              <w:right w:w="110" w:type="dxa"/>
            </w:tcMar>
          </w:tcPr>
          <w:p>
            <w:pPr>
              <w:spacing w:before="0" w:after="0"/>
            </w:pPr>
            <w:r>
              <w:rPr>
                <w:rFonts w:ascii="Arial" w:hAnsi="Arial"/>
                <w:b/>
                <w:color w:val="FFFFFF"/>
                <w:sz w:val="17"/>
              </w:rPr>
              <w:t>Foco del período</w:t>
            </w:r>
          </w:p>
        </w:tc>
      </w:tr>
      <w:tr>
        <w:tc>
          <w:tcPr>
            <w:tcW w:type="dxa" w:w="1928"/>
            <w:tcMar>
              <w:top w:w="60" w:type="dxa"/>
              <w:left w:w="110" w:type="dxa"/>
              <w:bottom w:w="60" w:type="dxa"/>
              <w:right w:w="110" w:type="dxa"/>
            </w:tcMar>
          </w:tcPr>
          <w:p>
            <w:pPr>
              <w:spacing w:before="0" w:after="0"/>
            </w:pPr>
            <w:r>
              <w:rPr>
                <w:rFonts w:ascii="Arial" w:hAnsi="Arial"/>
                <w:b/>
                <w:sz w:val="17"/>
              </w:rPr>
              <w:t>H0 — Base</w:t>
            </w:r>
          </w:p>
        </w:tc>
        <w:tc>
          <w:tcPr>
            <w:tcW w:type="dxa" w:w="1587"/>
            <w:tcMar>
              <w:top w:w="60" w:type="dxa"/>
              <w:left w:w="110" w:type="dxa"/>
              <w:bottom w:w="60" w:type="dxa"/>
              <w:right w:w="110" w:type="dxa"/>
            </w:tcMar>
          </w:tcPr>
          <w:p>
            <w:pPr>
              <w:spacing w:before="0" w:after="0"/>
            </w:pPr>
            <w:r>
              <w:rPr>
                <w:rFonts w:ascii="Arial" w:hAnsi="Arial"/>
                <w:sz w:val="17"/>
              </w:rPr>
              <w:t>Mes 0</w:t>
            </w:r>
          </w:p>
        </w:tc>
        <w:tc>
          <w:tcPr>
            <w:tcW w:type="dxa" w:w="2154"/>
            <w:tcMar>
              <w:top w:w="60" w:type="dxa"/>
              <w:left w:w="110" w:type="dxa"/>
              <w:bottom w:w="60" w:type="dxa"/>
              <w:right w:w="110" w:type="dxa"/>
            </w:tcMar>
          </w:tcPr>
          <w:p>
            <w:pPr>
              <w:spacing w:before="0" w:after="0"/>
            </w:pPr>
            <w:r>
              <w:rPr>
                <w:rFonts w:ascii="Arial" w:hAnsi="Arial"/>
                <w:sz w:val="17"/>
              </w:rPr>
              <w:t>≈ 26 UF (cartera actual)</w:t>
            </w:r>
          </w:p>
        </w:tc>
        <w:tc>
          <w:tcPr>
            <w:tcW w:type="dxa" w:w="2948"/>
            <w:tcMar>
              <w:top w:w="60" w:type="dxa"/>
              <w:left w:w="110" w:type="dxa"/>
              <w:bottom w:w="60" w:type="dxa"/>
              <w:right w:w="110" w:type="dxa"/>
            </w:tcMar>
          </w:tcPr>
          <w:p>
            <w:pPr>
              <w:spacing w:before="0" w:after="0"/>
            </w:pPr>
            <w:r>
              <w:rPr>
                <w:rFonts w:ascii="Arial" w:hAnsi="Arial"/>
                <w:sz w:val="17"/>
              </w:rPr>
              <w:t>Punto de partida real. Ordenar cartera y activar el Motor de Comunidades.</w:t>
            </w:r>
          </w:p>
        </w:tc>
      </w:tr>
      <w:tr>
        <w:tc>
          <w:tcPr>
            <w:tcW w:type="dxa" w:w="1928"/>
            <w:shd w:val="clear" w:color="auto" w:fill="F2F4F7"/>
            <w:tcMar>
              <w:top w:w="60" w:type="dxa"/>
              <w:left w:w="110" w:type="dxa"/>
              <w:bottom w:w="60" w:type="dxa"/>
              <w:right w:w="110" w:type="dxa"/>
            </w:tcMar>
          </w:tcPr>
          <w:p>
            <w:pPr>
              <w:spacing w:before="0" w:after="0"/>
            </w:pPr>
            <w:r>
              <w:rPr>
                <w:rFonts w:ascii="Arial" w:hAnsi="Arial"/>
                <w:b/>
                <w:sz w:val="17"/>
              </w:rPr>
              <w:t>H1 — Tracción</w:t>
            </w:r>
          </w:p>
        </w:tc>
        <w:tc>
          <w:tcPr>
            <w:tcW w:type="dxa" w:w="1587"/>
            <w:shd w:val="clear" w:color="auto" w:fill="F2F4F7"/>
            <w:tcMar>
              <w:top w:w="60" w:type="dxa"/>
              <w:left w:w="110" w:type="dxa"/>
              <w:bottom w:w="60" w:type="dxa"/>
              <w:right w:w="110" w:type="dxa"/>
            </w:tcMar>
          </w:tcPr>
          <w:p>
            <w:pPr>
              <w:spacing w:before="0" w:after="0"/>
            </w:pPr>
            <w:r>
              <w:rPr>
                <w:rFonts w:ascii="Arial" w:hAnsi="Arial"/>
                <w:sz w:val="17"/>
              </w:rPr>
              <w:t>Lo antes posible</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100 UF (PRIORIDAD)</w:t>
            </w:r>
          </w:p>
        </w:tc>
        <w:tc>
          <w:tcPr>
            <w:tcW w:type="dxa" w:w="2948"/>
            <w:shd w:val="clear" w:color="auto" w:fill="F2F4F7"/>
            <w:tcMar>
              <w:top w:w="60" w:type="dxa"/>
              <w:left w:w="110" w:type="dxa"/>
              <w:bottom w:w="60" w:type="dxa"/>
              <w:right w:w="110" w:type="dxa"/>
            </w:tcMar>
          </w:tcPr>
          <w:p>
            <w:pPr>
              <w:spacing w:before="0" w:after="0"/>
            </w:pPr>
            <w:r>
              <w:rPr>
                <w:rFonts w:ascii="Arial" w:hAnsi="Arial"/>
                <w:sz w:val="17"/>
              </w:rPr>
              <w:t>Capturar el primer bloque de comunidades. Validar el embudo y el delivery.</w:t>
            </w:r>
          </w:p>
        </w:tc>
      </w:tr>
      <w:tr>
        <w:tc>
          <w:tcPr>
            <w:tcW w:type="dxa" w:w="1928"/>
            <w:tcMar>
              <w:top w:w="60" w:type="dxa"/>
              <w:left w:w="110" w:type="dxa"/>
              <w:bottom w:w="60" w:type="dxa"/>
              <w:right w:w="110" w:type="dxa"/>
            </w:tcMar>
          </w:tcPr>
          <w:p>
            <w:pPr>
              <w:spacing w:before="0" w:after="0"/>
            </w:pPr>
            <w:r>
              <w:rPr>
                <w:rFonts w:ascii="Arial" w:hAnsi="Arial"/>
                <w:b/>
                <w:sz w:val="17"/>
              </w:rPr>
              <w:t>H2 — Consolidación</w:t>
            </w:r>
          </w:p>
        </w:tc>
        <w:tc>
          <w:tcPr>
            <w:tcW w:type="dxa" w:w="1587"/>
            <w:tcMar>
              <w:top w:w="60" w:type="dxa"/>
              <w:left w:w="110" w:type="dxa"/>
              <w:bottom w:w="60" w:type="dxa"/>
              <w:right w:w="110" w:type="dxa"/>
            </w:tcMar>
          </w:tcPr>
          <w:p>
            <w:pPr>
              <w:spacing w:before="0" w:after="0"/>
            </w:pPr>
            <w:r>
              <w:rPr>
                <w:rFonts w:ascii="Arial" w:hAnsi="Arial"/>
                <w:sz w:val="17"/>
              </w:rPr>
              <w:t>≈ Mes 18</w:t>
            </w:r>
          </w:p>
        </w:tc>
        <w:tc>
          <w:tcPr>
            <w:tcW w:type="dxa" w:w="2154"/>
            <w:tcMar>
              <w:top w:w="60" w:type="dxa"/>
              <w:left w:w="110" w:type="dxa"/>
              <w:bottom w:w="60" w:type="dxa"/>
              <w:right w:w="110" w:type="dxa"/>
            </w:tcMar>
          </w:tcPr>
          <w:p>
            <w:pPr>
              <w:spacing w:before="0" w:after="0"/>
            </w:pPr>
            <w:r>
              <w:rPr>
                <w:rFonts w:ascii="Arial" w:hAnsi="Arial"/>
                <w:sz w:val="17"/>
              </w:rPr>
              <w:t>≈ 250 UF</w:t>
            </w:r>
          </w:p>
        </w:tc>
        <w:tc>
          <w:tcPr>
            <w:tcW w:type="dxa" w:w="2948"/>
            <w:tcMar>
              <w:top w:w="60" w:type="dxa"/>
              <w:left w:w="110" w:type="dxa"/>
              <w:bottom w:w="60" w:type="dxa"/>
              <w:right w:w="110" w:type="dxa"/>
            </w:tcMar>
          </w:tcPr>
          <w:p>
            <w:pPr>
              <w:spacing w:before="0" w:after="0"/>
            </w:pPr>
            <w:r>
              <w:rPr>
                <w:rFonts w:ascii="Arial" w:hAnsi="Arial"/>
                <w:sz w:val="17"/>
              </w:rPr>
              <w:t>Primer ciclo de renovaciones del Motor de Comunidades. Activar convenios con clubes (P2).</w:t>
            </w:r>
          </w:p>
        </w:tc>
      </w:tr>
      <w:tr>
        <w:tc>
          <w:tcPr>
            <w:tcW w:type="dxa" w:w="1928"/>
            <w:shd w:val="clear" w:color="auto" w:fill="F2F4F7"/>
            <w:tcMar>
              <w:top w:w="60" w:type="dxa"/>
              <w:left w:w="110" w:type="dxa"/>
              <w:bottom w:w="60" w:type="dxa"/>
              <w:right w:w="110" w:type="dxa"/>
            </w:tcMar>
          </w:tcPr>
          <w:p>
            <w:pPr>
              <w:spacing w:before="0" w:after="0"/>
            </w:pPr>
            <w:r>
              <w:rPr>
                <w:rFonts w:ascii="Arial" w:hAnsi="Arial"/>
                <w:b/>
                <w:sz w:val="17"/>
              </w:rPr>
              <w:t>H3 — Norte</w:t>
            </w:r>
          </w:p>
        </w:tc>
        <w:tc>
          <w:tcPr>
            <w:tcW w:type="dxa" w:w="1587"/>
            <w:shd w:val="clear" w:color="auto" w:fill="F2F4F7"/>
            <w:tcMar>
              <w:top w:w="60" w:type="dxa"/>
              <w:left w:w="110" w:type="dxa"/>
              <w:bottom w:w="60" w:type="dxa"/>
              <w:right w:w="110" w:type="dxa"/>
            </w:tcMar>
          </w:tcPr>
          <w:p>
            <w:pPr>
              <w:spacing w:before="0" w:after="0"/>
            </w:pPr>
            <w:r>
              <w:rPr>
                <w:rFonts w:ascii="Arial" w:hAnsi="Arial"/>
                <w:sz w:val="17"/>
              </w:rPr>
              <w:t>Mes 36</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500 UF</w:t>
            </w:r>
          </w:p>
        </w:tc>
        <w:tc>
          <w:tcPr>
            <w:tcW w:type="dxa" w:w="2948"/>
            <w:shd w:val="clear" w:color="auto" w:fill="F2F4F7"/>
            <w:tcMar>
              <w:top w:w="60" w:type="dxa"/>
              <w:left w:w="110" w:type="dxa"/>
              <w:bottom w:w="60" w:type="dxa"/>
              <w:right w:w="110" w:type="dxa"/>
            </w:tcMar>
          </w:tcPr>
          <w:p>
            <w:pPr>
              <w:spacing w:before="0" w:after="0"/>
            </w:pPr>
            <w:r>
              <w:rPr>
                <w:rFonts w:ascii="Arial" w:hAnsi="Arial"/>
                <w:sz w:val="17"/>
              </w:rPr>
              <w:t>Cartera madura con predominio de renovaciones. Habilitar canales de escala (reserva).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META DE SALUD — RENOVACIONES SOBRE VENTA NUEVA</w:t>
            </w:r>
          </w:p>
          <w:p>
            <w:pPr>
              <w:spacing w:before="60" w:after="0"/>
            </w:pPr>
            <w:r>
              <w:rPr>
                <w:rFonts w:ascii="Arial" w:hAnsi="Arial"/>
                <w:sz w:val="20"/>
              </w:rPr>
              <w:t>El indicador de salud del plan no es solo la UF: es el ratio Renovación/Total. Una cartera sana llega al mediano plazo con la mayoría de sus ingresos proviniendo de renovaciones. Si la cartera se sostiene reemplazando clientes que se van, el crecimiento es frágil aunque la cifra suba. La retención es condición de viabilidad, no un extra.</w:t>
            </w:r>
          </w:p>
        </w:tc>
      </w:tr>
    </w:tbl>
    <w:p>
      <w:pPr>
        <w:spacing w:after="40"/>
      </w:pPr>
    </w:p>
    <w:p>
      <w:r>
        <w:br w:type="page"/>
      </w:r>
    </w:p>
    <w:p>
      <w:pPr>
        <w:pStyle w:val="Heading1"/>
      </w:pPr>
      <w:r>
        <w:t>2. Motores de Negocio Estratégicos (Prioridades Reestructuradas)</w:t>
      </w:r>
    </w:p>
    <w:p>
      <w:r>
        <w:rPr>
          <w:b w:val="0"/>
          <w:i w:val="0"/>
        </w:rPr>
        <w:t>El crecimiento se concentra en un motor principal inequívoco, con un canal secundario de apoyo y una reserva de canales de escala que solo se activan una vez probado el motor núcleo.</w:t>
      </w:r>
    </w:p>
    <w:p>
      <w:pPr>
        <w:pStyle w:val="Heading2"/>
      </w:pPr>
      <w:r>
        <w:t>2.1 Motor Principal (Prioridad 1) — Motor de Comunidades</w:t>
      </w:r>
    </w:p>
    <w:p>
      <w:r>
        <w:rPr>
          <w:b w:val="0"/>
          <w:i w:val="0"/>
        </w:rPr>
        <w:t>La punta de lanza comercial de Aegis es la penetración de mercado hiperlocal en edificios residenciales y condominios cercanos. Hoy existe una base inicial de aproximadamente 40 edificios prioritarios para abordar. El objetivo es capturar la mayor cantidad posible de estas comunidades mediante venta directa y convenios de copropiedad.</w:t>
      </w:r>
    </w:p>
    <w:p>
      <w:r>
        <w:rPr>
          <w:b w:val="0"/>
          <w:i w:val="0"/>
        </w:rPr>
        <w:t>Por qué este motor es el principal:</w:t>
      </w:r>
    </w:p>
    <w:p>
      <w:pPr>
        <w:pStyle w:val="ListBullet"/>
      </w:pPr>
      <w:r>
        <w:rPr>
          <w:b/>
        </w:rPr>
        <w:t xml:space="preserve">Demanda legalmente garantizada — </w:t>
      </w:r>
      <w:r>
        <w:t>la Ley N°21.442 hace OBLIGATORIO el seguro de incendio para las comunidades de copropiedad. Es una necesidad que no puede omitirse; el comité solo elige con qué corredor contratarlo. Esa obligatoriedad es la puerta de entrada.</w:t>
      </w:r>
    </w:p>
    <w:p>
      <w:pPr>
        <w:pStyle w:val="ListBullet"/>
      </w:pPr>
      <w:r>
        <w:rPr>
          <w:b/>
        </w:rPr>
        <w:t xml:space="preserve">Máximo margen — </w:t>
      </w:r>
      <w:r>
        <w:t>es el motor de MAYOR MARGEN del plan: prospección directa, sin retribución a partners intermedios.</w:t>
      </w:r>
    </w:p>
    <w:p>
      <w:pPr>
        <w:pStyle w:val="ListBullet"/>
      </w:pPr>
      <w:r>
        <w:rPr>
          <w:b/>
        </w:rPr>
        <w:t xml:space="preserve">Palanca Comercial — </w:t>
      </w:r>
      <w:r>
        <w:t>la Palanca Comercial permite lanzar una licitación masiva para cualquier edificio en 24-48 horas, consiguiendo el mejor precio del mercado sin importar su historial de siniestralidad. El corredor cautivo no puede replicar esto.</w:t>
      </w:r>
    </w:p>
    <w:p>
      <w:pPr>
        <w:pStyle w:val="ListBullet"/>
      </w:pPr>
      <w:r>
        <w:rPr>
          <w:b/>
        </w:rPr>
        <w:t xml:space="preserve">Cross-selling embebido — </w:t>
      </w:r>
      <w:r>
        <w:t>al convertir un edificio, se activa automáticamente una campaña de cross-selling a los residentes (auto, hogar, vida): un edificio es también una cartera de personas.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B3A6B"/>
            <w:tcMar>
              <w:top w:w="60" w:type="dxa"/>
              <w:left w:w="110" w:type="dxa"/>
              <w:bottom w:w="60" w:type="dxa"/>
              <w:right w:w="110" w:type="dxa"/>
            </w:tcMar>
          </w:tcPr>
          <w:p>
            <w:pPr>
              <w:spacing w:before="0" w:after="0"/>
            </w:pPr>
            <w:r>
              <w:rPr>
                <w:rFonts w:ascii="Arial" w:hAnsi="Arial"/>
                <w:b/>
                <w:color w:val="FFFFFF"/>
                <w:sz w:val="18"/>
              </w:rPr>
              <w:t>Aspecto</w:t>
            </w:r>
          </w:p>
        </w:tc>
        <w:tc>
          <w:tcPr>
            <w:tcW w:type="dxa" w:w="6236"/>
            <w:shd w:val="clear" w:color="auto" w:fill="1B3A6B"/>
            <w:tcMar>
              <w:top w:w="60" w:type="dxa"/>
              <w:left w:w="110" w:type="dxa"/>
              <w:bottom w:w="60" w:type="dxa"/>
              <w:right w:w="110" w:type="dxa"/>
            </w:tcMar>
          </w:tcPr>
          <w:p>
            <w:pPr>
              <w:spacing w:before="0" w:after="0"/>
            </w:pPr>
            <w:r>
              <w:rPr>
                <w:rFonts w:ascii="Arial" w:hAnsi="Arial"/>
                <w:b/>
                <w:color w:val="FFFFFF"/>
                <w:sz w:val="18"/>
              </w:rPr>
              <w:t>Definición</w:t>
            </w:r>
          </w:p>
        </w:tc>
      </w:tr>
      <w:tr>
        <w:tc>
          <w:tcPr>
            <w:tcW w:type="dxa" w:w="2268"/>
            <w:tcMar>
              <w:top w:w="60" w:type="dxa"/>
              <w:left w:w="110" w:type="dxa"/>
              <w:bottom w:w="60" w:type="dxa"/>
              <w:right w:w="110" w:type="dxa"/>
            </w:tcMar>
          </w:tcPr>
          <w:p>
            <w:pPr>
              <w:spacing w:before="0" w:after="0"/>
            </w:pPr>
            <w:r>
              <w:rPr>
                <w:rFonts w:ascii="Arial" w:hAnsi="Arial"/>
                <w:b/>
                <w:sz w:val="18"/>
              </w:rPr>
              <w:t>Retribución a terceros</w:t>
            </w:r>
          </w:p>
        </w:tc>
        <w:tc>
          <w:tcPr>
            <w:tcW w:type="dxa" w:w="6236"/>
            <w:tcMar>
              <w:top w:w="60" w:type="dxa"/>
              <w:left w:w="110" w:type="dxa"/>
              <w:bottom w:w="60" w:type="dxa"/>
              <w:right w:w="110" w:type="dxa"/>
            </w:tcMar>
          </w:tcPr>
          <w:p>
            <w:pPr>
              <w:spacing w:before="0" w:after="0"/>
            </w:pPr>
            <w:r>
              <w:rPr>
                <w:rFonts w:ascii="Arial" w:hAnsi="Arial"/>
                <w:sz w:val="18"/>
              </w:rPr>
              <w:t>Ninguna (prospección directa). Es el motor de mayor margen del plan.</w:t>
            </w:r>
          </w:p>
        </w:tc>
      </w:tr>
      <w:tr>
        <w:tc>
          <w:tcPr>
            <w:tcW w:type="dxa" w:w="2268"/>
            <w:shd w:val="clear" w:color="auto" w:fill="F2F4F7"/>
            <w:tcMar>
              <w:top w:w="60" w:type="dxa"/>
              <w:left w:w="110" w:type="dxa"/>
              <w:bottom w:w="60" w:type="dxa"/>
              <w:right w:w="110" w:type="dxa"/>
            </w:tcMar>
          </w:tcPr>
          <w:p>
            <w:pPr>
              <w:spacing w:before="0" w:after="0"/>
            </w:pPr>
            <w:r>
              <w:rPr>
                <w:rFonts w:ascii="Arial" w:hAnsi="Arial"/>
                <w:b/>
                <w:sz w:val="18"/>
              </w:rPr>
              <w:t>Ventaja competitiva</w:t>
            </w:r>
          </w:p>
        </w:tc>
        <w:tc>
          <w:tcPr>
            <w:tcW w:type="dxa" w:w="6236"/>
            <w:shd w:val="clear" w:color="auto" w:fill="F2F4F7"/>
            <w:tcMar>
              <w:top w:w="60" w:type="dxa"/>
              <w:left w:w="110" w:type="dxa"/>
              <w:bottom w:w="60" w:type="dxa"/>
              <w:right w:w="110" w:type="dxa"/>
            </w:tcMar>
          </w:tcPr>
          <w:p>
            <w:pPr>
              <w:spacing w:before="0" w:after="0"/>
            </w:pPr>
            <w:r>
              <w:rPr>
                <w:rFonts w:ascii="Arial" w:hAnsi="Arial"/>
                <w:sz w:val="18"/>
              </w:rPr>
              <w:t>Rotar el edificio entre varias compañías al renovar para conseguir el mejor Precio/Cobertura. El cautivo no puede.</w:t>
            </w:r>
          </w:p>
        </w:tc>
      </w:tr>
      <w:tr>
        <w:tc>
          <w:tcPr>
            <w:tcW w:type="dxa" w:w="2268"/>
            <w:tcMar>
              <w:top w:w="60" w:type="dxa"/>
              <w:left w:w="110" w:type="dxa"/>
              <w:bottom w:w="60" w:type="dxa"/>
              <w:right w:w="110" w:type="dxa"/>
            </w:tcMar>
          </w:tcPr>
          <w:p>
            <w:pPr>
              <w:spacing w:before="0" w:after="0"/>
            </w:pPr>
            <w:r>
              <w:rPr>
                <w:rFonts w:ascii="Arial" w:hAnsi="Arial"/>
                <w:b/>
                <w:sz w:val="18"/>
              </w:rPr>
              <w:t>Driver operativo</w:t>
            </w:r>
          </w:p>
        </w:tc>
        <w:tc>
          <w:tcPr>
            <w:tcW w:type="dxa" w:w="6236"/>
            <w:tcMar>
              <w:top w:w="60" w:type="dxa"/>
              <w:left w:w="110" w:type="dxa"/>
              <w:bottom w:w="60" w:type="dxa"/>
              <w:right w:w="110" w:type="dxa"/>
            </w:tcMar>
          </w:tcPr>
          <w:p>
            <w:pPr>
              <w:spacing w:before="0" w:after="0"/>
            </w:pPr>
            <w:r>
              <w:rPr>
                <w:rFonts w:ascii="Arial" w:hAnsi="Arial"/>
                <w:sz w:val="18"/>
              </w:rPr>
              <w:t>Mapa de Vencimientos: ventana única de acción en los 90 días previos a cada vencimiento.</w:t>
            </w:r>
          </w:p>
        </w:tc>
      </w:tr>
      <w:tr>
        <w:tc>
          <w:tcPr>
            <w:tcW w:type="dxa" w:w="2268"/>
            <w:shd w:val="clear" w:color="auto" w:fill="F2F4F7"/>
            <w:tcMar>
              <w:top w:w="60" w:type="dxa"/>
              <w:left w:w="110" w:type="dxa"/>
              <w:bottom w:w="60" w:type="dxa"/>
              <w:right w:w="110" w:type="dxa"/>
            </w:tcMar>
          </w:tcPr>
          <w:p>
            <w:pPr>
              <w:spacing w:before="0" w:after="0"/>
            </w:pPr>
            <w:r>
              <w:rPr>
                <w:rFonts w:ascii="Arial" w:hAnsi="Arial"/>
                <w:b/>
                <w:sz w:val="18"/>
              </w:rPr>
              <w:t>Rol ante siniestralidad</w:t>
            </w:r>
          </w:p>
        </w:tc>
        <w:tc>
          <w:tcPr>
            <w:tcW w:type="dxa" w:w="6236"/>
            <w:shd w:val="clear" w:color="auto" w:fill="F2F4F7"/>
            <w:tcMar>
              <w:top w:w="60" w:type="dxa"/>
              <w:left w:w="110" w:type="dxa"/>
              <w:bottom w:w="60" w:type="dxa"/>
              <w:right w:w="110" w:type="dxa"/>
            </w:tcMar>
          </w:tcPr>
          <w:p>
            <w:pPr>
              <w:spacing w:before="0" w:after="0"/>
            </w:pPr>
            <w:r>
              <w:rPr>
                <w:rFonts w:ascii="Arial" w:hAnsi="Arial"/>
                <w:sz w:val="18"/>
              </w:rPr>
              <w:t>Consultivo y documental: el corredor informa, documenta y rota. La prevención es responsabilidad del cliente.</w:t>
            </w:r>
          </w:p>
        </w:tc>
      </w:tr>
      <w:tr>
        <w:tc>
          <w:tcPr>
            <w:tcW w:type="dxa" w:w="2268"/>
            <w:tcMar>
              <w:top w:w="60" w:type="dxa"/>
              <w:left w:w="110" w:type="dxa"/>
              <w:bottom w:w="60" w:type="dxa"/>
              <w:right w:w="110" w:type="dxa"/>
            </w:tcMar>
          </w:tcPr>
          <w:p>
            <w:pPr>
              <w:spacing w:before="0" w:after="0"/>
            </w:pPr>
            <w:r>
              <w:rPr>
                <w:rFonts w:ascii="Arial" w:hAnsi="Arial"/>
                <w:b/>
                <w:sz w:val="18"/>
              </w:rPr>
              <w:t>Cross-selling</w:t>
            </w:r>
          </w:p>
        </w:tc>
        <w:tc>
          <w:tcPr>
            <w:tcW w:type="dxa" w:w="6236"/>
            <w:tcMar>
              <w:top w:w="60" w:type="dxa"/>
              <w:left w:w="110" w:type="dxa"/>
              <w:bottom w:w="60" w:type="dxa"/>
              <w:right w:w="110" w:type="dxa"/>
            </w:tcMar>
          </w:tcPr>
          <w:p>
            <w:pPr>
              <w:spacing w:before="0" w:after="0"/>
            </w:pPr>
            <w:r>
              <w:rPr>
                <w:rFonts w:ascii="Arial" w:hAnsi="Arial"/>
                <w:sz w:val="18"/>
              </w:rPr>
              <w:t>Automático a residentes al convertir cada comunidad.</w:t>
            </w:r>
          </w:p>
        </w:tc>
      </w:tr>
    </w:tbl>
    <w:p>
      <w:pPr>
        <w:spacing w:after="40"/>
      </w:pPr>
    </w:p>
    <w:p>
      <w:pPr>
        <w:pStyle w:val="Heading2"/>
      </w:pPr>
      <w:r>
        <w:t>2.2 Motor Secundario (Prioridad 2) — Convenios con Clubes</w:t>
      </w:r>
    </w:p>
    <w:p>
      <w:r>
        <w:rPr>
          <w:b w:val="0"/>
          <w:i w:val="0"/>
        </w:rPr>
        <w:t>Como canal alternativo de apoyo, Aegis desarrolla convenios con clubes (deportivos y comunidades organizadas afines). Pasa explícitamente a segundo plano frente al Motor de Comunidades: se activa con recursos remanentes y se intensifica una vez tracción­adas las primeras comunidades. Aprovecha la confianza de una comunidad ya constituida y el poder adquisitivo de sus socios.</w:t>
      </w:r>
    </w:p>
    <w:p>
      <w:r>
        <w:rPr>
          <w:b w:val="0"/>
          <w:i w:val="0"/>
        </w:rPr>
        <w:t>Estructura del canal (siempre dentro de las 4 figuras legales del Corporate OS §3.1):</w:t>
      </w:r>
    </w:p>
    <w:p>
      <w:pPr>
        <w:pStyle w:val="ListBullet"/>
      </w:pPr>
      <w:r>
        <w:rPr>
          <w:b/>
        </w:rPr>
        <w:t xml:space="preserve">Modelo — </w:t>
      </w:r>
      <w:r>
        <w:t>el convenio es gratuito para los socios del club; el valor para el socio está en los beneficios exclusivos de seguros, no en un acceso pagado.</w:t>
      </w:r>
    </w:p>
    <w:p>
      <w:pPr>
        <w:pStyle w:val="ListBullet"/>
      </w:pPr>
      <w:r>
        <w:rPr>
          <w:b/>
        </w:rPr>
        <w:t xml:space="preserve">Figura legal — </w:t>
      </w:r>
      <w:r>
        <w:t>la retribución a la institución se estructura como Marketing Fee o Sponsorship; a los colaboradores individuales, como Colaborador NCG 50. Nunca como reparto de comisión.</w:t>
      </w:r>
    </w:p>
    <w:p>
      <w:pPr>
        <w:pStyle w:val="ListBullet"/>
      </w:pPr>
      <w:r>
        <w:rPr>
          <w:b/>
        </w:rPr>
        <w:t xml:space="preserve">Protección — </w:t>
      </w:r>
      <w:r>
        <w:t>los incentivos se consolidan solo si la póliza supera la cláusula de permanencia de 4 meses; si se cancela antes, se aplica la regla de comisiones negativas.</w:t>
      </w:r>
    </w:p>
    <w:p>
      <w:pPr>
        <w:pStyle w:val="Heading2"/>
      </w:pPr>
      <w:r>
        <w:t>2.3 Canales de Reserva (Escala Futura)</w:t>
      </w:r>
    </w:p>
    <w:p>
      <w:r>
        <w:rPr>
          <w:b w:val="0"/>
          <w:i w:val="0"/>
        </w:rPr>
        <w:t>Estos canales NO se trabajan hasta que el Motor de Comunidades demuestre tracción y se supere la meta inmediata de 100 UF. Se documentan aquí para dar dirección, no foco presente:</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color="auto" w:fill="1B3A6B"/>
            <w:tcMar>
              <w:top w:w="60" w:type="dxa"/>
              <w:left w:w="110" w:type="dxa"/>
              <w:bottom w:w="60" w:type="dxa"/>
              <w:right w:w="110" w:type="dxa"/>
            </w:tcMar>
          </w:tcPr>
          <w:p>
            <w:pPr>
              <w:spacing w:before="0" w:after="0"/>
            </w:pPr>
            <w:r>
              <w:rPr>
                <w:rFonts w:ascii="Arial" w:hAnsi="Arial"/>
                <w:b/>
                <w:color w:val="FFFFFF"/>
                <w:sz w:val="17"/>
              </w:rPr>
              <w:t>Canal de reserva</w:t>
            </w:r>
          </w:p>
        </w:tc>
        <w:tc>
          <w:tcPr>
            <w:tcW w:type="dxa" w:w="4876"/>
            <w:shd w:val="clear" w:color="auto" w:fill="1B3A6B"/>
            <w:tcMar>
              <w:top w:w="60" w:type="dxa"/>
              <w:left w:w="110" w:type="dxa"/>
              <w:bottom w:w="60" w:type="dxa"/>
              <w:right w:w="110" w:type="dxa"/>
            </w:tcMar>
          </w:tcPr>
          <w:p>
            <w:pPr>
              <w:spacing w:before="0" w:after="0"/>
            </w:pPr>
            <w:r>
              <w:rPr>
                <w:rFonts w:ascii="Arial" w:hAnsi="Arial"/>
                <w:b/>
                <w:color w:val="FFFFFF"/>
                <w:sz w:val="17"/>
              </w:rPr>
              <w:t>Lógica</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7"/>
              </w:rPr>
              <w:t>Cuándo activar</w:t>
            </w:r>
          </w:p>
        </w:tc>
      </w:tr>
      <w:tr>
        <w:tc>
          <w:tcPr>
            <w:tcW w:type="dxa" w:w="2041"/>
            <w:tcMar>
              <w:top w:w="60" w:type="dxa"/>
              <w:left w:w="110" w:type="dxa"/>
              <w:bottom w:w="60" w:type="dxa"/>
              <w:right w:w="110" w:type="dxa"/>
            </w:tcMar>
          </w:tcPr>
          <w:p>
            <w:pPr>
              <w:spacing w:before="0" w:after="0"/>
            </w:pPr>
            <w:r>
              <w:rPr>
                <w:rFonts w:ascii="Arial" w:hAnsi="Arial"/>
                <w:b/>
                <w:sz w:val="17"/>
              </w:rPr>
              <w:t>Super-Administradores</w:t>
            </w:r>
          </w:p>
        </w:tc>
        <w:tc>
          <w:tcPr>
            <w:tcW w:type="dxa" w:w="4876"/>
            <w:tcMar>
              <w:top w:w="60" w:type="dxa"/>
              <w:left w:w="110" w:type="dxa"/>
              <w:bottom w:w="60" w:type="dxa"/>
              <w:right w:w="110" w:type="dxa"/>
            </w:tcMar>
          </w:tcPr>
          <w:p>
            <w:pPr>
              <w:spacing w:before="0" w:after="0"/>
            </w:pPr>
            <w:r>
              <w:rPr>
                <w:rFonts w:ascii="Arial" w:hAnsi="Arial"/>
                <w:sz w:val="17"/>
              </w:rPr>
              <w:t>Una sola alianza con quien gestiona 10-50 edificios abre acceso simultáneo a muchos comités. Requiere demostrar capacidad con una base de comunidades ya ganadas.</w:t>
            </w:r>
          </w:p>
        </w:tc>
        <w:tc>
          <w:tcPr>
            <w:tcW w:type="dxa" w:w="1587"/>
            <w:tcMar>
              <w:top w:w="60" w:type="dxa"/>
              <w:left w:w="110" w:type="dxa"/>
              <w:bottom w:w="60" w:type="dxa"/>
              <w:right w:w="110" w:type="dxa"/>
            </w:tcMar>
          </w:tcPr>
          <w:p>
            <w:pPr>
              <w:spacing w:before="0" w:after="0"/>
            </w:pPr>
            <w:r>
              <w:rPr>
                <w:rFonts w:ascii="Arial" w:hAnsi="Arial"/>
                <w:sz w:val="17"/>
              </w:rPr>
              <w:t>Tras consolidar el Motor de Comunidades.</w:t>
            </w:r>
          </w:p>
        </w:tc>
      </w:tr>
      <w:tr>
        <w:tc>
          <w:tcPr>
            <w:tcW w:type="dxa" w:w="2041"/>
            <w:shd w:val="clear" w:color="auto" w:fill="F2F4F7"/>
            <w:tcMar>
              <w:top w:w="60" w:type="dxa"/>
              <w:left w:w="110" w:type="dxa"/>
              <w:bottom w:w="60" w:type="dxa"/>
              <w:right w:w="110" w:type="dxa"/>
            </w:tcMar>
          </w:tcPr>
          <w:p>
            <w:pPr>
              <w:spacing w:before="0" w:after="0"/>
            </w:pPr>
            <w:r>
              <w:rPr>
                <w:rFonts w:ascii="Arial" w:hAnsi="Arial"/>
                <w:b/>
                <w:sz w:val="17"/>
              </w:rPr>
              <w:t>Corporativo B2B2C</w:t>
            </w:r>
          </w:p>
        </w:tc>
        <w:tc>
          <w:tcPr>
            <w:tcW w:type="dxa" w:w="4876"/>
            <w:shd w:val="clear" w:color="auto" w:fill="F2F4F7"/>
            <w:tcMar>
              <w:top w:w="60" w:type="dxa"/>
              <w:left w:w="110" w:type="dxa"/>
              <w:bottom w:w="60" w:type="dxa"/>
              <w:right w:w="110" w:type="dxa"/>
            </w:tcMar>
          </w:tcPr>
          <w:p>
            <w:pPr>
              <w:spacing w:before="0" w:after="0"/>
            </w:pPr>
            <w:r>
              <w:rPr>
                <w:rFonts w:ascii="Arial" w:hAnsi="Arial"/>
                <w:sz w:val="17"/>
              </w:rPr>
              <w:t>Seguros colectivos y de empresa para organizaciones vinculadas a la red de relaciones de Aegis.</w:t>
            </w:r>
          </w:p>
        </w:tc>
        <w:tc>
          <w:tcPr>
            <w:tcW w:type="dxa" w:w="1587"/>
            <w:shd w:val="clear" w:color="auto" w:fill="F2F4F7"/>
            <w:tcMar>
              <w:top w:w="60" w:type="dxa"/>
              <w:left w:w="110" w:type="dxa"/>
              <w:bottom w:w="60" w:type="dxa"/>
              <w:right w:w="110" w:type="dxa"/>
            </w:tcMar>
          </w:tcPr>
          <w:p>
            <w:pPr>
              <w:spacing w:before="0" w:after="0"/>
            </w:pPr>
            <w:r>
              <w:rPr>
                <w:rFonts w:ascii="Arial" w:hAnsi="Arial"/>
                <w:sz w:val="17"/>
              </w:rPr>
              <w:t>Mediano plazo, hacia la meta de 500 UF.</w:t>
            </w:r>
          </w:p>
        </w:tc>
      </w:tr>
      <w:tr>
        <w:tc>
          <w:tcPr>
            <w:tcW w:type="dxa" w:w="2041"/>
            <w:tcMar>
              <w:top w:w="60" w:type="dxa"/>
              <w:left w:w="110" w:type="dxa"/>
              <w:bottom w:w="60" w:type="dxa"/>
              <w:right w:w="110" w:type="dxa"/>
            </w:tcMar>
          </w:tcPr>
          <w:p>
            <w:pPr>
              <w:spacing w:before="0" w:after="0"/>
            </w:pPr>
            <w:r>
              <w:rPr>
                <w:rFonts w:ascii="Arial" w:hAnsi="Arial"/>
                <w:b/>
                <w:sz w:val="17"/>
              </w:rPr>
              <w:t>Nichos institucionales</w:t>
            </w:r>
          </w:p>
        </w:tc>
        <w:tc>
          <w:tcPr>
            <w:tcW w:type="dxa" w:w="4876"/>
            <w:tcMar>
              <w:top w:w="60" w:type="dxa"/>
              <w:left w:w="110" w:type="dxa"/>
              <w:bottom w:w="60" w:type="dxa"/>
              <w:right w:w="110" w:type="dxa"/>
            </w:tcMar>
          </w:tcPr>
          <w:p>
            <w:pPr>
              <w:spacing w:before="0" w:after="0"/>
            </w:pPr>
            <w:r>
              <w:rPr>
                <w:rFonts w:ascii="Arial" w:hAnsi="Arial"/>
                <w:sz w:val="17"/>
              </w:rPr>
              <w:t>Sector público, gremios y otros nichos con figura legal a medida (Marketing Fee, Sponsorship).</w:t>
            </w:r>
          </w:p>
        </w:tc>
        <w:tc>
          <w:tcPr>
            <w:tcW w:type="dxa" w:w="1587"/>
            <w:tcMar>
              <w:top w:w="60" w:type="dxa"/>
              <w:left w:w="110" w:type="dxa"/>
              <w:bottom w:w="60" w:type="dxa"/>
              <w:right w:w="110" w:type="dxa"/>
            </w:tcMar>
          </w:tcPr>
          <w:p>
            <w:pPr>
              <w:spacing w:before="0" w:after="0"/>
            </w:pPr>
            <w:r>
              <w:rPr>
                <w:rFonts w:ascii="Arial" w:hAnsi="Arial"/>
                <w:sz w:val="17"/>
              </w:rPr>
              <w:t>Solo cuando la cartera supere holgadamente el núcleo.</w:t>
            </w:r>
          </w:p>
        </w:tc>
      </w:tr>
    </w:tbl>
    <w:p>
      <w:pPr>
        <w:spacing w:after="40"/>
      </w:pPr>
    </w:p>
    <w:p>
      <w:r>
        <w:br w:type="page"/>
      </w:r>
    </w:p>
    <w:p>
      <w:pPr>
        <w:pStyle w:val="Heading1"/>
      </w:pPr>
      <w:r>
        <w:t>3. Directriz de Diseño de Productos (El Estándar de Oro)</w:t>
      </w:r>
    </w:p>
    <w:tbl>
      <w:tblPr>
        <w:tblStyle w:val="TableGrid"/>
        <w:tblW w:type="auto" w:w="0"/>
        <w:tblLook w:firstColumn="1" w:firstRow="1" w:lastColumn="0" w:lastRow="0" w:noHBand="0" w:noVBand="1" w:val="04A0"/>
      </w:tblPr>
      <w:tblGrid>
        <w:gridCol w:w="8640"/>
      </w:tblGrid>
      <w:tr>
        <w:tc>
          <w:tcPr>
            <w:tcW w:type="dxa" w:w="8640"/>
            <w:shd w:val="clear" w:color="auto" w:fill="EAF4EC"/>
            <w:tcMar>
              <w:top w:w="120" w:type="dxa"/>
              <w:left w:w="160" w:type="dxa"/>
              <w:bottom w:w="120" w:type="dxa"/>
              <w:right w:w="160" w:type="dxa"/>
            </w:tcMar>
          </w:tcPr>
          <w:p>
            <w:pPr>
              <w:spacing w:before="0" w:after="0"/>
            </w:pPr>
            <w:r>
              <w:rPr>
                <w:rFonts w:ascii="Arial" w:hAnsi="Arial"/>
                <w:b/>
                <w:color w:val="145A32"/>
                <w:sz w:val="21"/>
              </w:rPr>
              <w:t>⭐ ESTÁNDAR DE ORO — RELACIÓN PRECIO/COBERTURA</w:t>
            </w:r>
          </w:p>
          <w:p>
            <w:pPr>
              <w:spacing w:before="60" w:after="0"/>
            </w:pPr>
            <w:r>
              <w:rPr>
                <w:rFonts w:ascii="Arial" w:hAnsi="Arial"/>
                <w:sz w:val="20"/>
              </w:rPr>
              <w:t>Queda estrictamente establecido que la regla de oro para estructurar cualquier propuesta comercial es la relación PRECIO/COBERTURA en beneficio del cliente. El objetivo es ofrecer el seguro que entregue la mejor y más robusta cobertura disponible en el mercado, asegurando cumplir siempre con el MÍNIMO de coberturas necesarias y obligatorias para ese nicho específico, pero garantizando el precio más competitivo y económico para el cliente.</w:t>
            </w:r>
          </w:p>
        </w:tc>
      </w:tr>
    </w:tbl>
    <w:p>
      <w:pPr>
        <w:spacing w:after="40"/>
      </w:pPr>
    </w:p>
    <w:p>
      <w:r>
        <w:rPr>
          <w:b w:val="0"/>
          <w:i w:val="0"/>
        </w:rPr>
        <w:t>Cómo se aplica el estándar al diseñar y recomendar cualquier producto:</w:t>
      </w:r>
    </w:p>
    <w:p>
      <w:pPr>
        <w:pStyle w:val="ListNumber"/>
      </w:pPr>
      <w:r>
        <w:t>definir el piso de cobertura: identificar el mínimo necesario y obligatorio para el nicho (p. ej., incendio obligatorio Ley 21.442 para comunidades; SOAP para vehículos). Ninguna propuesta baja de ese piso.</w:t>
      </w:r>
    </w:p>
    <w:p>
      <w:pPr>
        <w:pStyle w:val="ListNumber"/>
      </w:pPr>
      <w:r>
        <w:t>maximizar la robustez de la cobertura por sobre ese piso, hasta donde el cliente valore y el riesgo lo justifique.</w:t>
      </w:r>
    </w:p>
    <w:p>
      <w:pPr>
        <w:pStyle w:val="ListNumber"/>
      </w:pPr>
      <w:r>
        <w:t>minimizar el precio para el cliente cotizando en el universo completo de compañías + ANS y eligiendo la opción que entrega esa cobertura al menor costo total.</w:t>
      </w:r>
    </w:p>
    <w:p>
      <w:pPr>
        <w:pStyle w:val="ListNumber"/>
      </w:pPr>
      <w:r>
        <w:t>ordenar las alternativas presentadas SOLO por Precio/Cobertura. La comisión de Aegis es informativa y nunca el criterio de orden.</w:t>
      </w: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PROHIBICIÓN EXPRESA</w:t>
            </w:r>
          </w:p>
          <w:p>
            <w:pPr>
              <w:spacing w:before="60" w:after="0"/>
            </w:pPr>
            <w:r>
              <w:rPr>
                <w:rFonts w:ascii="Arial" w:hAnsi="Arial"/>
                <w:sz w:val="20"/>
              </w:rPr>
              <w:t>Se prohíbe diseñar, rankear o recomendar productos priorizando la comisión de la empresa por sobre el costo o el beneficio del cliente. Toda herramienta y toda asesoría de Aegis ordena las opciones únicamente por la relación Precio/Cobertura; la comisión es informativa y nunca el criterio de orden.</w:t>
            </w:r>
          </w:p>
        </w:tc>
      </w:tr>
    </w:tbl>
    <w:p>
      <w:pPr>
        <w:spacing w:after="40"/>
      </w:pPr>
    </w:p>
    <w:p>
      <w:pPr>
        <w:pStyle w:val="Heading2"/>
      </w:pPr>
      <w:r>
        <w:t>3.1 Portafolio Disponible para los Motores</w:t>
      </w:r>
    </w:p>
    <w:p>
      <w:r>
        <w:rPr>
          <w:b w:val="0"/>
          <w:i w:val="0"/>
        </w:rPr>
        <w:t>Catálogo intermediado por Aegis (generales y vida). En comunidades, el incendio es el producto-cuña obligatorio; el resto es voluntario y alimenta el cross-selling:</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color="auto" w:fill="1B3A6B"/>
            <w:tcMar>
              <w:top w:w="60" w:type="dxa"/>
              <w:left w:w="110" w:type="dxa"/>
              <w:bottom w:w="60" w:type="dxa"/>
              <w:right w:w="110" w:type="dxa"/>
            </w:tcMar>
          </w:tcPr>
          <w:p>
            <w:pPr>
              <w:spacing w:before="0" w:after="0"/>
            </w:pPr>
            <w:r>
              <w:rPr>
                <w:rFonts w:ascii="Arial" w:hAnsi="Arial"/>
                <w:b/>
                <w:color w:val="FFFFFF"/>
                <w:sz w:val="17"/>
              </w:rPr>
              <w:t>Familia</w:t>
            </w:r>
          </w:p>
        </w:tc>
        <w:tc>
          <w:tcPr>
            <w:tcW w:type="dxa" w:w="4422"/>
            <w:shd w:val="clear" w:color="auto" w:fill="1B3A6B"/>
            <w:tcMar>
              <w:top w:w="60" w:type="dxa"/>
              <w:left w:w="110" w:type="dxa"/>
              <w:bottom w:w="60" w:type="dxa"/>
              <w:right w:w="110" w:type="dxa"/>
            </w:tcMar>
          </w:tcPr>
          <w:p>
            <w:pPr>
              <w:spacing w:before="0" w:after="0"/>
            </w:pPr>
            <w:r>
              <w:rPr>
                <w:rFonts w:ascii="Arial" w:hAnsi="Arial"/>
                <w:b/>
                <w:color w:val="FFFFFF"/>
                <w:sz w:val="17"/>
              </w:rPr>
              <w:t>Productos núcleo</w:t>
            </w:r>
          </w:p>
        </w:tc>
        <w:tc>
          <w:tcPr>
            <w:tcW w:type="dxa" w:w="2154"/>
            <w:shd w:val="clear" w:color="auto" w:fill="1B3A6B"/>
            <w:tcMar>
              <w:top w:w="60" w:type="dxa"/>
              <w:left w:w="110" w:type="dxa"/>
              <w:bottom w:w="60" w:type="dxa"/>
              <w:right w:w="110" w:type="dxa"/>
            </w:tcMar>
          </w:tcPr>
          <w:p>
            <w:pPr>
              <w:spacing w:before="0" w:after="0"/>
            </w:pPr>
            <w:r>
              <w:rPr>
                <w:rFonts w:ascii="Arial" w:hAnsi="Arial"/>
                <w:b/>
                <w:color w:val="FFFFFF"/>
                <w:sz w:val="17"/>
              </w:rPr>
              <w:t>Rol comercial</w:t>
            </w:r>
          </w:p>
        </w:tc>
      </w:tr>
      <w:tr>
        <w:tc>
          <w:tcPr>
            <w:tcW w:type="dxa" w:w="1928"/>
            <w:tcMar>
              <w:top w:w="60" w:type="dxa"/>
              <w:left w:w="110" w:type="dxa"/>
              <w:bottom w:w="60" w:type="dxa"/>
              <w:right w:w="110" w:type="dxa"/>
            </w:tcMar>
          </w:tcPr>
          <w:p>
            <w:pPr>
              <w:spacing w:before="0" w:after="0"/>
            </w:pPr>
            <w:r>
              <w:rPr>
                <w:rFonts w:ascii="Arial" w:hAnsi="Arial"/>
                <w:b/>
                <w:sz w:val="17"/>
              </w:rPr>
              <w:t>Comunidad (Ley 21.442)</w:t>
            </w:r>
          </w:p>
        </w:tc>
        <w:tc>
          <w:tcPr>
            <w:tcW w:type="dxa" w:w="4422"/>
            <w:tcMar>
              <w:top w:w="60" w:type="dxa"/>
              <w:left w:w="110" w:type="dxa"/>
              <w:bottom w:w="60" w:type="dxa"/>
              <w:right w:w="110" w:type="dxa"/>
            </w:tcMar>
          </w:tcPr>
          <w:p>
            <w:pPr>
              <w:spacing w:before="0" w:after="0"/>
            </w:pPr>
            <w:r>
              <w:rPr>
                <w:rFonts w:ascii="Arial" w:hAnsi="Arial"/>
                <w:sz w:val="17"/>
              </w:rPr>
              <w:t>Incendio obligatorio de bienes comunes y unidades; adicionales por acuerdo de asamblea (RC, ascensores, sismo, instalaciones)</w:t>
            </w:r>
          </w:p>
        </w:tc>
        <w:tc>
          <w:tcPr>
            <w:tcW w:type="dxa" w:w="2154"/>
            <w:tcMar>
              <w:top w:w="60" w:type="dxa"/>
              <w:left w:w="110" w:type="dxa"/>
              <w:bottom w:w="60" w:type="dxa"/>
              <w:right w:w="110" w:type="dxa"/>
            </w:tcMar>
          </w:tcPr>
          <w:p>
            <w:pPr>
              <w:spacing w:before="0" w:after="0"/>
            </w:pPr>
            <w:r>
              <w:rPr>
                <w:rFonts w:ascii="Arial" w:hAnsi="Arial"/>
                <w:sz w:val="17"/>
              </w:rPr>
              <w:t>Cuña de entrada del Motor de Comunidades.</w:t>
            </w:r>
          </w:p>
        </w:tc>
      </w:tr>
      <w:tr>
        <w:tc>
          <w:tcPr>
            <w:tcW w:type="dxa" w:w="1928"/>
            <w:shd w:val="clear" w:color="auto" w:fill="F2F4F7"/>
            <w:tcMar>
              <w:top w:w="60" w:type="dxa"/>
              <w:left w:w="110" w:type="dxa"/>
              <w:bottom w:w="60" w:type="dxa"/>
              <w:right w:w="110" w:type="dxa"/>
            </w:tcMar>
          </w:tcPr>
          <w:p>
            <w:pPr>
              <w:spacing w:before="0" w:after="0"/>
            </w:pPr>
            <w:r>
              <w:rPr>
                <w:rFonts w:ascii="Arial" w:hAnsi="Arial"/>
                <w:b/>
                <w:sz w:val="17"/>
              </w:rPr>
              <w:t>Hogar individual</w:t>
            </w:r>
          </w:p>
        </w:tc>
        <w:tc>
          <w:tcPr>
            <w:tcW w:type="dxa" w:w="4422"/>
            <w:shd w:val="clear" w:color="auto" w:fill="F2F4F7"/>
            <w:tcMar>
              <w:top w:w="60" w:type="dxa"/>
              <w:left w:w="110" w:type="dxa"/>
              <w:bottom w:w="60" w:type="dxa"/>
              <w:right w:w="110" w:type="dxa"/>
            </w:tcMar>
          </w:tcPr>
          <w:p>
            <w:pPr>
              <w:spacing w:before="0" w:after="0"/>
            </w:pPr>
            <w:r>
              <w:rPr>
                <w:rFonts w:ascii="Arial" w:hAnsi="Arial"/>
                <w:sz w:val="17"/>
              </w:rPr>
              <w:t>Multirriesgo: incendio, robo, daños por agua, RC en el hogar</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Cross-selling a residentes.</w:t>
            </w:r>
          </w:p>
        </w:tc>
      </w:tr>
      <w:tr>
        <w:tc>
          <w:tcPr>
            <w:tcW w:type="dxa" w:w="1928"/>
            <w:tcMar>
              <w:top w:w="60" w:type="dxa"/>
              <w:left w:w="110" w:type="dxa"/>
              <w:bottom w:w="60" w:type="dxa"/>
              <w:right w:w="110" w:type="dxa"/>
            </w:tcMar>
          </w:tcPr>
          <w:p>
            <w:pPr>
              <w:spacing w:before="0" w:after="0"/>
            </w:pPr>
            <w:r>
              <w:rPr>
                <w:rFonts w:ascii="Arial" w:hAnsi="Arial"/>
                <w:b/>
                <w:sz w:val="17"/>
              </w:rPr>
              <w:t>Vehicular</w:t>
            </w:r>
          </w:p>
        </w:tc>
        <w:tc>
          <w:tcPr>
            <w:tcW w:type="dxa" w:w="4422"/>
            <w:tcMar>
              <w:top w:w="60" w:type="dxa"/>
              <w:left w:w="110" w:type="dxa"/>
              <w:bottom w:w="60" w:type="dxa"/>
              <w:right w:w="110" w:type="dxa"/>
            </w:tcMar>
          </w:tcPr>
          <w:p>
            <w:pPr>
              <w:spacing w:before="0" w:after="0"/>
            </w:pPr>
            <w:r>
              <w:rPr>
                <w:rFonts w:ascii="Arial" w:hAnsi="Arial"/>
                <w:sz w:val="17"/>
              </w:rPr>
              <w:t>Daños propios, robo, RC, asistencia (arquetipos del Económico al de Cobertura Excepcional)</w:t>
            </w:r>
          </w:p>
        </w:tc>
        <w:tc>
          <w:tcPr>
            <w:tcW w:type="dxa" w:w="2154"/>
            <w:tcMar>
              <w:top w:w="60" w:type="dxa"/>
              <w:left w:w="110" w:type="dxa"/>
              <w:bottom w:w="60" w:type="dxa"/>
              <w:right w:w="110" w:type="dxa"/>
            </w:tcMar>
          </w:tcPr>
          <w:p>
            <w:pPr>
              <w:spacing w:before="0" w:after="0"/>
            </w:pPr>
            <w:r>
              <w:rPr>
                <w:rFonts w:ascii="Arial" w:hAnsi="Arial"/>
                <w:sz w:val="17"/>
              </w:rPr>
              <w:t>Producto de mayor cobertura transversal; puerta al cross-selling.</w:t>
            </w:r>
          </w:p>
        </w:tc>
      </w:tr>
      <w:tr>
        <w:tc>
          <w:tcPr>
            <w:tcW w:type="dxa" w:w="1928"/>
            <w:shd w:val="clear" w:color="auto" w:fill="F2F4F7"/>
            <w:tcMar>
              <w:top w:w="60" w:type="dxa"/>
              <w:left w:w="110" w:type="dxa"/>
              <w:bottom w:w="60" w:type="dxa"/>
              <w:right w:w="110" w:type="dxa"/>
            </w:tcMar>
          </w:tcPr>
          <w:p>
            <w:pPr>
              <w:spacing w:before="0" w:after="0"/>
            </w:pPr>
            <w:r>
              <w:rPr>
                <w:rFonts w:ascii="Arial" w:hAnsi="Arial"/>
                <w:b/>
                <w:sz w:val="17"/>
              </w:rPr>
              <w:t>Vida y salud</w:t>
            </w:r>
          </w:p>
        </w:tc>
        <w:tc>
          <w:tcPr>
            <w:tcW w:type="dxa" w:w="4422"/>
            <w:shd w:val="clear" w:color="auto" w:fill="F2F4F7"/>
            <w:tcMar>
              <w:top w:w="60" w:type="dxa"/>
              <w:left w:w="110" w:type="dxa"/>
              <w:bottom w:w="60" w:type="dxa"/>
              <w:right w:w="110" w:type="dxa"/>
            </w:tcMar>
          </w:tcPr>
          <w:p>
            <w:pPr>
              <w:spacing w:before="0" w:after="0"/>
            </w:pPr>
            <w:r>
              <w:rPr>
                <w:rFonts w:ascii="Arial" w:hAnsi="Arial"/>
                <w:sz w:val="17"/>
              </w:rPr>
              <w:t>Vida temporal/entera, desgravamen, salud complementaria, accidentes personales</w:t>
            </w:r>
          </w:p>
        </w:tc>
        <w:tc>
          <w:tcPr>
            <w:tcW w:type="dxa" w:w="2154"/>
            <w:shd w:val="clear" w:color="auto" w:fill="F2F4F7"/>
            <w:tcMar>
              <w:top w:w="60" w:type="dxa"/>
              <w:left w:w="110" w:type="dxa"/>
              <w:bottom w:w="60" w:type="dxa"/>
              <w:right w:w="110" w:type="dxa"/>
            </w:tcMar>
          </w:tcPr>
          <w:p>
            <w:pPr>
              <w:spacing w:before="0" w:after="0"/>
            </w:pPr>
            <w:r>
              <w:rPr>
                <w:rFonts w:ascii="Arial" w:hAnsi="Arial"/>
                <w:sz w:val="17"/>
              </w:rPr>
              <w:t>Recurrencia y piso de ingresos.</w:t>
            </w:r>
          </w:p>
        </w:tc>
      </w:tr>
      <w:tr>
        <w:tc>
          <w:tcPr>
            <w:tcW w:type="dxa" w:w="1928"/>
            <w:tcMar>
              <w:top w:w="60" w:type="dxa"/>
              <w:left w:w="110" w:type="dxa"/>
              <w:bottom w:w="60" w:type="dxa"/>
              <w:right w:w="110" w:type="dxa"/>
            </w:tcMar>
          </w:tcPr>
          <w:p>
            <w:pPr>
              <w:spacing w:before="0" w:after="0"/>
            </w:pPr>
            <w:r>
              <w:rPr>
                <w:rFonts w:ascii="Arial" w:hAnsi="Arial"/>
                <w:b/>
                <w:sz w:val="17"/>
              </w:rPr>
              <w:t>Empresas / PyME</w:t>
            </w:r>
          </w:p>
        </w:tc>
        <w:tc>
          <w:tcPr>
            <w:tcW w:type="dxa" w:w="4422"/>
            <w:tcMar>
              <w:top w:w="60" w:type="dxa"/>
              <w:left w:w="110" w:type="dxa"/>
              <w:bottom w:w="60" w:type="dxa"/>
              <w:right w:w="110" w:type="dxa"/>
            </w:tcMar>
          </w:tcPr>
          <w:p>
            <w:pPr>
              <w:spacing w:before="0" w:after="0"/>
            </w:pPr>
            <w:r>
              <w:rPr>
                <w:rFonts w:ascii="Arial" w:hAnsi="Arial"/>
                <w:sz w:val="17"/>
              </w:rPr>
              <w:t>Multirriesgo, RC patronal, equipos, transporte, vida colectivo</w:t>
            </w:r>
          </w:p>
        </w:tc>
        <w:tc>
          <w:tcPr>
            <w:tcW w:type="dxa" w:w="2154"/>
            <w:tcMar>
              <w:top w:w="60" w:type="dxa"/>
              <w:left w:w="110" w:type="dxa"/>
              <w:bottom w:w="60" w:type="dxa"/>
              <w:right w:w="110" w:type="dxa"/>
            </w:tcMar>
          </w:tcPr>
          <w:p>
            <w:pPr>
              <w:spacing w:before="0" w:after="0"/>
            </w:pPr>
            <w:r>
              <w:rPr>
                <w:rFonts w:ascii="Arial" w:hAnsi="Arial"/>
                <w:sz w:val="17"/>
              </w:rPr>
              <w:t>Canal corporativo de reserva.</w:t>
            </w:r>
          </w:p>
        </w:tc>
      </w:tr>
    </w:tbl>
    <w:p>
      <w:pPr>
        <w:spacing w:after="40"/>
      </w:pPr>
    </w:p>
    <w:p>
      <w:r>
        <w:br w:type="page"/>
      </w:r>
    </w:p>
    <w:p>
      <w:pPr>
        <w:pStyle w:val="Heading1"/>
      </w:pPr>
      <w:r>
        <w:t>4. Fase de Ideación y Descubrimiento</w:t>
      </w:r>
    </w:p>
    <w:p>
      <w:r>
        <w:rPr>
          <w:b w:val="0"/>
          <w:i w:val="0"/>
        </w:rPr>
        <w:t>Framework estructurado para detectar problemas reales en el mercado inmobiliario y de comunidades, diseñar ofertas de valor para administradores y copropietarios, y empaquetar soluciones conceptuales con rapidez, siempre sobre la base Precio/Cobertura.</w:t>
      </w:r>
    </w:p>
    <w:p>
      <w:pPr>
        <w:pStyle w:val="Heading2"/>
      </w:pPr>
      <w:r>
        <w:t>4.1 Detección de Problemas (Discovery)</w:t>
      </w:r>
    </w:p>
    <w:p>
      <w:pPr>
        <w:pStyle w:val="ListBullet"/>
      </w:pPr>
      <w:r>
        <w:t>comités que enfrentan alzas de prima silenciosas al renovar con su corredor o compañía actual sin que nadie compare el mercado;</w:t>
      </w:r>
    </w:p>
    <w:p>
      <w:pPr>
        <w:pStyle w:val="ListBullet"/>
      </w:pPr>
      <w:r>
        <w:t>comunidades con siniestralidad alta que creen que «nadie las va a asegurar barato» y desconocen el poder de una licitación masiva;</w:t>
      </w:r>
    </w:p>
    <w:p>
      <w:pPr>
        <w:pStyle w:val="ListBullet"/>
      </w:pPr>
      <w:r>
        <w:t>administradores saturados que valoran que el corredor les resuelva el seguro obligatorio sin fricción y con respaldo documental para el comité;</w:t>
      </w:r>
    </w:p>
    <w:p>
      <w:pPr>
        <w:pStyle w:val="ListBullet"/>
      </w:pPr>
      <w:r>
        <w:t>copropietarios que pagan seguros de hogar, auto o vida por separado y caros, sin saber que su propia comunidad puede ser canal de mejores condiciones.</w:t>
      </w:r>
    </w:p>
    <w:p>
      <w:pPr>
        <w:pStyle w:val="Heading2"/>
      </w:pPr>
      <w:r>
        <w:t>4.2 Diseño de la Oferta de Valor</w:t>
      </w:r>
    </w:p>
    <w:p>
      <w:r>
        <w:rPr>
          <w:b w:val="0"/>
          <w:i w:val="0"/>
        </w:rPr>
        <w:t>Para cada problema, la propuesta se construye sobre tres palancas verificables (no promesas):</w:t>
      </w:r>
    </w:p>
    <w:p>
      <w:pPr>
        <w:pStyle w:val="ListBullet"/>
      </w:pPr>
      <w:r>
        <w:rPr>
          <w:b/>
        </w:rPr>
        <w:t xml:space="preserve">Palanca Comercial — </w:t>
      </w:r>
      <w:r>
        <w:t>«Cotizo en el panel completo de compañías + ANS y le consigo el mejor precio del mercado, sin importar su historial».</w:t>
      </w:r>
    </w:p>
    <w:p>
      <w:pPr>
        <w:pStyle w:val="ListBullet"/>
      </w:pPr>
      <w:r>
        <w:rPr>
          <w:b/>
        </w:rPr>
        <w:t xml:space="preserve">Precio/Cobertura — </w:t>
      </w:r>
      <w:r>
        <w:t>«Mi recomendación se ordena por lo que mejor lo protege al menor costo; mi comisión va dentro de la prima, regulada por norma, sin costos ocultos».</w:t>
      </w:r>
    </w:p>
    <w:p>
      <w:pPr>
        <w:pStyle w:val="ListBullet"/>
      </w:pPr>
      <w:r>
        <w:rPr>
          <w:b/>
        </w:rPr>
        <w:t xml:space="preserve">Transparencia y respaldo — </w:t>
      </w:r>
      <w:r>
        <w:t>«El comité se entera del análisis antes que de la notificación de la compañía; todo queda documentado para respaldar la decisión».</w:t>
      </w:r>
    </w:p>
    <w:p>
      <w:pPr>
        <w:pStyle w:val="Heading2"/>
      </w:pPr>
      <w:r>
        <w:t>4.3 Empaquetado Rápido de Soluciones</w:t>
      </w:r>
    </w:p>
    <w:p>
      <w:r>
        <w:rPr>
          <w:b w:val="0"/>
          <w:i w:val="0"/>
        </w:rPr>
        <w:t>El criterio de empaquetado es «primero funcional, luego perfecto»: se lanza un paquete conceptual claro (cuña obligatoria + 1-2 adicionales de alto valor + ruta de cross-selling) y se refina con la respuesta real del comité, en vez de esperar el diseño definitivo.</w:t>
      </w:r>
    </w:p>
    <w:p>
      <w:r>
        <w:br w:type="page"/>
      </w:r>
    </w:p>
    <w:p>
      <w:pPr>
        <w:pStyle w:val="Heading1"/>
      </w:pPr>
      <w:r>
        <w:t>5. Fase de Validación y Go-To-Market para Comunidades</w:t>
      </w:r>
    </w:p>
    <w:p>
      <w:r>
        <w:rPr>
          <w:b w:val="0"/>
          <w:i w:val="0"/>
        </w:rPr>
        <w:t>Protocolo para abordar los ~40 edificios prioritarios, lanzar Productos Mínimos Viables (MVP) de seguros, fijar pricing competitivo y diseñar un embudo de alta conversión con canales presenciales y digitales locales.</w:t>
      </w:r>
    </w:p>
    <w:p>
      <w:pPr>
        <w:pStyle w:val="Heading2"/>
      </w:pPr>
      <w:r>
        <w:t>5.1 Abordaje de los 40 Edificios Prioritarios</w:t>
      </w:r>
    </w:p>
    <w:p>
      <w:pPr>
        <w:pStyle w:val="ListNumber"/>
      </w:pPr>
      <w:r>
        <w:t>construir el Mapa de Vencimientos de los 40 edificios: dirección, fecha de vencimiento de la póliza actual, compañía actual, contacto del comité y siniestralidad conocida.</w:t>
      </w:r>
    </w:p>
    <w:p>
      <w:pPr>
        <w:pStyle w:val="ListNumber"/>
      </w:pPr>
      <w:r>
        <w:t>priorizar por ventana de oportunidad: el edificio cuya póliza vence en los próximos 90 días es el objetivo inmediato (es cuando el comité está dispuesto a escuchar).</w:t>
      </w:r>
    </w:p>
    <w:p>
      <w:pPr>
        <w:pStyle w:val="ListNumber"/>
      </w:pPr>
      <w:r>
        <w:t>abordar al comité con comunicación proactiva ANTES de que reciba la notificación de su compañía: «su póliza vence en 90 días; cotizamos el panel completo y le conseguimos esta opción».</w:t>
      </w:r>
    </w:p>
    <w:p>
      <w:pPr>
        <w:pStyle w:val="ListNumber"/>
      </w:pPr>
      <w:r>
        <w:t>obtener la aprobación formal del comité para cualquier acuerdo (blindaje anti-cohecho del Corporate OS §3.1).</w:t>
      </w:r>
    </w:p>
    <w:p>
      <w:pPr>
        <w:pStyle w:val="Heading2"/>
      </w:pPr>
      <w:r>
        <w:t>5.2 MVP de Seguros para Comunidades</w:t>
      </w:r>
    </w:p>
    <w:p>
      <w:r>
        <w:rPr>
          <w:b w:val="0"/>
          <w:i w:val="0"/>
        </w:rPr>
        <w:t>El MVP es el paquete mínimo que resuelve la necesidad legal y demuestra valor de inmediato:</w:t>
      </w:r>
    </w:p>
    <w:p>
      <w:pPr>
        <w:pStyle w:val="ListBullet"/>
      </w:pPr>
      <w:r>
        <w:rPr>
          <w:b/>
        </w:rPr>
        <w:t xml:space="preserve">Núcleo — </w:t>
      </w:r>
      <w:r>
        <w:t>incendio obligatorio (Ley 21.442) cotizado en el universo completo de compañías, al mejor Precio/Cobertura;</w:t>
      </w:r>
    </w:p>
    <w:p>
      <w:pPr>
        <w:pStyle w:val="ListBullet"/>
      </w:pPr>
      <w:r>
        <w:rPr>
          <w:b/>
        </w:rPr>
        <w:t xml:space="preserve">Adicionales — </w:t>
      </w:r>
      <w:r>
        <w:t>uno o dos adicionales de alto impacto y bajo roce que el comité valore (p. ej. RC o sismo), presentados como opción clara;</w:t>
      </w:r>
    </w:p>
    <w:p>
      <w:pPr>
        <w:pStyle w:val="ListBullet"/>
      </w:pPr>
      <w:r>
        <w:rPr>
          <w:b/>
        </w:rPr>
        <w:t xml:space="preserve">Entregable — </w:t>
      </w:r>
      <w:r>
        <w:t>una comparativa escrita de las mejores alternativas, con recomendación técnica explícita.</w:t>
      </w:r>
    </w:p>
    <w:p>
      <w:pPr>
        <w:pStyle w:val="Heading2"/>
      </w:pPr>
      <w:r>
        <w:t>5.3 Pricing Competitivo</w:t>
      </w:r>
    </w:p>
    <w:p>
      <w:r>
        <w:rPr>
          <w:b w:val="0"/>
          <w:i w:val="0"/>
        </w:rPr>
        <w:t>El precio no se «inventa»: se descubre cotizando el mercado completo y se traslada al cliente el mejor resultado posible. La Palanca Comercial es la herramienta de pricing:</w:t>
      </w:r>
    </w:p>
    <w:p>
      <w:pPr>
        <w:pStyle w:val="ListBullet"/>
      </w:pPr>
      <w:r>
        <w:t>licitación masiva con todas las compañías + ANS para cada edificio, sin segmentar por siniestralidad («Lógica del Esfuerzo Cero»);</w:t>
      </w:r>
    </w:p>
    <w:p>
      <w:pPr>
        <w:pStyle w:val="ListBullet"/>
      </w:pPr>
      <w:r>
        <w:t>para historiales difíciles, usar el volumen agregado de la cartera Aegis como argumento de tasa preferencial;</w:t>
      </w:r>
    </w:p>
    <w:p>
      <w:pPr>
        <w:pStyle w:val="ListBullet"/>
      </w:pPr>
      <w:r>
        <w:t>transparentar el costo final: prima neta, impuestos y prima total, con la comisión informada dentro de la prima.</w:t>
      </w:r>
    </w:p>
    <w:p>
      <w:pPr>
        <w:pStyle w:val="Heading2"/>
      </w:pPr>
      <w:r>
        <w:t>5.4 Canales de Adquisición y Embudo de Alta Conversión</w:t>
      </w:r>
    </w:p>
    <w:tbl>
      <w:tblPr>
        <w:tblStyle w:val="TableGrid"/>
        <w:tblW w:type="auto" w:w="0"/>
        <w:jc w:val="center"/>
        <w:tblLook w:firstColumn="1" w:firstRow="1" w:lastColumn="0" w:lastRow="0" w:noHBand="0" w:noVBand="1" w:val="04A0"/>
      </w:tblPr>
      <w:tblGrid>
        <w:gridCol w:w="2880"/>
        <w:gridCol w:w="2880"/>
        <w:gridCol w:w="2880"/>
      </w:tblGrid>
      <w:tr>
        <w:tc>
          <w:tcPr>
            <w:tcW w:type="dxa" w:w="1644"/>
            <w:shd w:val="clear" w:color="auto" w:fill="1B3A6B"/>
            <w:tcMar>
              <w:top w:w="60" w:type="dxa"/>
              <w:left w:w="110" w:type="dxa"/>
              <w:bottom w:w="60" w:type="dxa"/>
              <w:right w:w="110" w:type="dxa"/>
            </w:tcMar>
          </w:tcPr>
          <w:p>
            <w:pPr>
              <w:spacing w:before="0" w:after="0"/>
            </w:pPr>
            <w:r>
              <w:rPr>
                <w:rFonts w:ascii="Arial" w:hAnsi="Arial"/>
                <w:b/>
                <w:color w:val="FFFFFF"/>
                <w:sz w:val="17"/>
              </w:rPr>
              <w:t>Etapa del embudo</w:t>
            </w:r>
          </w:p>
        </w:tc>
        <w:tc>
          <w:tcPr>
            <w:tcW w:type="dxa" w:w="4592"/>
            <w:shd w:val="clear" w:color="auto" w:fill="1B3A6B"/>
            <w:tcMar>
              <w:top w:w="60" w:type="dxa"/>
              <w:left w:w="110" w:type="dxa"/>
              <w:bottom w:w="60" w:type="dxa"/>
              <w:right w:w="110" w:type="dxa"/>
            </w:tcMar>
          </w:tcPr>
          <w:p>
            <w:pPr>
              <w:spacing w:before="0" w:after="0"/>
            </w:pPr>
            <w:r>
              <w:rPr>
                <w:rFonts w:ascii="Arial" w:hAnsi="Arial"/>
                <w:b/>
                <w:color w:val="FFFFFF"/>
                <w:sz w:val="17"/>
              </w:rPr>
              <w:t>Acción</w:t>
            </w:r>
          </w:p>
        </w:tc>
        <w:tc>
          <w:tcPr>
            <w:tcW w:type="dxa" w:w="2268"/>
            <w:shd w:val="clear" w:color="auto" w:fill="1B3A6B"/>
            <w:tcMar>
              <w:top w:w="60" w:type="dxa"/>
              <w:left w:w="110" w:type="dxa"/>
              <w:bottom w:w="60" w:type="dxa"/>
              <w:right w:w="110" w:type="dxa"/>
            </w:tcMar>
          </w:tcPr>
          <w:p>
            <w:pPr>
              <w:spacing w:before="0" w:after="0"/>
            </w:pPr>
            <w:r>
              <w:rPr>
                <w:rFonts w:ascii="Arial" w:hAnsi="Arial"/>
                <w:b/>
                <w:color w:val="FFFFFF"/>
                <w:sz w:val="17"/>
              </w:rPr>
              <w:t>Canal</w:t>
            </w:r>
          </w:p>
        </w:tc>
      </w:tr>
      <w:tr>
        <w:tc>
          <w:tcPr>
            <w:tcW w:type="dxa" w:w="1644"/>
            <w:tcMar>
              <w:top w:w="60" w:type="dxa"/>
              <w:left w:w="110" w:type="dxa"/>
              <w:bottom w:w="60" w:type="dxa"/>
              <w:right w:w="110" w:type="dxa"/>
            </w:tcMar>
          </w:tcPr>
          <w:p>
            <w:pPr>
              <w:spacing w:before="0" w:after="0"/>
            </w:pPr>
            <w:r>
              <w:rPr>
                <w:rFonts w:ascii="Arial" w:hAnsi="Arial"/>
                <w:b/>
                <w:sz w:val="17"/>
              </w:rPr>
              <w:t>Generación</w:t>
            </w:r>
          </w:p>
        </w:tc>
        <w:tc>
          <w:tcPr>
            <w:tcW w:type="dxa" w:w="4592"/>
            <w:tcMar>
              <w:top w:w="60" w:type="dxa"/>
              <w:left w:w="110" w:type="dxa"/>
              <w:bottom w:w="60" w:type="dxa"/>
              <w:right w:w="110" w:type="dxa"/>
            </w:tcMar>
          </w:tcPr>
          <w:p>
            <w:pPr>
              <w:spacing w:before="0" w:after="0"/>
            </w:pPr>
            <w:r>
              <w:rPr>
                <w:rFonts w:ascii="Arial" w:hAnsi="Arial"/>
                <w:sz w:val="17"/>
              </w:rPr>
              <w:t>Identificar edificios con vencimiento próximo; tocar puerta del comité/administrador</w:t>
            </w:r>
          </w:p>
        </w:tc>
        <w:tc>
          <w:tcPr>
            <w:tcW w:type="dxa" w:w="2268"/>
            <w:tcMar>
              <w:top w:w="60" w:type="dxa"/>
              <w:left w:w="110" w:type="dxa"/>
              <w:bottom w:w="60" w:type="dxa"/>
              <w:right w:w="110" w:type="dxa"/>
            </w:tcMar>
          </w:tcPr>
          <w:p>
            <w:pPr>
              <w:spacing w:before="0" w:after="0"/>
            </w:pPr>
            <w:r>
              <w:rPr>
                <w:rFonts w:ascii="Arial" w:hAnsi="Arial"/>
                <w:sz w:val="17"/>
              </w:rPr>
              <w:t>Presencial local + referidos + landing «Edificios»</w:t>
            </w:r>
          </w:p>
        </w:tc>
      </w:tr>
      <w:tr>
        <w:tc>
          <w:tcPr>
            <w:tcW w:type="dxa" w:w="1644"/>
            <w:shd w:val="clear" w:color="auto" w:fill="F2F4F7"/>
            <w:tcMar>
              <w:top w:w="60" w:type="dxa"/>
              <w:left w:w="110" w:type="dxa"/>
              <w:bottom w:w="60" w:type="dxa"/>
              <w:right w:w="110" w:type="dxa"/>
            </w:tcMar>
          </w:tcPr>
          <w:p>
            <w:pPr>
              <w:spacing w:before="0" w:after="0"/>
            </w:pPr>
            <w:r>
              <w:rPr>
                <w:rFonts w:ascii="Arial" w:hAnsi="Arial"/>
                <w:b/>
                <w:sz w:val="17"/>
              </w:rPr>
              <w:t>Captación</w:t>
            </w:r>
          </w:p>
        </w:tc>
        <w:tc>
          <w:tcPr>
            <w:tcW w:type="dxa" w:w="4592"/>
            <w:shd w:val="clear" w:color="auto" w:fill="F2F4F7"/>
            <w:tcMar>
              <w:top w:w="60" w:type="dxa"/>
              <w:left w:w="110" w:type="dxa"/>
              <w:bottom w:w="60" w:type="dxa"/>
              <w:right w:w="110" w:type="dxa"/>
            </w:tcMar>
          </w:tcPr>
          <w:p>
            <w:pPr>
              <w:spacing w:before="0" w:after="0"/>
            </w:pPr>
            <w:r>
              <w:rPr>
                <w:rFonts w:ascii="Arial" w:hAnsi="Arial"/>
                <w:sz w:val="17"/>
              </w:rPr>
              <w:t>Formularios web y campañas en RRSS («Edificios», cotizadores) que alimentan el sistema con su segmento (p. ej. edificio_lead) y alerta</w:t>
            </w:r>
          </w:p>
        </w:tc>
        <w:tc>
          <w:tcPr>
            <w:tcW w:type="dxa" w:w="2268"/>
            <w:shd w:val="clear" w:color="auto" w:fill="F2F4F7"/>
            <w:tcMar>
              <w:top w:w="60" w:type="dxa"/>
              <w:left w:w="110" w:type="dxa"/>
              <w:bottom w:w="60" w:type="dxa"/>
              <w:right w:w="110" w:type="dxa"/>
            </w:tcMar>
          </w:tcPr>
          <w:p>
            <w:pPr>
              <w:spacing w:before="0" w:after="0"/>
            </w:pPr>
            <w:r>
              <w:rPr>
                <w:rFonts w:ascii="Arial" w:hAnsi="Arial"/>
                <w:sz w:val="17"/>
              </w:rPr>
              <w:t>Web + Redes Sociales (canal activo)</w:t>
            </w:r>
          </w:p>
        </w:tc>
      </w:tr>
      <w:tr>
        <w:tc>
          <w:tcPr>
            <w:tcW w:type="dxa" w:w="1644"/>
            <w:tcMar>
              <w:top w:w="60" w:type="dxa"/>
              <w:left w:w="110" w:type="dxa"/>
              <w:bottom w:w="60" w:type="dxa"/>
              <w:right w:w="110" w:type="dxa"/>
            </w:tcMar>
          </w:tcPr>
          <w:p>
            <w:pPr>
              <w:spacing w:before="0" w:after="0"/>
            </w:pPr>
            <w:r>
              <w:rPr>
                <w:rFonts w:ascii="Arial" w:hAnsi="Arial"/>
                <w:b/>
                <w:sz w:val="17"/>
              </w:rPr>
              <w:t>Calificación</w:t>
            </w:r>
          </w:p>
        </w:tc>
        <w:tc>
          <w:tcPr>
            <w:tcW w:type="dxa" w:w="4592"/>
            <w:tcMar>
              <w:top w:w="60" w:type="dxa"/>
              <w:left w:w="110" w:type="dxa"/>
              <w:bottom w:w="60" w:type="dxa"/>
              <w:right w:w="110" w:type="dxa"/>
            </w:tcMar>
          </w:tcPr>
          <w:p>
            <w:pPr>
              <w:spacing w:before="0" w:after="0"/>
            </w:pPr>
            <w:r>
              <w:rPr>
                <w:rFonts w:ascii="Arial" w:hAnsi="Arial"/>
                <w:sz w:val="17"/>
              </w:rPr>
              <w:t>Asignar perfil de comunidad (pequeña / mediana-grande) y banda esperada; solicitar antecedentes mínimos</w:t>
            </w:r>
          </w:p>
        </w:tc>
        <w:tc>
          <w:tcPr>
            <w:tcW w:type="dxa" w:w="2268"/>
            <w:tcMar>
              <w:top w:w="60" w:type="dxa"/>
              <w:left w:w="110" w:type="dxa"/>
              <w:bottom w:w="60" w:type="dxa"/>
              <w:right w:w="110" w:type="dxa"/>
            </w:tcMar>
          </w:tcPr>
          <w:p>
            <w:pPr>
              <w:spacing w:before="0" w:after="0"/>
            </w:pPr>
            <w:r>
              <w:rPr>
                <w:rFonts w:ascii="Arial" w:hAnsi="Arial"/>
                <w:sz w:val="17"/>
              </w:rPr>
              <w:t>Comercial + sistema</w:t>
            </w:r>
          </w:p>
        </w:tc>
      </w:tr>
      <w:tr>
        <w:tc>
          <w:tcPr>
            <w:tcW w:type="dxa" w:w="1644"/>
            <w:shd w:val="clear" w:color="auto" w:fill="F2F4F7"/>
            <w:tcMar>
              <w:top w:w="60" w:type="dxa"/>
              <w:left w:w="110" w:type="dxa"/>
              <w:bottom w:w="60" w:type="dxa"/>
              <w:right w:w="110" w:type="dxa"/>
            </w:tcMar>
          </w:tcPr>
          <w:p>
            <w:pPr>
              <w:spacing w:before="0" w:after="0"/>
            </w:pPr>
            <w:r>
              <w:rPr>
                <w:rFonts w:ascii="Arial" w:hAnsi="Arial"/>
                <w:b/>
                <w:sz w:val="17"/>
              </w:rPr>
              <w:t>Propuesta</w:t>
            </w:r>
          </w:p>
        </w:tc>
        <w:tc>
          <w:tcPr>
            <w:tcW w:type="dxa" w:w="4592"/>
            <w:shd w:val="clear" w:color="auto" w:fill="F2F4F7"/>
            <w:tcMar>
              <w:top w:w="60" w:type="dxa"/>
              <w:left w:w="110" w:type="dxa"/>
              <w:bottom w:w="60" w:type="dxa"/>
              <w:right w:w="110" w:type="dxa"/>
            </w:tcMar>
          </w:tcPr>
          <w:p>
            <w:pPr>
              <w:spacing w:before="0" w:after="0"/>
            </w:pPr>
            <w:r>
              <w:rPr>
                <w:rFonts w:ascii="Arial" w:hAnsi="Arial"/>
                <w:sz w:val="17"/>
              </w:rPr>
              <w:t>Licitación masiva + comparativa escrita con recomendación Precio/Cobertura en 24-48 h</w:t>
            </w:r>
          </w:p>
        </w:tc>
        <w:tc>
          <w:tcPr>
            <w:tcW w:type="dxa" w:w="2268"/>
            <w:shd w:val="clear" w:color="auto" w:fill="F2F4F7"/>
            <w:tcMar>
              <w:top w:w="60" w:type="dxa"/>
              <w:left w:w="110" w:type="dxa"/>
              <w:bottom w:w="60" w:type="dxa"/>
              <w:right w:w="110" w:type="dxa"/>
            </w:tcMar>
          </w:tcPr>
          <w:p>
            <w:pPr>
              <w:spacing w:before="0" w:after="0"/>
            </w:pPr>
            <w:r>
              <w:rPr>
                <w:rFonts w:ascii="Arial" w:hAnsi="Arial"/>
                <w:sz w:val="17"/>
              </w:rPr>
              <w:t>Comercial</w:t>
            </w:r>
          </w:p>
        </w:tc>
      </w:tr>
      <w:tr>
        <w:tc>
          <w:tcPr>
            <w:tcW w:type="dxa" w:w="1644"/>
            <w:tcMar>
              <w:top w:w="60" w:type="dxa"/>
              <w:left w:w="110" w:type="dxa"/>
              <w:bottom w:w="60" w:type="dxa"/>
              <w:right w:w="110" w:type="dxa"/>
            </w:tcMar>
          </w:tcPr>
          <w:p>
            <w:pPr>
              <w:spacing w:before="0" w:after="0"/>
            </w:pPr>
            <w:r>
              <w:rPr>
                <w:rFonts w:ascii="Arial" w:hAnsi="Arial"/>
                <w:b/>
                <w:sz w:val="17"/>
              </w:rPr>
              <w:t>Cierre</w:t>
            </w:r>
          </w:p>
        </w:tc>
        <w:tc>
          <w:tcPr>
            <w:tcW w:type="dxa" w:w="4592"/>
            <w:tcMar>
              <w:top w:w="60" w:type="dxa"/>
              <w:left w:w="110" w:type="dxa"/>
              <w:bottom w:w="60" w:type="dxa"/>
              <w:right w:w="110" w:type="dxa"/>
            </w:tcMar>
          </w:tcPr>
          <w:p>
            <w:pPr>
              <w:spacing w:before="0" w:after="0"/>
            </w:pPr>
            <w:r>
              <w:rPr>
                <w:rFonts w:ascii="Arial" w:hAnsi="Arial"/>
                <w:sz w:val="17"/>
              </w:rPr>
              <w:t>Reunión con el comité; aprobación formal; firma de la propuesta</w:t>
            </w:r>
          </w:p>
        </w:tc>
        <w:tc>
          <w:tcPr>
            <w:tcW w:type="dxa" w:w="2268"/>
            <w:tcMar>
              <w:top w:w="60" w:type="dxa"/>
              <w:left w:w="110" w:type="dxa"/>
              <w:bottom w:w="60" w:type="dxa"/>
              <w:right w:w="110" w:type="dxa"/>
            </w:tcMar>
          </w:tcPr>
          <w:p>
            <w:pPr>
              <w:spacing w:before="0" w:after="0"/>
            </w:pPr>
            <w:r>
              <w:rPr>
                <w:rFonts w:ascii="Arial" w:hAnsi="Arial"/>
                <w:sz w:val="17"/>
              </w:rPr>
              <w:t>Presencial</w:t>
            </w:r>
          </w:p>
        </w:tc>
      </w:tr>
      <w:tr>
        <w:tc>
          <w:tcPr>
            <w:tcW w:type="dxa" w:w="1644"/>
            <w:shd w:val="clear" w:color="auto" w:fill="F2F4F7"/>
            <w:tcMar>
              <w:top w:w="60" w:type="dxa"/>
              <w:left w:w="110" w:type="dxa"/>
              <w:bottom w:w="60" w:type="dxa"/>
              <w:right w:w="110" w:type="dxa"/>
            </w:tcMar>
          </w:tcPr>
          <w:p>
            <w:pPr>
              <w:spacing w:before="0" w:after="0"/>
            </w:pPr>
            <w:r>
              <w:rPr>
                <w:rFonts w:ascii="Arial" w:hAnsi="Arial"/>
                <w:b/>
                <w:sz w:val="17"/>
              </w:rPr>
              <w:t>Expansión</w:t>
            </w:r>
          </w:p>
        </w:tc>
        <w:tc>
          <w:tcPr>
            <w:tcW w:type="dxa" w:w="4592"/>
            <w:shd w:val="clear" w:color="auto" w:fill="F2F4F7"/>
            <w:tcMar>
              <w:top w:w="60" w:type="dxa"/>
              <w:left w:w="110" w:type="dxa"/>
              <w:bottom w:w="60" w:type="dxa"/>
              <w:right w:w="110" w:type="dxa"/>
            </w:tcMar>
          </w:tcPr>
          <w:p>
            <w:pPr>
              <w:spacing w:before="0" w:after="0"/>
            </w:pPr>
            <w:r>
              <w:rPr>
                <w:rFonts w:ascii="Arial" w:hAnsi="Arial"/>
                <w:sz w:val="17"/>
              </w:rPr>
              <w:t>Activar cross-selling a residentes (auto, hogar, vida) al convertir el edificio</w:t>
            </w:r>
          </w:p>
        </w:tc>
        <w:tc>
          <w:tcPr>
            <w:tcW w:type="dxa" w:w="2268"/>
            <w:shd w:val="clear" w:color="auto" w:fill="F2F4F7"/>
            <w:tcMar>
              <w:top w:w="60" w:type="dxa"/>
              <w:left w:w="110" w:type="dxa"/>
              <w:bottom w:w="60" w:type="dxa"/>
              <w:right w:w="110" w:type="dxa"/>
            </w:tcMar>
          </w:tcPr>
          <w:p>
            <w:pPr>
              <w:spacing w:before="0" w:after="0"/>
            </w:pPr>
            <w:r>
              <w:rPr>
                <w:rFonts w:ascii="Arial" w:hAnsi="Arial"/>
                <w:sz w:val="17"/>
              </w:rPr>
              <w:t>Sistema (campaña automática)</w:t>
            </w:r>
          </w:p>
        </w:tc>
      </w:tr>
    </w:tbl>
    <w:p>
      <w:pPr>
        <w:spacing w:after="40"/>
      </w:pPr>
    </w:p>
    <w:p>
      <w:pPr>
        <w:pStyle w:val="Heading3"/>
      </w:pPr>
      <w:r>
        <w:t>5.4.1 Web y Redes Sociales como Canales Activos de Adquisición (Inbound)</w:t>
      </w:r>
    </w:p>
    <w:p>
      <w:r>
        <w:rPr>
          <w:b w:val="0"/>
          <w:i w:val="0"/>
        </w:rPr>
        <w:t>La Web y las Redes Sociales dejan de ser un mero respaldo de imagen y pasan a ser canales paralelos de adquisición activa. Operan como motor de Inbound Marketing y como fuente continua de leads pasivos que entran solos, las 24 horas, y alimentan el embudo junto con la prospección presencial de comunidades. No reemplazan al Motor de Comunidades: lo complementan, ensanchando la boca del embudo.</w:t>
      </w:r>
    </w:p>
    <w:tbl>
      <w:tblPr>
        <w:tblStyle w:val="TableGrid"/>
        <w:tblW w:type="auto" w:w="0"/>
        <w:jc w:val="center"/>
        <w:tblLook w:firstColumn="1" w:firstRow="1" w:lastColumn="0" w:lastRow="0" w:noHBand="0" w:noVBand="1" w:val="04A0"/>
      </w:tblPr>
      <w:tblGrid>
        <w:gridCol w:w="2880"/>
        <w:gridCol w:w="2880"/>
        <w:gridCol w:w="2880"/>
      </w:tblGrid>
      <w:tr>
        <w:tc>
          <w:tcPr>
            <w:tcW w:type="dxa" w:w="1474"/>
            <w:shd w:val="clear" w:color="auto" w:fill="1B3A6B"/>
            <w:tcMar>
              <w:top w:w="60" w:type="dxa"/>
              <w:left w:w="110" w:type="dxa"/>
              <w:bottom w:w="60" w:type="dxa"/>
              <w:right w:w="110" w:type="dxa"/>
            </w:tcMar>
          </w:tcPr>
          <w:p>
            <w:pPr>
              <w:spacing w:before="0" w:after="0"/>
            </w:pPr>
            <w:r>
              <w:rPr>
                <w:rFonts w:ascii="Arial" w:hAnsi="Arial"/>
                <w:b/>
                <w:color w:val="FFFFFF"/>
                <w:sz w:val="17"/>
              </w:rPr>
              <w:t>Canal</w:t>
            </w:r>
          </w:p>
        </w:tc>
        <w:tc>
          <w:tcPr>
            <w:tcW w:type="dxa" w:w="4762"/>
            <w:shd w:val="clear" w:color="auto" w:fill="1B3A6B"/>
            <w:tcMar>
              <w:top w:w="60" w:type="dxa"/>
              <w:left w:w="110" w:type="dxa"/>
              <w:bottom w:w="60" w:type="dxa"/>
              <w:right w:w="110" w:type="dxa"/>
            </w:tcMar>
          </w:tcPr>
          <w:p>
            <w:pPr>
              <w:spacing w:before="0" w:after="0"/>
            </w:pPr>
            <w:r>
              <w:rPr>
                <w:rFonts w:ascii="Arial" w:hAnsi="Arial"/>
                <w:b/>
                <w:color w:val="FFFFFF"/>
                <w:sz w:val="17"/>
              </w:rPr>
              <w:t>Táctica de adquisición activa</w:t>
            </w:r>
          </w:p>
        </w:tc>
        <w:tc>
          <w:tcPr>
            <w:tcW w:type="dxa" w:w="2268"/>
            <w:shd w:val="clear" w:color="auto" w:fill="1B3A6B"/>
            <w:tcMar>
              <w:top w:w="60" w:type="dxa"/>
              <w:left w:w="110" w:type="dxa"/>
              <w:bottom w:w="60" w:type="dxa"/>
              <w:right w:w="110" w:type="dxa"/>
            </w:tcMar>
          </w:tcPr>
          <w:p>
            <w:pPr>
              <w:spacing w:before="0" w:after="0"/>
            </w:pPr>
            <w:r>
              <w:rPr>
                <w:rFonts w:ascii="Arial" w:hAnsi="Arial"/>
                <w:b/>
                <w:color w:val="FFFFFF"/>
                <w:sz w:val="17"/>
              </w:rPr>
              <w:t>Resultado esperado</w:t>
            </w:r>
          </w:p>
        </w:tc>
      </w:tr>
      <w:tr>
        <w:tc>
          <w:tcPr>
            <w:tcW w:type="dxa" w:w="1474"/>
            <w:tcMar>
              <w:top w:w="60" w:type="dxa"/>
              <w:left w:w="110" w:type="dxa"/>
              <w:bottom w:w="60" w:type="dxa"/>
              <w:right w:w="110" w:type="dxa"/>
            </w:tcMar>
          </w:tcPr>
          <w:p>
            <w:pPr>
              <w:spacing w:before="0" w:after="0"/>
            </w:pPr>
            <w:r>
              <w:rPr>
                <w:rFonts w:ascii="Arial" w:hAnsi="Arial"/>
                <w:b/>
                <w:sz w:val="17"/>
              </w:rPr>
              <w:t>Web (Inbound)</w:t>
            </w:r>
          </w:p>
        </w:tc>
        <w:tc>
          <w:tcPr>
            <w:tcW w:type="dxa" w:w="4762"/>
            <w:tcMar>
              <w:top w:w="60" w:type="dxa"/>
              <w:left w:w="110" w:type="dxa"/>
              <w:bottom w:w="60" w:type="dxa"/>
              <w:right w:w="110" w:type="dxa"/>
            </w:tcMar>
          </w:tcPr>
          <w:p>
            <w:pPr>
              <w:spacing w:before="0" w:after="0"/>
            </w:pPr>
            <w:r>
              <w:rPr>
                <w:rFonts w:ascii="Arial" w:hAnsi="Arial"/>
                <w:sz w:val="17"/>
              </w:rPr>
              <w:t>Contenido útil por nicho (copropiedad y Ley 21.442, hogar, vehículo, vida), landings por motor y cotizadores que capturan el lead con su segmento.</w:t>
            </w:r>
          </w:p>
        </w:tc>
        <w:tc>
          <w:tcPr>
            <w:tcW w:type="dxa" w:w="2268"/>
            <w:tcMar>
              <w:top w:w="60" w:type="dxa"/>
              <w:left w:w="110" w:type="dxa"/>
              <w:bottom w:w="60" w:type="dxa"/>
              <w:right w:w="110" w:type="dxa"/>
            </w:tcMar>
          </w:tcPr>
          <w:p>
            <w:pPr>
              <w:spacing w:before="0" w:after="0"/>
            </w:pPr>
            <w:r>
              <w:rPr>
                <w:rFonts w:ascii="Arial" w:hAnsi="Arial"/>
                <w:sz w:val="17"/>
              </w:rPr>
              <w:t>Leads entrantes calificados, con intención, hacia el SGA.</w:t>
            </w:r>
          </w:p>
        </w:tc>
      </w:tr>
      <w:tr>
        <w:tc>
          <w:tcPr>
            <w:tcW w:type="dxa" w:w="1474"/>
            <w:shd w:val="clear" w:color="auto" w:fill="F2F4F7"/>
            <w:tcMar>
              <w:top w:w="60" w:type="dxa"/>
              <w:left w:w="110" w:type="dxa"/>
              <w:bottom w:w="60" w:type="dxa"/>
              <w:right w:w="110" w:type="dxa"/>
            </w:tcMar>
          </w:tcPr>
          <w:p>
            <w:pPr>
              <w:spacing w:before="0" w:after="0"/>
            </w:pPr>
            <w:r>
              <w:rPr>
                <w:rFonts w:ascii="Arial" w:hAnsi="Arial"/>
                <w:b/>
                <w:sz w:val="17"/>
              </w:rPr>
              <w:t>Redes Sociales</w:t>
            </w:r>
          </w:p>
        </w:tc>
        <w:tc>
          <w:tcPr>
            <w:tcW w:type="dxa" w:w="4762"/>
            <w:shd w:val="clear" w:color="auto" w:fill="F2F4F7"/>
            <w:tcMar>
              <w:top w:w="60" w:type="dxa"/>
              <w:left w:w="110" w:type="dxa"/>
              <w:bottom w:w="60" w:type="dxa"/>
              <w:right w:w="110" w:type="dxa"/>
            </w:tcMar>
          </w:tcPr>
          <w:p>
            <w:pPr>
              <w:spacing w:before="0" w:after="0"/>
            </w:pPr>
            <w:r>
              <w:rPr>
                <w:rFonts w:ascii="Arial" w:hAnsi="Arial"/>
                <w:sz w:val="17"/>
              </w:rPr>
              <w:t>Publicación regular de contenido educativo y casos; campañas segmentadas; respuesta a consultas que se convierten en leads.</w:t>
            </w:r>
          </w:p>
        </w:tc>
        <w:tc>
          <w:tcPr>
            <w:tcW w:type="dxa" w:w="2268"/>
            <w:shd w:val="clear" w:color="auto" w:fill="F2F4F7"/>
            <w:tcMar>
              <w:top w:w="60" w:type="dxa"/>
              <w:left w:w="110" w:type="dxa"/>
              <w:bottom w:w="60" w:type="dxa"/>
              <w:right w:w="110" w:type="dxa"/>
            </w:tcMar>
          </w:tcPr>
          <w:p>
            <w:pPr>
              <w:spacing w:before="0" w:after="0"/>
            </w:pPr>
            <w:r>
              <w:rPr>
                <w:rFonts w:ascii="Arial" w:hAnsi="Arial"/>
                <w:sz w:val="17"/>
              </w:rPr>
              <w:t>Flujo continuo de contactos y notoriedad local.</w:t>
            </w:r>
          </w:p>
        </w:tc>
      </w:tr>
      <w:tr>
        <w:tc>
          <w:tcPr>
            <w:tcW w:type="dxa" w:w="1474"/>
            <w:tcMar>
              <w:top w:w="60" w:type="dxa"/>
              <w:left w:w="110" w:type="dxa"/>
              <w:bottom w:w="60" w:type="dxa"/>
              <w:right w:w="110" w:type="dxa"/>
            </w:tcMar>
          </w:tcPr>
          <w:p>
            <w:pPr>
              <w:spacing w:before="0" w:after="0"/>
            </w:pPr>
            <w:r>
              <w:rPr>
                <w:rFonts w:ascii="Arial" w:hAnsi="Arial"/>
                <w:b/>
                <w:sz w:val="17"/>
              </w:rPr>
              <w:t>Captura y ruteo</w:t>
            </w:r>
          </w:p>
        </w:tc>
        <w:tc>
          <w:tcPr>
            <w:tcW w:type="dxa" w:w="4762"/>
            <w:tcMar>
              <w:top w:w="60" w:type="dxa"/>
              <w:left w:w="110" w:type="dxa"/>
              <w:bottom w:w="60" w:type="dxa"/>
              <w:right w:w="110" w:type="dxa"/>
            </w:tcMar>
          </w:tcPr>
          <w:p>
            <w:pPr>
              <w:spacing w:before="0" w:after="0"/>
            </w:pPr>
            <w:r>
              <w:rPr>
                <w:rFonts w:ascii="Arial" w:hAnsi="Arial"/>
                <w:sz w:val="17"/>
              </w:rPr>
              <w:t>Todo formulario y mensaje entra al sistema con su etiqueta y dispara alerta al responsable, con el mismo SLA de primer contacto.</w:t>
            </w:r>
          </w:p>
        </w:tc>
        <w:tc>
          <w:tcPr>
            <w:tcW w:type="dxa" w:w="2268"/>
            <w:tcMar>
              <w:top w:w="60" w:type="dxa"/>
              <w:left w:w="110" w:type="dxa"/>
              <w:bottom w:w="60" w:type="dxa"/>
              <w:right w:w="110" w:type="dxa"/>
            </w:tcMar>
          </w:tcPr>
          <w:p>
            <w:pPr>
              <w:spacing w:before="0" w:after="0"/>
            </w:pPr>
            <w:r>
              <w:rPr>
                <w:rFonts w:ascii="Arial" w:hAnsi="Arial"/>
                <w:sz w:val="17"/>
              </w:rPr>
              <w:t>Cero leads perdidos; trazabilidad completa.</w:t>
            </w:r>
          </w:p>
        </w:tc>
      </w:tr>
    </w:tbl>
    <w:p>
      <w:pPr>
        <w:spacing w:after="40"/>
      </w:pPr>
    </w:p>
    <w:p>
      <w:r>
        <w:rPr>
          <w:b w:val="0"/>
          <w:i w:val="0"/>
        </w:rPr>
        <w:t>Estos canales se nutren del schema audiencia (especificado en el Operational Plan §1.3), que centraliza plataformas públicas, embudo de leads digitales y programas de fidelización.</w:t>
      </w:r>
    </w:p>
    <w:p>
      <w:pPr>
        <w:pStyle w:val="Heading3"/>
      </w:pPr>
      <w:r>
        <w:t>5.4.2 Cuidado del Cliente y Fidelización</w:t>
      </w:r>
    </w:p>
    <w:p>
      <w:r>
        <w:rPr>
          <w:b w:val="0"/>
          <w:i w:val="0"/>
        </w:rPr>
        <w:t>Captar es la mitad del trabajo; retener es la que sostiene el plan. La fidelización deja de ser un gesto informal y se convierte en una operación ordenada, apalancada en el schema audiencia, orientada a aumentar la retención y el cross-selling de la cartera existente:</w:t>
      </w:r>
    </w:p>
    <w:p>
      <w:pPr>
        <w:pStyle w:val="ListBullet"/>
      </w:pPr>
      <w:r>
        <w:rPr>
          <w:b/>
        </w:rPr>
        <w:t xml:space="preserve">Cuidado del cliente — </w:t>
      </w:r>
      <w:r>
        <w:t>saludos y gestos en fechas relevantes del cliente (p. ej. cumpleaños), gestionados desde el sistema para que ninguno se pierda.</w:t>
      </w:r>
    </w:p>
    <w:p>
      <w:pPr>
        <w:pStyle w:val="ListBullet"/>
      </w:pPr>
      <w:r>
        <w:rPr>
          <w:b/>
        </w:rPr>
        <w:t xml:space="preserve">Concursos y beneficios — </w:t>
      </w:r>
      <w:r>
        <w:t>concursos y beneficios para la comunidad de clientes y seguidores, como vía de engagement y de referidos.</w:t>
      </w:r>
    </w:p>
    <w:p>
      <w:pPr>
        <w:pStyle w:val="ListBullet"/>
      </w:pPr>
      <w:r>
        <w:rPr>
          <w:b/>
        </w:rPr>
        <w:t xml:space="preserve">Contacto de valor — </w:t>
      </w:r>
      <w:r>
        <w:t>comunicación de valor continua (recordatorios útiles, educación, avisos de renovación proactivos) que refuerza la relación entre pólizas.</w:t>
      </w:r>
    </w:p>
    <w:p>
      <w:pPr>
        <w:pStyle w:val="ListBullet"/>
      </w:pPr>
      <w:r>
        <w:rPr>
          <w:b/>
        </w:rPr>
        <w:t xml:space="preserve">Medición — </w:t>
      </w:r>
      <w:r>
        <w:t>todo ello medido: la fidelización exitosa se refleja en el ratio de renovación y en la profundidad de la cartera (pólizas por cliente).</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ADQUIRIR Y CUIDAR, SIN BAJAR EL ESTÁNDAR</w:t>
            </w:r>
          </w:p>
          <w:p>
            <w:pPr>
              <w:spacing w:before="60" w:after="0"/>
            </w:pPr>
            <w:r>
              <w:rPr>
                <w:rFonts w:ascii="Arial" w:hAnsi="Arial"/>
                <w:sz w:val="20"/>
              </w:rPr>
              <w:t>Web, RRSS y fidelización amplían el alcance y la retención, pero no cambian la regla: toda recomendación se ordena por Precio/Cobertura. Más canales significan más oportunidades de servir bien al cliente, nunca una excusa para empujar productos.</w:t>
            </w:r>
          </w:p>
        </w:tc>
      </w:tr>
    </w:tbl>
    <w:p>
      <w:pPr>
        <w:spacing w:after="40"/>
      </w:pPr>
    </w:p>
    <w:p>
      <w:pPr>
        <w:pStyle w:val="Heading2"/>
      </w:pPr>
      <w:r>
        <w:t>5.5 Precedente Studio III — Plantilla Oficial de Abordaje de Comunidades</w:t>
      </w:r>
    </w:p>
    <w:p>
      <w:r>
        <w:rPr>
          <w:b w:val="0"/>
          <w:i w:val="0"/>
        </w:rPr>
        <w:t>Studio III es el primer despliegue real del Motor de Comunidades y, por tanto, la plantilla oficial de abordaje. Es un edificio de oficinas en el que Aegis ya opera como corredor oficial y titular encargado de la póliza de incendio obligatoria de los bienes comunes (Ley 21.442). Esa posición de titularidad es exactamente el punto de apoyo del motor: desde la cuña obligatoria ya ganada, se despliega una campaña de cross-selling hacia la cartera de personas asociadas a la comunidad. Todo abordaje de comunidad se modela a partir de este precedente.</w:t>
      </w:r>
    </w:p>
    <w:p>
      <w:pPr>
        <w:pStyle w:val="Heading3"/>
      </w:pPr>
      <w:r>
        <w:t>5.5.1 Estructura de Propuesta Dividida y Asimétrica</w:t>
      </w:r>
    </w:p>
    <w:p>
      <w:r>
        <w:rPr>
          <w:b w:val="0"/>
          <w:i w:val="0"/>
        </w:rPr>
        <w:t>La propuesta comercial se estructura en dos frentes específicos, con destinatarios, objetivos y tono distintos. Nunca se mezclan: el comité autoriza; los ocupantes optan.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64"/>
            <w:shd w:val="clear" w:color="auto" w:fill="1B3A6B"/>
            <w:tcMar>
              <w:top w:w="60" w:type="dxa"/>
              <w:left w:w="110" w:type="dxa"/>
              <w:bottom w:w="60" w:type="dxa"/>
              <w:right w:w="110" w:type="dxa"/>
            </w:tcMar>
          </w:tcPr>
          <w:p>
            <w:pPr>
              <w:spacing w:before="0" w:after="0"/>
            </w:pPr>
            <w:r>
              <w:rPr>
                <w:rFonts w:ascii="Arial" w:hAnsi="Arial"/>
                <w:b/>
                <w:color w:val="FFFFFF"/>
                <w:sz w:val="17"/>
              </w:rPr>
              <w:t>Frente</w:t>
            </w:r>
          </w:p>
        </w:tc>
        <w:tc>
          <w:tcPr>
            <w:tcW w:type="dxa" w:w="2041"/>
            <w:shd w:val="clear" w:color="auto" w:fill="1B3A6B"/>
            <w:tcMar>
              <w:top w:w="60" w:type="dxa"/>
              <w:left w:w="110" w:type="dxa"/>
              <w:bottom w:w="60" w:type="dxa"/>
              <w:right w:w="110" w:type="dxa"/>
            </w:tcMar>
          </w:tcPr>
          <w:p>
            <w:pPr>
              <w:spacing w:before="0" w:after="0"/>
            </w:pPr>
            <w:r>
              <w:rPr>
                <w:rFonts w:ascii="Arial" w:hAnsi="Arial"/>
                <w:b/>
                <w:color w:val="FFFFFF"/>
                <w:sz w:val="17"/>
              </w:rPr>
              <w:t>Destinatario</w:t>
            </w:r>
          </w:p>
        </w:tc>
        <w:tc>
          <w:tcPr>
            <w:tcW w:type="dxa" w:w="3175"/>
            <w:shd w:val="clear" w:color="auto" w:fill="1B3A6B"/>
            <w:tcMar>
              <w:top w:w="60" w:type="dxa"/>
              <w:left w:w="110" w:type="dxa"/>
              <w:bottom w:w="60" w:type="dxa"/>
              <w:right w:w="110" w:type="dxa"/>
            </w:tcMar>
          </w:tcPr>
          <w:p>
            <w:pPr>
              <w:spacing w:before="0" w:after="0"/>
            </w:pPr>
            <w:r>
              <w:rPr>
                <w:rFonts w:ascii="Arial" w:hAnsi="Arial"/>
                <w:b/>
                <w:color w:val="FFFFFF"/>
                <w:sz w:val="17"/>
              </w:rPr>
              <w:t>Naturaleza y objetivo</w:t>
            </w:r>
          </w:p>
        </w:tc>
        <w:tc>
          <w:tcPr>
            <w:tcW w:type="dxa" w:w="2324"/>
            <w:shd w:val="clear" w:color="auto" w:fill="1B3A6B"/>
            <w:tcMar>
              <w:top w:w="60" w:type="dxa"/>
              <w:left w:w="110" w:type="dxa"/>
              <w:bottom w:w="60" w:type="dxa"/>
              <w:right w:w="110" w:type="dxa"/>
            </w:tcMar>
          </w:tcPr>
          <w:p>
            <w:pPr>
              <w:spacing w:before="0" w:after="0"/>
            </w:pPr>
            <w:r>
              <w:rPr>
                <w:rFonts w:ascii="Arial" w:hAnsi="Arial"/>
                <w:b/>
                <w:color w:val="FFFFFF"/>
                <w:sz w:val="17"/>
              </w:rPr>
              <w:t>Petición concreta</w:t>
            </w:r>
          </w:p>
        </w:tc>
      </w:tr>
      <w:tr>
        <w:tc>
          <w:tcPr>
            <w:tcW w:type="dxa" w:w="964"/>
            <w:tcMar>
              <w:top w:w="60" w:type="dxa"/>
              <w:left w:w="110" w:type="dxa"/>
              <w:bottom w:w="60" w:type="dxa"/>
              <w:right w:w="110" w:type="dxa"/>
            </w:tcMar>
          </w:tcPr>
          <w:p>
            <w:pPr>
              <w:spacing w:before="0" w:after="0"/>
            </w:pPr>
            <w:r>
              <w:rPr>
                <w:rFonts w:ascii="Arial" w:hAnsi="Arial"/>
                <w:b/>
                <w:sz w:val="17"/>
              </w:rPr>
              <w:t>Parte A</w:t>
            </w:r>
          </w:p>
        </w:tc>
        <w:tc>
          <w:tcPr>
            <w:tcW w:type="dxa" w:w="2041"/>
            <w:tcMar>
              <w:top w:w="60" w:type="dxa"/>
              <w:left w:w="110" w:type="dxa"/>
              <w:bottom w:w="60" w:type="dxa"/>
              <w:right w:w="110" w:type="dxa"/>
            </w:tcMar>
          </w:tcPr>
          <w:p>
            <w:pPr>
              <w:spacing w:before="0" w:after="0"/>
            </w:pPr>
            <w:r>
              <w:rPr>
                <w:rFonts w:ascii="Arial" w:hAnsi="Arial"/>
                <w:sz w:val="17"/>
              </w:rPr>
              <w:t>Comité de Administración de Studio III</w:t>
            </w:r>
          </w:p>
        </w:tc>
        <w:tc>
          <w:tcPr>
            <w:tcW w:type="dxa" w:w="3175"/>
            <w:tcMar>
              <w:top w:w="60" w:type="dxa"/>
              <w:left w:w="110" w:type="dxa"/>
              <w:bottom w:w="60" w:type="dxa"/>
              <w:right w:w="110" w:type="dxa"/>
            </w:tcMar>
          </w:tcPr>
          <w:p>
            <w:pPr>
              <w:spacing w:before="0" w:after="0"/>
            </w:pPr>
            <w:r>
              <w:rPr>
                <w:rFonts w:ascii="Arial" w:hAnsi="Arial"/>
                <w:sz w:val="17"/>
              </w:rPr>
              <w:t>Documento formal enfocado en la extensión de beneficios para la copropiedad. Tono institucional y transparente.</w:t>
            </w:r>
          </w:p>
        </w:tc>
        <w:tc>
          <w:tcPr>
            <w:tcW w:type="dxa" w:w="2324"/>
            <w:tcMar>
              <w:top w:w="60" w:type="dxa"/>
              <w:left w:w="110" w:type="dxa"/>
              <w:bottom w:w="60" w:type="dxa"/>
              <w:right w:w="110" w:type="dxa"/>
            </w:tcMar>
          </w:tcPr>
          <w:p>
            <w:pPr>
              <w:spacing w:before="0" w:after="0"/>
            </w:pPr>
            <w:r>
              <w:rPr>
                <w:rFonts w:ascii="Arial" w:hAnsi="Arial"/>
                <w:sz w:val="17"/>
              </w:rPr>
              <w:t>Autorización institucional para difundir la circular a los locatarios, sin costos ocultos para la administración.</w:t>
            </w:r>
          </w:p>
        </w:tc>
      </w:tr>
      <w:tr>
        <w:tc>
          <w:tcPr>
            <w:tcW w:type="dxa" w:w="964"/>
            <w:shd w:val="clear" w:color="auto" w:fill="F2F4F7"/>
            <w:tcMar>
              <w:top w:w="60" w:type="dxa"/>
              <w:left w:w="110" w:type="dxa"/>
              <w:bottom w:w="60" w:type="dxa"/>
              <w:right w:w="110" w:type="dxa"/>
            </w:tcMar>
          </w:tcPr>
          <w:p>
            <w:pPr>
              <w:spacing w:before="0" w:after="0"/>
            </w:pPr>
            <w:r>
              <w:rPr>
                <w:rFonts w:ascii="Arial" w:hAnsi="Arial"/>
                <w:b/>
                <w:sz w:val="17"/>
              </w:rPr>
              <w:t>Parte B</w:t>
            </w:r>
          </w:p>
        </w:tc>
        <w:tc>
          <w:tcPr>
            <w:tcW w:type="dxa" w:w="2041"/>
            <w:shd w:val="clear" w:color="auto" w:fill="F2F4F7"/>
            <w:tcMar>
              <w:top w:w="60" w:type="dxa"/>
              <w:left w:w="110" w:type="dxa"/>
              <w:bottom w:w="60" w:type="dxa"/>
              <w:right w:w="110" w:type="dxa"/>
            </w:tcMar>
          </w:tcPr>
          <w:p>
            <w:pPr>
              <w:spacing w:before="0" w:after="0"/>
            </w:pPr>
            <w:r>
              <w:rPr>
                <w:rFonts w:ascii="Arial" w:hAnsi="Arial"/>
                <w:sz w:val="17"/>
              </w:rPr>
              <w:t>Propietarios e inquilinos de Studio III</w:t>
            </w:r>
          </w:p>
        </w:tc>
        <w:tc>
          <w:tcPr>
            <w:tcW w:type="dxa" w:w="3175"/>
            <w:shd w:val="clear" w:color="auto" w:fill="F2F4F7"/>
            <w:tcMar>
              <w:top w:w="60" w:type="dxa"/>
              <w:left w:w="110" w:type="dxa"/>
              <w:bottom w:w="60" w:type="dxa"/>
              <w:right w:w="110" w:type="dxa"/>
            </w:tcMar>
          </w:tcPr>
          <w:p>
            <w:pPr>
              <w:spacing w:before="0" w:after="0"/>
            </w:pPr>
            <w:r>
              <w:rPr>
                <w:rFonts w:ascii="Arial" w:hAnsi="Arial"/>
                <w:sz w:val="17"/>
              </w:rPr>
              <w:t>Circular de optimización que invita a someter los contratos actuales a revisión técnica y recotización masiva, sin compromiso.</w:t>
            </w:r>
          </w:p>
        </w:tc>
        <w:tc>
          <w:tcPr>
            <w:tcW w:type="dxa" w:w="2324"/>
            <w:shd w:val="clear" w:color="auto" w:fill="F2F4F7"/>
            <w:tcMar>
              <w:top w:w="60" w:type="dxa"/>
              <w:left w:w="110" w:type="dxa"/>
              <w:bottom w:w="60" w:type="dxa"/>
              <w:right w:w="110" w:type="dxa"/>
            </w:tcMar>
          </w:tcPr>
          <w:p>
            <w:pPr>
              <w:spacing w:before="0" w:after="0"/>
            </w:pPr>
            <w:r>
              <w:rPr>
                <w:rFonts w:ascii="Arial" w:hAnsi="Arial"/>
                <w:sz w:val="17"/>
              </w:rPr>
              <w:t>Que el ocupante acepte una revisión gratuita de sus seguros y reciba una comparativa Precio/Cobertura.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BLINDAJE ANTI-COHECHO EN EL PRECEDENTE</w:t>
            </w:r>
          </w:p>
          <w:p>
            <w:pPr>
              <w:spacing w:before="60" w:after="0"/>
            </w:pPr>
            <w:r>
              <w:rPr>
                <w:rFonts w:ascii="Arial" w:hAnsi="Arial"/>
                <w:sz w:val="20"/>
              </w:rPr>
              <w:t>La Parte A NO es un formalismo: es el blindaje anti-cohecho del Corporate OS §3.1 aplicado en terreno. El comité conoce y autoriza por escrito la difusión, y se deja explícito que no hay costos ocultos para la administración. Sin esa autorización institucional documentada, la Parte B no se distribuye.</w:t>
            </w:r>
          </w:p>
        </w:tc>
      </w:tr>
    </w:tbl>
    <w:p>
      <w:pPr>
        <w:spacing w:after="40"/>
      </w:pPr>
    </w:p>
    <w:p>
      <w:pPr>
        <w:pStyle w:val="Heading3"/>
      </w:pPr>
      <w:r>
        <w:t>5.5.2 Portafolio Ofrecido a la Comunidad</w:t>
      </w:r>
    </w:p>
    <w:p>
      <w:r>
        <w:rPr>
          <w:b w:val="0"/>
          <w:i w:val="0"/>
        </w:rPr>
        <w:t>La circular a ocupantes (Parte B) abre el catálogo completo para captar la cartera de personas del edificio, siempre bajo el estándar Precio/Cobertura:</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B3A6B"/>
            <w:tcMar>
              <w:top w:w="60" w:type="dxa"/>
              <w:left w:w="110" w:type="dxa"/>
              <w:bottom w:w="60" w:type="dxa"/>
              <w:right w:w="110" w:type="dxa"/>
            </w:tcMar>
          </w:tcPr>
          <w:p>
            <w:pPr>
              <w:spacing w:before="0" w:after="0"/>
            </w:pPr>
            <w:r>
              <w:rPr>
                <w:rFonts w:ascii="Arial" w:hAnsi="Arial"/>
                <w:b/>
                <w:color w:val="FFFFFF"/>
                <w:sz w:val="18"/>
              </w:rPr>
              <w:t>Línea</w:t>
            </w:r>
          </w:p>
        </w:tc>
        <w:tc>
          <w:tcPr>
            <w:tcW w:type="dxa" w:w="6236"/>
            <w:shd w:val="clear" w:color="auto" w:fill="1B3A6B"/>
            <w:tcMar>
              <w:top w:w="60" w:type="dxa"/>
              <w:left w:w="110" w:type="dxa"/>
              <w:bottom w:w="60" w:type="dxa"/>
              <w:right w:w="110" w:type="dxa"/>
            </w:tcMar>
          </w:tcPr>
          <w:p>
            <w:pPr>
              <w:spacing w:before="0" w:after="0"/>
            </w:pPr>
            <w:r>
              <w:rPr>
                <w:rFonts w:ascii="Arial" w:hAnsi="Arial"/>
                <w:b/>
                <w:color w:val="FFFFFF"/>
                <w:sz w:val="18"/>
              </w:rPr>
              <w:t>Coberturas ofrecidas</w:t>
            </w:r>
          </w:p>
        </w:tc>
      </w:tr>
      <w:tr>
        <w:tc>
          <w:tcPr>
            <w:tcW w:type="dxa" w:w="2268"/>
            <w:tcMar>
              <w:top w:w="60" w:type="dxa"/>
              <w:left w:w="110" w:type="dxa"/>
              <w:bottom w:w="60" w:type="dxa"/>
              <w:right w:w="110" w:type="dxa"/>
            </w:tcMar>
          </w:tcPr>
          <w:p>
            <w:pPr>
              <w:spacing w:before="0" w:after="0"/>
            </w:pPr>
            <w:r>
              <w:rPr>
                <w:rFonts w:ascii="Arial" w:hAnsi="Arial"/>
                <w:b/>
                <w:sz w:val="18"/>
              </w:rPr>
              <w:t>Empresas / PYME</w:t>
            </w:r>
          </w:p>
        </w:tc>
        <w:tc>
          <w:tcPr>
            <w:tcW w:type="dxa" w:w="6236"/>
            <w:tcMar>
              <w:top w:w="60" w:type="dxa"/>
              <w:left w:w="110" w:type="dxa"/>
              <w:bottom w:w="60" w:type="dxa"/>
              <w:right w:w="110" w:type="dxa"/>
            </w:tcMar>
          </w:tcPr>
          <w:p>
            <w:pPr>
              <w:spacing w:before="0" w:after="0"/>
            </w:pPr>
            <w:r>
              <w:rPr>
                <w:rFonts w:ascii="Arial" w:hAnsi="Arial"/>
                <w:sz w:val="18"/>
              </w:rPr>
              <w:t>Multirriesgo, RC patronal, equipos electrónicos.</w:t>
            </w:r>
          </w:p>
        </w:tc>
      </w:tr>
      <w:tr>
        <w:tc>
          <w:tcPr>
            <w:tcW w:type="dxa" w:w="2268"/>
            <w:shd w:val="clear" w:color="auto" w:fill="F2F4F7"/>
            <w:tcMar>
              <w:top w:w="60" w:type="dxa"/>
              <w:left w:w="110" w:type="dxa"/>
              <w:bottom w:w="60" w:type="dxa"/>
              <w:right w:w="110" w:type="dxa"/>
            </w:tcMar>
          </w:tcPr>
          <w:p>
            <w:pPr>
              <w:spacing w:before="0" w:after="0"/>
            </w:pPr>
            <w:r>
              <w:rPr>
                <w:rFonts w:ascii="Arial" w:hAnsi="Arial"/>
                <w:b/>
                <w:sz w:val="18"/>
              </w:rPr>
              <w:t>Hogar Individual</w:t>
            </w:r>
          </w:p>
        </w:tc>
        <w:tc>
          <w:tcPr>
            <w:tcW w:type="dxa" w:w="6236"/>
            <w:shd w:val="clear" w:color="auto" w:fill="F2F4F7"/>
            <w:tcMar>
              <w:top w:w="60" w:type="dxa"/>
              <w:left w:w="110" w:type="dxa"/>
              <w:bottom w:w="60" w:type="dxa"/>
              <w:right w:w="110" w:type="dxa"/>
            </w:tcMar>
          </w:tcPr>
          <w:p>
            <w:pPr>
              <w:spacing w:before="0" w:after="0"/>
            </w:pPr>
            <w:r>
              <w:rPr>
                <w:rFonts w:ascii="Arial" w:hAnsi="Arial"/>
                <w:sz w:val="18"/>
              </w:rPr>
              <w:t>Incendio, robo, daños por agua.</w:t>
            </w:r>
          </w:p>
        </w:tc>
      </w:tr>
      <w:tr>
        <w:tc>
          <w:tcPr>
            <w:tcW w:type="dxa" w:w="2268"/>
            <w:tcMar>
              <w:top w:w="60" w:type="dxa"/>
              <w:left w:w="110" w:type="dxa"/>
              <w:bottom w:w="60" w:type="dxa"/>
              <w:right w:w="110" w:type="dxa"/>
            </w:tcMar>
          </w:tcPr>
          <w:p>
            <w:pPr>
              <w:spacing w:before="0" w:after="0"/>
            </w:pPr>
            <w:r>
              <w:rPr>
                <w:rFonts w:ascii="Arial" w:hAnsi="Arial"/>
                <w:b/>
                <w:sz w:val="18"/>
              </w:rPr>
              <w:t>Vehicular</w:t>
            </w:r>
          </w:p>
        </w:tc>
        <w:tc>
          <w:tcPr>
            <w:tcW w:type="dxa" w:w="6236"/>
            <w:tcMar>
              <w:top w:w="60" w:type="dxa"/>
              <w:left w:w="110" w:type="dxa"/>
              <w:bottom w:w="60" w:type="dxa"/>
              <w:right w:w="110" w:type="dxa"/>
            </w:tcMar>
          </w:tcPr>
          <w:p>
            <w:pPr>
              <w:spacing w:before="0" w:after="0"/>
            </w:pPr>
            <w:r>
              <w:rPr>
                <w:rFonts w:ascii="Arial" w:hAnsi="Arial"/>
                <w:sz w:val="18"/>
              </w:rPr>
              <w:t>Desde económicos hasta cobertura excepcional.</w:t>
            </w:r>
          </w:p>
        </w:tc>
      </w:tr>
      <w:tr>
        <w:tc>
          <w:tcPr>
            <w:tcW w:type="dxa" w:w="2268"/>
            <w:shd w:val="clear" w:color="auto" w:fill="F2F4F7"/>
            <w:tcMar>
              <w:top w:w="60" w:type="dxa"/>
              <w:left w:w="110" w:type="dxa"/>
              <w:bottom w:w="60" w:type="dxa"/>
              <w:right w:w="110" w:type="dxa"/>
            </w:tcMar>
          </w:tcPr>
          <w:p>
            <w:pPr>
              <w:spacing w:before="0" w:after="0"/>
            </w:pPr>
            <w:r>
              <w:rPr>
                <w:rFonts w:ascii="Arial" w:hAnsi="Arial"/>
                <w:b/>
                <w:sz w:val="18"/>
              </w:rPr>
              <w:t>Vida y Salud</w:t>
            </w:r>
          </w:p>
        </w:tc>
        <w:tc>
          <w:tcPr>
            <w:tcW w:type="dxa" w:w="6236"/>
            <w:shd w:val="clear" w:color="auto" w:fill="F2F4F7"/>
            <w:tcMar>
              <w:top w:w="60" w:type="dxa"/>
              <w:left w:w="110" w:type="dxa"/>
              <w:bottom w:w="60" w:type="dxa"/>
              <w:right w:w="110" w:type="dxa"/>
            </w:tcMar>
          </w:tcPr>
          <w:p>
            <w:pPr>
              <w:spacing w:before="0" w:after="0"/>
            </w:pPr>
            <w:r>
              <w:rPr>
                <w:rFonts w:ascii="Arial" w:hAnsi="Arial"/>
                <w:sz w:val="18"/>
              </w:rPr>
              <w:t>Corporativos y complementarios.</w:t>
            </w:r>
          </w:p>
        </w:tc>
      </w:tr>
    </w:tbl>
    <w:p>
      <w:pPr>
        <w:spacing w:after="40"/>
      </w:pPr>
    </w:p>
    <w:p>
      <w:pPr>
        <w:pStyle w:val="Heading3"/>
      </w:pPr>
      <w:r>
        <w:t>5.5.3 Canal Segmentado y SLA Crítico</w:t>
      </w:r>
    </w:p>
    <w:p>
      <w:r>
        <w:rPr>
          <w:b w:val="0"/>
          <w:i w:val="0"/>
        </w:rPr>
        <w:t>El precedente fija dos estándares operativos que se replican en cada comunidad futura:</w:t>
      </w:r>
    </w:p>
    <w:p>
      <w:pPr>
        <w:pStyle w:val="ListBullet"/>
      </w:pPr>
      <w:r>
        <w:rPr>
          <w:b/>
        </w:rPr>
        <w:t xml:space="preserve">Correo segmentado por edificio — </w:t>
      </w:r>
      <w:r>
        <w:t>se habilita una casilla de correo dedicada por edificio. Para el piloto: studioiii@segurosaegis.cl. El correo segmentado por comunidad ordena la trazabilidad, alimenta el catastro y profesionaliza el contacto.</w:t>
      </w:r>
    </w:p>
    <w:p>
      <w:pPr>
        <w:pStyle w:val="ListBullet"/>
      </w:pPr>
      <w:r>
        <w:rPr>
          <w:b/>
        </w:rPr>
        <w:t xml:space="preserve">SLA de 24 horas hábiles — </w:t>
      </w:r>
      <w:r>
        <w:t>compromiso inflexible de respuesta en un plazo máximo de 24 horas hábiles. Es el estándar operativo para capturar la cartera de personas de una comunidad: la confianza se gana respondiendo rápido y bien.</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STUDIO III = LA PLANTILLA</w:t>
            </w:r>
          </w:p>
          <w:p>
            <w:pPr>
              <w:spacing w:before="60" w:after="0"/>
            </w:pPr>
            <w:r>
              <w:rPr>
                <w:rFonts w:ascii="Arial" w:hAnsi="Arial"/>
                <w:sz w:val="20"/>
              </w:rPr>
              <w:t>Cada nuevo edificio se aborda replicando este precedente: titularidad de la cuña obligatoria → Parte A al comité (autorización transparente) → Parte B a ocupantes (recotización sin compromiso) → casilla segmentada del edificio → SLA de 24 horas hábiles → cross-selling. La gestión y el cierre del piloto se siguen en la Fase 2 del Aegis Execution Roadmap.</w:t>
            </w:r>
          </w:p>
        </w:tc>
      </w:tr>
    </w:tbl>
    <w:p>
      <w:pPr>
        <w:spacing w:after="40"/>
      </w:pPr>
    </w:p>
    <w:p>
      <w:r>
        <w:br w:type="page"/>
      </w:r>
    </w:p>
    <w:p>
      <w:pPr>
        <w:pStyle w:val="Heading1"/>
      </w:pPr>
      <w:r>
        <w:t>6. Fase de Concreción y Operación (Delivery)</w:t>
      </w:r>
    </w:p>
    <w:p>
      <w:r>
        <w:rPr>
          <w:b w:val="0"/>
          <w:i w:val="0"/>
        </w:rPr>
        <w:t>El paso a paso de lo que ocurre una vez que una comunidad o cliente paga. El delivery impecable es lo que convierte una venta en una renovación —y la renovación es el pilar del plan.</w:t>
      </w:r>
    </w:p>
    <w:p>
      <w:pPr>
        <w:pStyle w:val="Heading2"/>
      </w:pPr>
      <w:r>
        <w:t>6.1 Protocolo de Atención Post-Venta</w:t>
      </w:r>
    </w:p>
    <w:tbl>
      <w:tblPr>
        <w:tblStyle w:val="TableGrid"/>
        <w:tblW w:type="auto" w:w="0"/>
        <w:jc w:val="center"/>
        <w:tblLook w:firstColumn="1" w:firstRow="1" w:lastColumn="0" w:lastRow="0" w:noHBand="0" w:noVBand="1" w:val="04A0"/>
      </w:tblPr>
      <w:tblGrid>
        <w:gridCol w:w="2880"/>
        <w:gridCol w:w="2880"/>
        <w:gridCol w:w="2880"/>
      </w:tblGrid>
      <w:tr>
        <w:tc>
          <w:tcPr>
            <w:tcW w:type="dxa" w:w="1474"/>
            <w:shd w:val="clear" w:color="auto" w:fill="1B3A6B"/>
            <w:tcMar>
              <w:top w:w="60" w:type="dxa"/>
              <w:left w:w="110" w:type="dxa"/>
              <w:bottom w:w="60" w:type="dxa"/>
              <w:right w:w="110" w:type="dxa"/>
            </w:tcMar>
          </w:tcPr>
          <w:p>
            <w:pPr>
              <w:spacing w:before="0" w:after="0"/>
            </w:pPr>
            <w:r>
              <w:rPr>
                <w:rFonts w:ascii="Arial" w:hAnsi="Arial"/>
                <w:b/>
                <w:color w:val="FFFFFF"/>
                <w:sz w:val="17"/>
              </w:rPr>
              <w:t>Paso</w:t>
            </w:r>
          </w:p>
        </w:tc>
        <w:tc>
          <w:tcPr>
            <w:tcW w:type="dxa" w:w="5443"/>
            <w:shd w:val="clear" w:color="auto" w:fill="1B3A6B"/>
            <w:tcMar>
              <w:top w:w="60" w:type="dxa"/>
              <w:left w:w="110" w:type="dxa"/>
              <w:bottom w:w="60" w:type="dxa"/>
              <w:right w:w="110" w:type="dxa"/>
            </w:tcMar>
          </w:tcPr>
          <w:p>
            <w:pPr>
              <w:spacing w:before="0" w:after="0"/>
            </w:pPr>
            <w:r>
              <w:rPr>
                <w:rFonts w:ascii="Arial" w:hAnsi="Arial"/>
                <w:b/>
                <w:color w:val="FFFFFF"/>
                <w:sz w:val="17"/>
              </w:rPr>
              <w:t>Acción</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7"/>
              </w:rPr>
              <w:t>Responsable</w:t>
            </w:r>
          </w:p>
        </w:tc>
      </w:tr>
      <w:tr>
        <w:tc>
          <w:tcPr>
            <w:tcW w:type="dxa" w:w="1474"/>
            <w:tcMar>
              <w:top w:w="60" w:type="dxa"/>
              <w:left w:w="110" w:type="dxa"/>
              <w:bottom w:w="60" w:type="dxa"/>
              <w:right w:w="110" w:type="dxa"/>
            </w:tcMar>
          </w:tcPr>
          <w:p>
            <w:pPr>
              <w:spacing w:before="0" w:after="0"/>
            </w:pPr>
            <w:r>
              <w:rPr>
                <w:rFonts w:ascii="Arial" w:hAnsi="Arial"/>
                <w:b/>
                <w:sz w:val="17"/>
              </w:rPr>
              <w:t>1 · Emisión</w:t>
            </w:r>
          </w:p>
        </w:tc>
        <w:tc>
          <w:tcPr>
            <w:tcW w:type="dxa" w:w="5443"/>
            <w:tcMar>
              <w:top w:w="60" w:type="dxa"/>
              <w:left w:w="110" w:type="dxa"/>
              <w:bottom w:w="60" w:type="dxa"/>
              <w:right w:w="110" w:type="dxa"/>
            </w:tcMar>
          </w:tcPr>
          <w:p>
            <w:pPr>
              <w:spacing w:before="0" w:after="0"/>
            </w:pPr>
            <w:r>
              <w:rPr>
                <w:rFonts w:ascii="Arial" w:hAnsi="Arial"/>
                <w:sz w:val="17"/>
              </w:rPr>
              <w:t>Verificar que la póliza coincida exactamente con la propuesta firmada; entregar póliza y condicionado</w:t>
            </w:r>
          </w:p>
        </w:tc>
        <w:tc>
          <w:tcPr>
            <w:tcW w:type="dxa" w:w="1587"/>
            <w:tcMar>
              <w:top w:w="60" w:type="dxa"/>
              <w:left w:w="110" w:type="dxa"/>
              <w:bottom w:w="60" w:type="dxa"/>
              <w:right w:w="110" w:type="dxa"/>
            </w:tcMar>
          </w:tcPr>
          <w:p>
            <w:pPr>
              <w:spacing w:before="0" w:after="0"/>
            </w:pPr>
            <w:r>
              <w:rPr>
                <w:rFonts w:ascii="Arial" w:hAnsi="Arial"/>
                <w:sz w:val="17"/>
              </w:rPr>
              <w:t>Operaciones</w:t>
            </w:r>
          </w:p>
        </w:tc>
      </w:tr>
      <w:tr>
        <w:tc>
          <w:tcPr>
            <w:tcW w:type="dxa" w:w="1474"/>
            <w:shd w:val="clear" w:color="auto" w:fill="F2F4F7"/>
            <w:tcMar>
              <w:top w:w="60" w:type="dxa"/>
              <w:left w:w="110" w:type="dxa"/>
              <w:bottom w:w="60" w:type="dxa"/>
              <w:right w:w="110" w:type="dxa"/>
            </w:tcMar>
          </w:tcPr>
          <w:p>
            <w:pPr>
              <w:spacing w:before="0" w:after="0"/>
            </w:pPr>
            <w:r>
              <w:rPr>
                <w:rFonts w:ascii="Arial" w:hAnsi="Arial"/>
                <w:b/>
                <w:sz w:val="17"/>
              </w:rPr>
              <w:t>2 · Confirmación</w:t>
            </w:r>
          </w:p>
        </w:tc>
        <w:tc>
          <w:tcPr>
            <w:tcW w:type="dxa" w:w="5443"/>
            <w:shd w:val="clear" w:color="auto" w:fill="F2F4F7"/>
            <w:tcMar>
              <w:top w:w="60" w:type="dxa"/>
              <w:left w:w="110" w:type="dxa"/>
              <w:bottom w:w="60" w:type="dxa"/>
              <w:right w:w="110" w:type="dxa"/>
            </w:tcMar>
          </w:tcPr>
          <w:p>
            <w:pPr>
              <w:spacing w:before="0" w:after="0"/>
            </w:pPr>
            <w:r>
              <w:rPr>
                <w:rFonts w:ascii="Arial" w:hAnsi="Arial"/>
                <w:sz w:val="17"/>
              </w:rPr>
              <w:t>Enviar confirmación de cobertura (número de póliza, vigencias, suma, prima, contacto de siniestros)</w:t>
            </w:r>
          </w:p>
        </w:tc>
        <w:tc>
          <w:tcPr>
            <w:tcW w:type="dxa" w:w="1587"/>
            <w:shd w:val="clear" w:color="auto" w:fill="F2F4F7"/>
            <w:tcMar>
              <w:top w:w="60" w:type="dxa"/>
              <w:left w:w="110" w:type="dxa"/>
              <w:bottom w:w="60" w:type="dxa"/>
              <w:right w:w="110" w:type="dxa"/>
            </w:tcMar>
          </w:tcPr>
          <w:p>
            <w:pPr>
              <w:spacing w:before="0" w:after="0"/>
            </w:pPr>
            <w:r>
              <w:rPr>
                <w:rFonts w:ascii="Arial" w:hAnsi="Arial"/>
                <w:sz w:val="17"/>
              </w:rPr>
              <w:t>Operaciones</w:t>
            </w:r>
          </w:p>
        </w:tc>
      </w:tr>
      <w:tr>
        <w:tc>
          <w:tcPr>
            <w:tcW w:type="dxa" w:w="1474"/>
            <w:tcMar>
              <w:top w:w="60" w:type="dxa"/>
              <w:left w:w="110" w:type="dxa"/>
              <w:bottom w:w="60" w:type="dxa"/>
              <w:right w:w="110" w:type="dxa"/>
            </w:tcMar>
          </w:tcPr>
          <w:p>
            <w:pPr>
              <w:spacing w:before="0" w:after="0"/>
            </w:pPr>
            <w:r>
              <w:rPr>
                <w:rFonts w:ascii="Arial" w:hAnsi="Arial"/>
                <w:b/>
                <w:sz w:val="17"/>
              </w:rPr>
              <w:t>3 · Cobranza</w:t>
            </w:r>
          </w:p>
        </w:tc>
        <w:tc>
          <w:tcPr>
            <w:tcW w:type="dxa" w:w="5443"/>
            <w:tcMar>
              <w:top w:w="60" w:type="dxa"/>
              <w:left w:w="110" w:type="dxa"/>
              <w:bottom w:w="60" w:type="dxa"/>
              <w:right w:w="110" w:type="dxa"/>
            </w:tcMar>
          </w:tcPr>
          <w:p>
            <w:pPr>
              <w:spacing w:before="0" w:after="0"/>
            </w:pPr>
            <w:r>
              <w:rPr>
                <w:rFonts w:ascii="Arial" w:hAnsi="Arial"/>
                <w:sz w:val="17"/>
              </w:rPr>
              <w:t>Conciliar el primer pago; activar domiciliación cuando aplique para reducir la cancelación temprana</w:t>
            </w:r>
          </w:p>
        </w:tc>
        <w:tc>
          <w:tcPr>
            <w:tcW w:type="dxa" w:w="1587"/>
            <w:tcMar>
              <w:top w:w="60" w:type="dxa"/>
              <w:left w:w="110" w:type="dxa"/>
              <w:bottom w:w="60" w:type="dxa"/>
              <w:right w:w="110" w:type="dxa"/>
            </w:tcMar>
          </w:tcPr>
          <w:p>
            <w:pPr>
              <w:spacing w:before="0" w:after="0"/>
            </w:pPr>
            <w:r>
              <w:rPr>
                <w:rFonts w:ascii="Arial" w:hAnsi="Arial"/>
                <w:sz w:val="17"/>
              </w:rPr>
              <w:t>Operaciones</w:t>
            </w:r>
          </w:p>
        </w:tc>
      </w:tr>
      <w:tr>
        <w:tc>
          <w:tcPr>
            <w:tcW w:type="dxa" w:w="1474"/>
            <w:shd w:val="clear" w:color="auto" w:fill="F2F4F7"/>
            <w:tcMar>
              <w:top w:w="60" w:type="dxa"/>
              <w:left w:w="110" w:type="dxa"/>
              <w:bottom w:w="60" w:type="dxa"/>
              <w:right w:w="110" w:type="dxa"/>
            </w:tcMar>
          </w:tcPr>
          <w:p>
            <w:pPr>
              <w:spacing w:before="0" w:after="0"/>
            </w:pPr>
            <w:r>
              <w:rPr>
                <w:rFonts w:ascii="Arial" w:hAnsi="Arial"/>
                <w:b/>
                <w:sz w:val="17"/>
              </w:rPr>
              <w:t>4 · Permanencia</w:t>
            </w:r>
          </w:p>
        </w:tc>
        <w:tc>
          <w:tcPr>
            <w:tcW w:type="dxa" w:w="5443"/>
            <w:shd w:val="clear" w:color="auto" w:fill="F2F4F7"/>
            <w:tcMar>
              <w:top w:w="60" w:type="dxa"/>
              <w:left w:w="110" w:type="dxa"/>
              <w:bottom w:w="60" w:type="dxa"/>
              <w:right w:w="110" w:type="dxa"/>
            </w:tcMar>
          </w:tcPr>
          <w:p>
            <w:pPr>
              <w:spacing w:before="0" w:after="0"/>
            </w:pPr>
            <w:r>
              <w:rPr>
                <w:rFonts w:ascii="Arial" w:hAnsi="Arial"/>
                <w:sz w:val="17"/>
              </w:rPr>
              <w:t>Mes 4: si la póliza está vigente y al día, liberar el fee del partner (si lo hubo)</w:t>
            </w:r>
          </w:p>
        </w:tc>
        <w:tc>
          <w:tcPr>
            <w:tcW w:type="dxa" w:w="1587"/>
            <w:shd w:val="clear" w:color="auto" w:fill="F2F4F7"/>
            <w:tcMar>
              <w:top w:w="60" w:type="dxa"/>
              <w:left w:w="110" w:type="dxa"/>
              <w:bottom w:w="60" w:type="dxa"/>
              <w:right w:w="110" w:type="dxa"/>
            </w:tcMar>
          </w:tcPr>
          <w:p>
            <w:pPr>
              <w:spacing w:before="0" w:after="0"/>
            </w:pPr>
            <w:r>
              <w:rPr>
                <w:rFonts w:ascii="Arial" w:hAnsi="Arial"/>
                <w:sz w:val="17"/>
              </w:rPr>
              <w:t>Operaciones (sistema)</w:t>
            </w:r>
          </w:p>
        </w:tc>
      </w:tr>
      <w:tr>
        <w:tc>
          <w:tcPr>
            <w:tcW w:type="dxa" w:w="1474"/>
            <w:tcMar>
              <w:top w:w="60" w:type="dxa"/>
              <w:left w:w="110" w:type="dxa"/>
              <w:bottom w:w="60" w:type="dxa"/>
              <w:right w:w="110" w:type="dxa"/>
            </w:tcMar>
          </w:tcPr>
          <w:p>
            <w:pPr>
              <w:spacing w:before="0" w:after="0"/>
            </w:pPr>
            <w:r>
              <w:rPr>
                <w:rFonts w:ascii="Arial" w:hAnsi="Arial"/>
                <w:b/>
                <w:sz w:val="17"/>
              </w:rPr>
              <w:t>5 · Cross-selling</w:t>
            </w:r>
          </w:p>
        </w:tc>
        <w:tc>
          <w:tcPr>
            <w:tcW w:type="dxa" w:w="5443"/>
            <w:tcMar>
              <w:top w:w="60" w:type="dxa"/>
              <w:left w:w="110" w:type="dxa"/>
              <w:bottom w:w="60" w:type="dxa"/>
              <w:right w:w="110" w:type="dxa"/>
            </w:tcMar>
          </w:tcPr>
          <w:p>
            <w:pPr>
              <w:spacing w:before="0" w:after="0"/>
            </w:pPr>
            <w:r>
              <w:rPr>
                <w:rFonts w:ascii="Arial" w:hAnsi="Arial"/>
                <w:sz w:val="17"/>
              </w:rPr>
              <w:t>Activar campaña automática a residentes del edificio (auto, hogar, vida)</w:t>
            </w:r>
          </w:p>
        </w:tc>
        <w:tc>
          <w:tcPr>
            <w:tcW w:type="dxa" w:w="1587"/>
            <w:tcMar>
              <w:top w:w="60" w:type="dxa"/>
              <w:left w:w="110" w:type="dxa"/>
              <w:bottom w:w="60" w:type="dxa"/>
              <w:right w:w="110" w:type="dxa"/>
            </w:tcMar>
          </w:tcPr>
          <w:p>
            <w:pPr>
              <w:spacing w:before="0" w:after="0"/>
            </w:pPr>
            <w:r>
              <w:rPr>
                <w:rFonts w:ascii="Arial" w:hAnsi="Arial"/>
                <w:sz w:val="17"/>
              </w:rPr>
              <w:t>Comercial + sistema</w:t>
            </w:r>
          </w:p>
        </w:tc>
      </w:tr>
      <w:tr>
        <w:tc>
          <w:tcPr>
            <w:tcW w:type="dxa" w:w="1474"/>
            <w:shd w:val="clear" w:color="auto" w:fill="F2F4F7"/>
            <w:tcMar>
              <w:top w:w="60" w:type="dxa"/>
              <w:left w:w="110" w:type="dxa"/>
              <w:bottom w:w="60" w:type="dxa"/>
              <w:right w:w="110" w:type="dxa"/>
            </w:tcMar>
          </w:tcPr>
          <w:p>
            <w:pPr>
              <w:spacing w:before="0" w:after="0"/>
            </w:pPr>
            <w:r>
              <w:rPr>
                <w:rFonts w:ascii="Arial" w:hAnsi="Arial"/>
                <w:b/>
                <w:sz w:val="17"/>
              </w:rPr>
              <w:t>6 · Vigencia</w:t>
            </w:r>
          </w:p>
        </w:tc>
        <w:tc>
          <w:tcPr>
            <w:tcW w:type="dxa" w:w="5443"/>
            <w:shd w:val="clear" w:color="auto" w:fill="F2F4F7"/>
            <w:tcMar>
              <w:top w:w="60" w:type="dxa"/>
              <w:left w:w="110" w:type="dxa"/>
              <w:bottom w:w="60" w:type="dxa"/>
              <w:right w:w="110" w:type="dxa"/>
            </w:tcMar>
          </w:tcPr>
          <w:p>
            <w:pPr>
              <w:spacing w:before="0" w:after="0"/>
            </w:pPr>
            <w:r>
              <w:rPr>
                <w:rFonts w:ascii="Arial" w:hAnsi="Arial"/>
                <w:sz w:val="17"/>
              </w:rPr>
              <w:t>Asistir en modificaciones y siniestros: el corredor informa, presiona plazos y defiende el caso</w:t>
            </w:r>
          </w:p>
        </w:tc>
        <w:tc>
          <w:tcPr>
            <w:tcW w:type="dxa" w:w="1587"/>
            <w:shd w:val="clear" w:color="auto" w:fill="F2F4F7"/>
            <w:tcMar>
              <w:top w:w="60" w:type="dxa"/>
              <w:left w:w="110" w:type="dxa"/>
              <w:bottom w:w="60" w:type="dxa"/>
              <w:right w:w="110" w:type="dxa"/>
            </w:tcMar>
          </w:tcPr>
          <w:p>
            <w:pPr>
              <w:spacing w:before="0" w:after="0"/>
            </w:pPr>
            <w:r>
              <w:rPr>
                <w:rFonts w:ascii="Arial" w:hAnsi="Arial"/>
                <w:sz w:val="17"/>
              </w:rPr>
              <w:t>Comercial / Operaciones</w:t>
            </w:r>
          </w:p>
        </w:tc>
      </w:tr>
      <w:tr>
        <w:tc>
          <w:tcPr>
            <w:tcW w:type="dxa" w:w="1474"/>
            <w:tcMar>
              <w:top w:w="60" w:type="dxa"/>
              <w:left w:w="110" w:type="dxa"/>
              <w:bottom w:w="60" w:type="dxa"/>
              <w:right w:w="110" w:type="dxa"/>
            </w:tcMar>
          </w:tcPr>
          <w:p>
            <w:pPr>
              <w:spacing w:before="0" w:after="0"/>
            </w:pPr>
            <w:r>
              <w:rPr>
                <w:rFonts w:ascii="Arial" w:hAnsi="Arial"/>
                <w:b/>
                <w:sz w:val="17"/>
              </w:rPr>
              <w:t>7 · Renovación</w:t>
            </w:r>
          </w:p>
        </w:tc>
        <w:tc>
          <w:tcPr>
            <w:tcW w:type="dxa" w:w="5443"/>
            <w:tcMar>
              <w:top w:w="60" w:type="dxa"/>
              <w:left w:w="110" w:type="dxa"/>
              <w:bottom w:w="60" w:type="dxa"/>
              <w:right w:w="110" w:type="dxa"/>
            </w:tcMar>
          </w:tcPr>
          <w:p>
            <w:pPr>
              <w:spacing w:before="0" w:after="0"/>
            </w:pPr>
            <w:r>
              <w:rPr>
                <w:rFonts w:ascii="Arial" w:hAnsi="Arial"/>
                <w:sz w:val="17"/>
              </w:rPr>
              <w:t>Lanzar recotización masiva en T-90 días. NUNCA renovación automática sin recotizar</w:t>
            </w:r>
          </w:p>
        </w:tc>
        <w:tc>
          <w:tcPr>
            <w:tcW w:type="dxa" w:w="1587"/>
            <w:tcMar>
              <w:top w:w="60" w:type="dxa"/>
              <w:left w:w="110" w:type="dxa"/>
              <w:bottom w:w="60" w:type="dxa"/>
              <w:right w:w="110" w:type="dxa"/>
            </w:tcMar>
          </w:tcPr>
          <w:p>
            <w:pPr>
              <w:spacing w:before="0" w:after="0"/>
            </w:pPr>
            <w:r>
              <w:rPr>
                <w:rFonts w:ascii="Arial" w:hAnsi="Arial"/>
                <w:sz w:val="17"/>
              </w:rPr>
              <w:t>Comercial (sistema)</w:t>
            </w:r>
          </w:p>
        </w:tc>
      </w:tr>
    </w:tbl>
    <w:p>
      <w:pPr>
        <w:spacing w:after="40"/>
      </w:pPr>
    </w:p>
    <w:p>
      <w:pPr>
        <w:pStyle w:val="Heading2"/>
      </w:pPr>
      <w:r>
        <w:t>6.2 Flujos de Trabajo Internos</w:t>
      </w:r>
    </w:p>
    <w:p>
      <w:r>
        <w:rPr>
          <w:b w:val="0"/>
          <w:i w:val="0"/>
        </w:rPr>
        <w:t>Cada etapa vive en el sistema de gestión (los 10 schemas del Operational Plan), de modo que nada dependa de la memoria de una persona:</w:t>
      </w:r>
    </w:p>
    <w:p>
      <w:pPr>
        <w:pStyle w:val="ListBullet"/>
      </w:pPr>
      <w:r>
        <w:t>registro y cotización → emisión → cobranza → siniestros → renovación, con alertas automáticas en cada transición;</w:t>
      </w:r>
    </w:p>
    <w:p>
      <w:pPr>
        <w:pStyle w:val="ListBullet"/>
      </w:pPr>
      <w:r>
        <w:t>Mapa de Vencimientos que dispara la acción comercial 90 días antes de cada renovación;</w:t>
      </w:r>
    </w:p>
    <w:p>
      <w:pPr>
        <w:pStyle w:val="ListBullet"/>
      </w:pPr>
      <w:r>
        <w:t>expediente documental de cada cliente (incluida la comparativa firmada) como respaldo ante reclamos o auditoría CMF.</w:t>
      </w:r>
    </w:p>
    <w:p>
      <w:pPr>
        <w:pStyle w:val="Heading2"/>
      </w:pPr>
      <w:r>
        <w:t>6.3 Mitigación de Fricciones Operativas</w:t>
      </w:r>
    </w:p>
    <w:tbl>
      <w:tblPr>
        <w:tblStyle w:val="TableGrid"/>
        <w:tblW w:type="auto" w:w="0"/>
        <w:jc w:val="center"/>
        <w:tblLook w:firstColumn="1" w:firstRow="1" w:lastColumn="0" w:lastRow="0" w:noHBand="0" w:noVBand="1" w:val="04A0"/>
      </w:tblPr>
      <w:tblGrid>
        <w:gridCol w:w="4320"/>
        <w:gridCol w:w="4320"/>
      </w:tblGrid>
      <w:tr>
        <w:tc>
          <w:tcPr>
            <w:tcW w:type="dxa" w:w="2948"/>
            <w:shd w:val="clear" w:color="auto" w:fill="1B3A6B"/>
            <w:tcMar>
              <w:top w:w="60" w:type="dxa"/>
              <w:left w:w="110" w:type="dxa"/>
              <w:bottom w:w="60" w:type="dxa"/>
              <w:right w:w="110" w:type="dxa"/>
            </w:tcMar>
          </w:tcPr>
          <w:p>
            <w:pPr>
              <w:spacing w:before="0" w:after="0"/>
            </w:pPr>
            <w:r>
              <w:rPr>
                <w:rFonts w:ascii="Arial" w:hAnsi="Arial"/>
                <w:b/>
                <w:color w:val="FFFFFF"/>
                <w:sz w:val="17"/>
              </w:rPr>
              <w:t>Fricción frecuente</w:t>
            </w:r>
          </w:p>
        </w:tc>
        <w:tc>
          <w:tcPr>
            <w:tcW w:type="dxa" w:w="5556"/>
            <w:shd w:val="clear" w:color="auto" w:fill="1B3A6B"/>
            <w:tcMar>
              <w:top w:w="60" w:type="dxa"/>
              <w:left w:w="110" w:type="dxa"/>
              <w:bottom w:w="60" w:type="dxa"/>
              <w:right w:w="110" w:type="dxa"/>
            </w:tcMar>
          </w:tcPr>
          <w:p>
            <w:pPr>
              <w:spacing w:before="0" w:after="0"/>
            </w:pPr>
            <w:r>
              <w:rPr>
                <w:rFonts w:ascii="Arial" w:hAnsi="Arial"/>
                <w:b/>
                <w:color w:val="FFFFFF"/>
                <w:sz w:val="17"/>
              </w:rPr>
              <w:t>Mitigación</w:t>
            </w:r>
          </w:p>
        </w:tc>
      </w:tr>
      <w:tr>
        <w:tc>
          <w:tcPr>
            <w:tcW w:type="dxa" w:w="2948"/>
            <w:tcMar>
              <w:top w:w="60" w:type="dxa"/>
              <w:left w:w="110" w:type="dxa"/>
              <w:bottom w:w="60" w:type="dxa"/>
              <w:right w:w="110" w:type="dxa"/>
            </w:tcMar>
          </w:tcPr>
          <w:p>
            <w:pPr>
              <w:spacing w:before="0" w:after="0"/>
            </w:pPr>
            <w:r>
              <w:rPr>
                <w:rFonts w:ascii="Arial" w:hAnsi="Arial"/>
                <w:b/>
                <w:sz w:val="17"/>
              </w:rPr>
              <w:t>Cancelación temprana en pago mensual sin domiciliación</w:t>
            </w:r>
          </w:p>
        </w:tc>
        <w:tc>
          <w:tcPr>
            <w:tcW w:type="dxa" w:w="5556"/>
            <w:tcMar>
              <w:top w:w="60" w:type="dxa"/>
              <w:left w:w="110" w:type="dxa"/>
              <w:bottom w:w="60" w:type="dxa"/>
              <w:right w:w="110" w:type="dxa"/>
            </w:tcMar>
          </w:tcPr>
          <w:p>
            <w:pPr>
              <w:spacing w:before="0" w:after="0"/>
            </w:pPr>
            <w:r>
              <w:rPr>
                <w:rFonts w:ascii="Arial" w:hAnsi="Arial"/>
                <w:sz w:val="17"/>
              </w:rPr>
              <w:t>Promover pago contado anual o domiciliación bancaria como condición preferente.</w:t>
            </w:r>
          </w:p>
        </w:tc>
      </w:tr>
      <w:tr>
        <w:tc>
          <w:tcPr>
            <w:tcW w:type="dxa" w:w="2948"/>
            <w:shd w:val="clear" w:color="auto" w:fill="F2F4F7"/>
            <w:tcMar>
              <w:top w:w="60" w:type="dxa"/>
              <w:left w:w="110" w:type="dxa"/>
              <w:bottom w:w="60" w:type="dxa"/>
              <w:right w:w="110" w:type="dxa"/>
            </w:tcMar>
          </w:tcPr>
          <w:p>
            <w:pPr>
              <w:spacing w:before="0" w:after="0"/>
            </w:pPr>
            <w:r>
              <w:rPr>
                <w:rFonts w:ascii="Arial" w:hAnsi="Arial"/>
                <w:b/>
                <w:sz w:val="17"/>
              </w:rPr>
              <w:t>Renovación con alza silenciosa</w:t>
            </w:r>
          </w:p>
        </w:tc>
        <w:tc>
          <w:tcPr>
            <w:tcW w:type="dxa" w:w="5556"/>
            <w:shd w:val="clear" w:color="auto" w:fill="F2F4F7"/>
            <w:tcMar>
              <w:top w:w="60" w:type="dxa"/>
              <w:left w:w="110" w:type="dxa"/>
              <w:bottom w:w="60" w:type="dxa"/>
              <w:right w:w="110" w:type="dxa"/>
            </w:tcMar>
          </w:tcPr>
          <w:p>
            <w:pPr>
              <w:spacing w:before="0" w:after="0"/>
            </w:pPr>
            <w:r>
              <w:rPr>
                <w:rFonts w:ascii="Arial" w:hAnsi="Arial"/>
                <w:sz w:val="17"/>
              </w:rPr>
              <w:t>Recotización obligatoria en T-90 y comunicación proactiva al comité.</w:t>
            </w:r>
          </w:p>
        </w:tc>
      </w:tr>
      <w:tr>
        <w:tc>
          <w:tcPr>
            <w:tcW w:type="dxa" w:w="2948"/>
            <w:tcMar>
              <w:top w:w="60" w:type="dxa"/>
              <w:left w:w="110" w:type="dxa"/>
              <w:bottom w:w="60" w:type="dxa"/>
              <w:right w:w="110" w:type="dxa"/>
            </w:tcMar>
          </w:tcPr>
          <w:p>
            <w:pPr>
              <w:spacing w:before="0" w:after="0"/>
            </w:pPr>
            <w:r>
              <w:rPr>
                <w:rFonts w:ascii="Arial" w:hAnsi="Arial"/>
                <w:b/>
                <w:sz w:val="17"/>
              </w:rPr>
              <w:t>Uso/antecedente no declarado que gatilla rechazo de siniestro</w:t>
            </w:r>
          </w:p>
        </w:tc>
        <w:tc>
          <w:tcPr>
            <w:tcW w:type="dxa" w:w="5556"/>
            <w:tcMar>
              <w:top w:w="60" w:type="dxa"/>
              <w:left w:w="110" w:type="dxa"/>
              <w:bottom w:w="60" w:type="dxa"/>
              <w:right w:w="110" w:type="dxa"/>
            </w:tcMar>
          </w:tcPr>
          <w:p>
            <w:pPr>
              <w:spacing w:before="0" w:after="0"/>
            </w:pPr>
            <w:r>
              <w:rPr>
                <w:rFonts w:ascii="Arial" w:hAnsi="Arial"/>
                <w:sz w:val="17"/>
              </w:rPr>
              <w:t>Preguntar de forma honesta y declarar todo en la cotización; documentar.</w:t>
            </w:r>
          </w:p>
        </w:tc>
      </w:tr>
      <w:tr>
        <w:tc>
          <w:tcPr>
            <w:tcW w:type="dxa" w:w="2948"/>
            <w:shd w:val="clear" w:color="auto" w:fill="F2F4F7"/>
            <w:tcMar>
              <w:top w:w="60" w:type="dxa"/>
              <w:left w:w="110" w:type="dxa"/>
              <w:bottom w:w="60" w:type="dxa"/>
              <w:right w:w="110" w:type="dxa"/>
            </w:tcMar>
          </w:tcPr>
          <w:p>
            <w:pPr>
              <w:spacing w:before="0" w:after="0"/>
            </w:pPr>
            <w:r>
              <w:rPr>
                <w:rFonts w:ascii="Arial" w:hAnsi="Arial"/>
                <w:b/>
                <w:sz w:val="17"/>
              </w:rPr>
              <w:t>Cliente no recibió el condicionado</w:t>
            </w:r>
          </w:p>
        </w:tc>
        <w:tc>
          <w:tcPr>
            <w:tcW w:type="dxa" w:w="5556"/>
            <w:shd w:val="clear" w:color="auto" w:fill="F2F4F7"/>
            <w:tcMar>
              <w:top w:w="60" w:type="dxa"/>
              <w:left w:w="110" w:type="dxa"/>
              <w:bottom w:w="60" w:type="dxa"/>
              <w:right w:w="110" w:type="dxa"/>
            </w:tcMar>
          </w:tcPr>
          <w:p>
            <w:pPr>
              <w:spacing w:before="0" w:after="0"/>
            </w:pPr>
            <w:r>
              <w:rPr>
                <w:rFonts w:ascii="Arial" w:hAnsi="Arial"/>
                <w:sz w:val="17"/>
              </w:rPr>
              <w:t>Enviar por email con acuse de recibo y registrar en el sistema (obligación Art. 57 DFL 251).</w:t>
            </w:r>
          </w:p>
        </w:tc>
      </w:tr>
      <w:tr>
        <w:tc>
          <w:tcPr>
            <w:tcW w:type="dxa" w:w="2948"/>
            <w:tcMar>
              <w:top w:w="60" w:type="dxa"/>
              <w:left w:w="110" w:type="dxa"/>
              <w:bottom w:w="60" w:type="dxa"/>
              <w:right w:w="110" w:type="dxa"/>
            </w:tcMar>
          </w:tcPr>
          <w:p>
            <w:pPr>
              <w:spacing w:before="0" w:after="0"/>
            </w:pPr>
            <w:r>
              <w:rPr>
                <w:rFonts w:ascii="Arial" w:hAnsi="Arial"/>
                <w:b/>
                <w:sz w:val="17"/>
              </w:rPr>
              <w:t>Saturación operativa al crecer</w:t>
            </w:r>
          </w:p>
        </w:tc>
        <w:tc>
          <w:tcPr>
            <w:tcW w:type="dxa" w:w="5556"/>
            <w:tcMar>
              <w:top w:w="60" w:type="dxa"/>
              <w:left w:w="110" w:type="dxa"/>
              <w:bottom w:w="60" w:type="dxa"/>
              <w:right w:w="110" w:type="dxa"/>
            </w:tcMar>
          </w:tcPr>
          <w:p>
            <w:pPr>
              <w:spacing w:before="0" w:after="0"/>
            </w:pPr>
            <w:r>
              <w:rPr>
                <w:rFonts w:ascii="Arial" w:hAnsi="Arial"/>
                <w:sz w:val="17"/>
              </w:rPr>
              <w:t>Automatización progresiva (scraper ANS + APIs de compañías); la operación manual es transitoria, no se escala.</w:t>
            </w:r>
          </w:p>
        </w:tc>
      </w:tr>
    </w:tbl>
    <w:p>
      <w:pPr>
        <w:spacing w:after="40"/>
      </w:pPr>
    </w:p>
    <w:p>
      <w:pPr>
        <w:pStyle w:val="Heading2"/>
      </w:pPr>
      <w:r>
        <w:t>6.4 Motor de Promociones para Clientes (Cross-Selling Automatizado)</w:t>
      </w:r>
    </w:p>
    <w:p>
      <w:r>
        <w:rPr>
          <w:b w:val="0"/>
          <w:i w:val="0"/>
        </w:rPr>
        <w:t>Las aseguradoras lanzan de forma recurrente promociones transitorias —«3 cuotas gratis», «30% de descuento», bonificación de prima, meses sin costo— con vigencias acotadas. Aegis convierte cada una de esas ventanas en una oportunidad de cross-selling proactivo, siempre y cuando la promoción mejore la relación Precio/Cobertura del cliente. No es una campaña de venta por la venta: es usar una condición temporal del mercado para que un cliente actual quede mejor protegido, más barato, o ambas cosas.</w:t>
      </w:r>
    </w:p>
    <w:p>
      <w:r>
        <w:rPr>
          <w:b/>
        </w:rPr>
        <w:t xml:space="preserve">Registro de promociones en el SGA. </w:t>
      </w:r>
      <w:r>
        <w:t>Las promociones se parametrizan extendiendo el schema operaciones (catálogo técnico del mercado, donde ya viven compañías, productos, planes y coberturas), nunca como un silo aparte —según la regla de evolución tecnológica detallada en el Operational Plan §1.3. Cada promoción vigente se registra con sus condiciones:</w:t>
      </w:r>
    </w:p>
    <w:tbl>
      <w:tblPr>
        <w:tblStyle w:val="TableGrid"/>
        <w:tblW w:type="auto" w:w="0"/>
        <w:jc w:val="center"/>
        <w:tblLook w:firstColumn="1" w:firstRow="1" w:lastColumn="0" w:lastRow="0" w:noHBand="0" w:noVBand="1" w:val="04A0"/>
      </w:tblPr>
      <w:tblGrid>
        <w:gridCol w:w="4320"/>
        <w:gridCol w:w="4320"/>
      </w:tblGrid>
      <w:tr>
        <w:tc>
          <w:tcPr>
            <w:tcW w:type="dxa" w:w="2494"/>
            <w:shd w:val="clear" w:color="auto" w:fill="1B3A6B"/>
            <w:tcMar>
              <w:top w:w="60" w:type="dxa"/>
              <w:left w:w="110" w:type="dxa"/>
              <w:bottom w:w="60" w:type="dxa"/>
              <w:right w:w="110" w:type="dxa"/>
            </w:tcMar>
          </w:tcPr>
          <w:p>
            <w:pPr>
              <w:spacing w:before="0" w:after="0"/>
            </w:pPr>
            <w:r>
              <w:rPr>
                <w:rFonts w:ascii="Arial" w:hAnsi="Arial"/>
                <w:b/>
                <w:color w:val="FFFFFF"/>
                <w:sz w:val="18"/>
              </w:rPr>
              <w:t>Campo</w:t>
            </w:r>
          </w:p>
        </w:tc>
        <w:tc>
          <w:tcPr>
            <w:tcW w:type="dxa" w:w="6009"/>
            <w:shd w:val="clear" w:color="auto" w:fill="1B3A6B"/>
            <w:tcMar>
              <w:top w:w="60" w:type="dxa"/>
              <w:left w:w="110" w:type="dxa"/>
              <w:bottom w:w="60" w:type="dxa"/>
              <w:right w:w="110" w:type="dxa"/>
            </w:tcMar>
          </w:tcPr>
          <w:p>
            <w:pPr>
              <w:spacing w:before="0" w:after="0"/>
            </w:pPr>
            <w:r>
              <w:rPr>
                <w:rFonts w:ascii="Arial" w:hAnsi="Arial"/>
                <w:b/>
                <w:color w:val="FFFFFF"/>
                <w:sz w:val="18"/>
              </w:rPr>
              <w:t>Contenido</w:t>
            </w:r>
          </w:p>
        </w:tc>
      </w:tr>
      <w:tr>
        <w:tc>
          <w:tcPr>
            <w:tcW w:type="dxa" w:w="2494"/>
            <w:tcMar>
              <w:top w:w="60" w:type="dxa"/>
              <w:left w:w="110" w:type="dxa"/>
              <w:bottom w:w="60" w:type="dxa"/>
              <w:right w:w="110" w:type="dxa"/>
            </w:tcMar>
          </w:tcPr>
          <w:p>
            <w:pPr>
              <w:spacing w:before="0" w:after="0"/>
            </w:pPr>
            <w:r>
              <w:rPr>
                <w:rFonts w:ascii="Arial" w:hAnsi="Arial"/>
                <w:b/>
                <w:sz w:val="18"/>
              </w:rPr>
              <w:t>Compañía / producto</w:t>
            </w:r>
          </w:p>
        </w:tc>
        <w:tc>
          <w:tcPr>
            <w:tcW w:type="dxa" w:w="6009"/>
            <w:tcMar>
              <w:top w:w="60" w:type="dxa"/>
              <w:left w:w="110" w:type="dxa"/>
              <w:bottom w:w="60" w:type="dxa"/>
              <w:right w:w="110" w:type="dxa"/>
            </w:tcMar>
          </w:tcPr>
          <w:p>
            <w:pPr>
              <w:spacing w:before="0" w:after="0"/>
            </w:pPr>
            <w:r>
              <w:rPr>
                <w:rFonts w:ascii="Arial" w:hAnsi="Arial"/>
                <w:sz w:val="18"/>
              </w:rPr>
              <w:t>Aseguradora del panel y producto(s) al que aplica la promoción.</w:t>
            </w:r>
          </w:p>
        </w:tc>
      </w:tr>
      <w:tr>
        <w:tc>
          <w:tcPr>
            <w:tcW w:type="dxa" w:w="2494"/>
            <w:shd w:val="clear" w:color="auto" w:fill="F2F4F7"/>
            <w:tcMar>
              <w:top w:w="60" w:type="dxa"/>
              <w:left w:w="110" w:type="dxa"/>
              <w:bottom w:w="60" w:type="dxa"/>
              <w:right w:w="110" w:type="dxa"/>
            </w:tcMar>
          </w:tcPr>
          <w:p>
            <w:pPr>
              <w:spacing w:before="0" w:after="0"/>
            </w:pPr>
            <w:r>
              <w:rPr>
                <w:rFonts w:ascii="Arial" w:hAnsi="Arial"/>
                <w:b/>
                <w:sz w:val="18"/>
              </w:rPr>
              <w:t>Tipo de beneficio</w:t>
            </w:r>
          </w:p>
        </w:tc>
        <w:tc>
          <w:tcPr>
            <w:tcW w:type="dxa" w:w="6009"/>
            <w:shd w:val="clear" w:color="auto" w:fill="F2F4F7"/>
            <w:tcMar>
              <w:top w:w="60" w:type="dxa"/>
              <w:left w:w="110" w:type="dxa"/>
              <w:bottom w:w="60" w:type="dxa"/>
              <w:right w:w="110" w:type="dxa"/>
            </w:tcMar>
          </w:tcPr>
          <w:p>
            <w:pPr>
              <w:spacing w:before="0" w:after="0"/>
            </w:pPr>
            <w:r>
              <w:rPr>
                <w:rFonts w:ascii="Arial" w:hAnsi="Arial"/>
                <w:sz w:val="18"/>
              </w:rPr>
              <w:t>Cuotas gratis, % de descuento, bonificación de prima, meses sin costo, deducible rebajado.</w:t>
            </w:r>
          </w:p>
        </w:tc>
      </w:tr>
      <w:tr>
        <w:tc>
          <w:tcPr>
            <w:tcW w:type="dxa" w:w="2494"/>
            <w:tcMar>
              <w:top w:w="60" w:type="dxa"/>
              <w:left w:w="110" w:type="dxa"/>
              <w:bottom w:w="60" w:type="dxa"/>
              <w:right w:w="110" w:type="dxa"/>
            </w:tcMar>
          </w:tcPr>
          <w:p>
            <w:pPr>
              <w:spacing w:before="0" w:after="0"/>
            </w:pPr>
            <w:r>
              <w:rPr>
                <w:rFonts w:ascii="Arial" w:hAnsi="Arial"/>
                <w:b/>
                <w:sz w:val="18"/>
              </w:rPr>
              <w:t>Condición de elegibilidad</w:t>
            </w:r>
          </w:p>
        </w:tc>
        <w:tc>
          <w:tcPr>
            <w:tcW w:type="dxa" w:w="6009"/>
            <w:tcMar>
              <w:top w:w="60" w:type="dxa"/>
              <w:left w:w="110" w:type="dxa"/>
              <w:bottom w:w="60" w:type="dxa"/>
              <w:right w:w="110" w:type="dxa"/>
            </w:tcMar>
          </w:tcPr>
          <w:p>
            <w:pPr>
              <w:spacing w:before="0" w:after="0"/>
            </w:pPr>
            <w:r>
              <w:rPr>
                <w:rFonts w:ascii="Arial" w:hAnsi="Arial"/>
                <w:sz w:val="18"/>
              </w:rPr>
              <w:t>Requisitos del cliente o de la materia asegurada para acceder al beneficio.</w:t>
            </w:r>
          </w:p>
        </w:tc>
      </w:tr>
      <w:tr>
        <w:tc>
          <w:tcPr>
            <w:tcW w:type="dxa" w:w="2494"/>
            <w:shd w:val="clear" w:color="auto" w:fill="F2F4F7"/>
            <w:tcMar>
              <w:top w:w="60" w:type="dxa"/>
              <w:left w:w="110" w:type="dxa"/>
              <w:bottom w:w="60" w:type="dxa"/>
              <w:right w:w="110" w:type="dxa"/>
            </w:tcMar>
          </w:tcPr>
          <w:p>
            <w:pPr>
              <w:spacing w:before="0" w:after="0"/>
            </w:pPr>
            <w:r>
              <w:rPr>
                <w:rFonts w:ascii="Arial" w:hAnsi="Arial"/>
                <w:b/>
                <w:sz w:val="18"/>
              </w:rPr>
              <w:t>Vigencia</w:t>
            </w:r>
          </w:p>
        </w:tc>
        <w:tc>
          <w:tcPr>
            <w:tcW w:type="dxa" w:w="6009"/>
            <w:shd w:val="clear" w:color="auto" w:fill="F2F4F7"/>
            <w:tcMar>
              <w:top w:w="60" w:type="dxa"/>
              <w:left w:w="110" w:type="dxa"/>
              <w:bottom w:w="60" w:type="dxa"/>
              <w:right w:w="110" w:type="dxa"/>
            </w:tcMar>
          </w:tcPr>
          <w:p>
            <w:pPr>
              <w:spacing w:before="0" w:after="0"/>
            </w:pPr>
            <w:r>
              <w:rPr>
                <w:rFonts w:ascii="Arial" w:hAnsi="Arial"/>
                <w:sz w:val="18"/>
              </w:rPr>
              <w:t>Fecha de inicio y término de la ventana promocional.</w:t>
            </w:r>
          </w:p>
        </w:tc>
      </w:tr>
      <w:tr>
        <w:tc>
          <w:tcPr>
            <w:tcW w:type="dxa" w:w="2494"/>
            <w:tcMar>
              <w:top w:w="60" w:type="dxa"/>
              <w:left w:w="110" w:type="dxa"/>
              <w:bottom w:w="60" w:type="dxa"/>
              <w:right w:w="110" w:type="dxa"/>
            </w:tcMar>
          </w:tcPr>
          <w:p>
            <w:pPr>
              <w:spacing w:before="0" w:after="0"/>
            </w:pPr>
            <w:r>
              <w:rPr>
                <w:rFonts w:ascii="Arial" w:hAnsi="Arial"/>
                <w:b/>
                <w:sz w:val="18"/>
              </w:rPr>
              <w:t>Impacto en Precio/Cobertura</w:t>
            </w:r>
          </w:p>
        </w:tc>
        <w:tc>
          <w:tcPr>
            <w:tcW w:type="dxa" w:w="6009"/>
            <w:tcMar>
              <w:top w:w="60" w:type="dxa"/>
              <w:left w:w="110" w:type="dxa"/>
              <w:bottom w:w="60" w:type="dxa"/>
              <w:right w:w="110" w:type="dxa"/>
            </w:tcMar>
          </w:tcPr>
          <w:p>
            <w:pPr>
              <w:spacing w:before="0" w:after="0"/>
            </w:pPr>
            <w:r>
              <w:rPr>
                <w:rFonts w:ascii="Arial" w:hAnsi="Arial"/>
                <w:sz w:val="18"/>
              </w:rPr>
              <w:t>Cómo mejora el precio y/o la cobertura respecto de la oferta estándar.</w:t>
            </w:r>
          </w:p>
        </w:tc>
      </w:tr>
    </w:tbl>
    <w:p>
      <w:pPr>
        <w:spacing w:after="40"/>
      </w:pPr>
    </w:p>
    <w:p>
      <w:r>
        <w:rPr>
          <w:b/>
        </w:rPr>
        <w:t xml:space="preserve">La táctica — bot de elegibilidad. </w:t>
      </w:r>
      <w:r>
        <w:t>Un bot cruza automáticamente las promociones vigentes con la cartera activa para detectar a quién le conviene de verdad:</w:t>
      </w:r>
    </w:p>
    <w:p>
      <w:pPr>
        <w:pStyle w:val="ListNumber"/>
      </w:pPr>
      <w:r>
        <w:t>lee las promociones vigentes registradas en el schema operaciones;</w:t>
      </w:r>
    </w:p>
    <w:p>
      <w:pPr>
        <w:pStyle w:val="ListNumber"/>
      </w:pPr>
      <w:r>
        <w:t>las cruza contra la cartera activa del schema gestion (pólizas, materias, primas y coberturas vigentes de cada cliente);</w:t>
      </w:r>
    </w:p>
    <w:p>
      <w:pPr>
        <w:pStyle w:val="ListNumber"/>
      </w:pPr>
      <w:r>
        <w:t>identifica a los clientes elegibles que hoy tienen una cobertura inferior o más cara que la que la promoción permitiría alcanzar;</w:t>
      </w:r>
    </w:p>
    <w:p>
      <w:pPr>
        <w:pStyle w:val="ListNumber"/>
      </w:pPr>
      <w:r>
        <w:t>aplica el filtro Precio/Cobertura: solo marca como oportunidad al cliente si la promoción mejora objetivamente su relación precio/cobertura. Si no lo hace, el cliente no se incluye;</w:t>
      </w:r>
    </w:p>
    <w:p>
      <w:pPr>
        <w:pStyle w:val="ListNumber"/>
      </w:pPr>
      <w:r>
        <w:t>gatilla una campaña de cross-selling proactiva a través del schema comunicacion, con alerta al ejecutivo, mensaje trazable al cliente y SLA de primer contacto.</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LA PROMOCIÓN SE OFRECE SOLO SI BENEFICIA AL CLIENTE</w:t>
            </w:r>
          </w:p>
          <w:p>
            <w:pPr>
              <w:spacing w:before="60" w:after="0"/>
            </w:pPr>
            <w:r>
              <w:rPr>
                <w:rFonts w:ascii="Arial" w:hAnsi="Arial"/>
                <w:sz w:val="20"/>
              </w:rPr>
              <w:t>Una promoción de una compañía no es razón suficiente para contactar a un cliente. El bot solo escala una oportunidad cuando la condición transitoria mejora la cobertura, baja el precio, o ambas, respecto de lo que el cliente tiene hoy. Una promoción que no mejora la relación Precio/Cobertura del cliente no genera campaña, aunque sea comercialmente atractiva para la corredora.</w:t>
            </w:r>
          </w:p>
        </w:tc>
      </w:tr>
    </w:tbl>
    <w:p>
      <w:pPr>
        <w:spacing w:after="40"/>
      </w:pPr>
    </w:p>
    <w:p>
      <w:r>
        <w:br w:type="page"/>
      </w:r>
    </w:p>
    <w:p>
      <w:pPr>
        <w:pStyle w:val="Heading1"/>
      </w:pPr>
      <w:r>
        <w:t>7. Tablero de Control de Tracción</w:t>
      </w:r>
    </w:p>
    <w:p>
      <w:r>
        <w:rPr>
          <w:b w:val="0"/>
          <w:i w:val="0"/>
        </w:rPr>
        <w:t>Indicadores clave para evaluar el avance hacia las 100 UF y las 500 UF. El tablero mezcla métricas de resultado (UF, retención) con métricas del Motor de Comunidades (cierre, prima, CAC, LTV).</w:t>
      </w:r>
    </w:p>
    <w:p>
      <w:pPr>
        <w:pStyle w:val="Heading2"/>
      </w:pPr>
      <w:r>
        <w:t>7.1 KPIs Comerciales Núcleo</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color="auto" w:fill="1B3A6B"/>
            <w:tcMar>
              <w:top w:w="60" w:type="dxa"/>
              <w:left w:w="110" w:type="dxa"/>
              <w:bottom w:w="60" w:type="dxa"/>
              <w:right w:w="110" w:type="dxa"/>
            </w:tcMar>
          </w:tcPr>
          <w:p>
            <w:pPr>
              <w:spacing w:before="0" w:after="0"/>
            </w:pPr>
            <w:r>
              <w:rPr>
                <w:rFonts w:ascii="Arial" w:hAnsi="Arial"/>
                <w:b/>
                <w:color w:val="FFFFFF"/>
                <w:sz w:val="17"/>
              </w:rPr>
              <w:t>KPI</w:t>
            </w:r>
          </w:p>
        </w:tc>
        <w:tc>
          <w:tcPr>
            <w:tcW w:type="dxa" w:w="3175"/>
            <w:shd w:val="clear" w:color="auto" w:fill="1B3A6B"/>
            <w:tcMar>
              <w:top w:w="60" w:type="dxa"/>
              <w:left w:w="110" w:type="dxa"/>
              <w:bottom w:w="60" w:type="dxa"/>
              <w:right w:w="110" w:type="dxa"/>
            </w:tcMar>
          </w:tcPr>
          <w:p>
            <w:pPr>
              <w:spacing w:before="0" w:after="0"/>
            </w:pPr>
            <w:r>
              <w:rPr>
                <w:rFonts w:ascii="Arial" w:hAnsi="Arial"/>
                <w:b/>
                <w:color w:val="FFFFFF"/>
                <w:sz w:val="17"/>
              </w:rPr>
              <w:t>Qué mide</w:t>
            </w:r>
          </w:p>
        </w:tc>
        <w:tc>
          <w:tcPr>
            <w:tcW w:type="dxa" w:w="3288"/>
            <w:shd w:val="clear" w:color="auto" w:fill="1B3A6B"/>
            <w:tcMar>
              <w:top w:w="60" w:type="dxa"/>
              <w:left w:w="110" w:type="dxa"/>
              <w:bottom w:w="60" w:type="dxa"/>
              <w:right w:w="110" w:type="dxa"/>
            </w:tcMar>
          </w:tcPr>
          <w:p>
            <w:pPr>
              <w:spacing w:before="0" w:after="0"/>
            </w:pPr>
            <w:r>
              <w:rPr>
                <w:rFonts w:ascii="Arial" w:hAnsi="Arial"/>
                <w:b/>
                <w:color w:val="FFFFFF"/>
                <w:sz w:val="17"/>
              </w:rPr>
              <w:t>Por qué importa</w:t>
            </w:r>
          </w:p>
        </w:tc>
      </w:tr>
      <w:tr>
        <w:tc>
          <w:tcPr>
            <w:tcW w:type="dxa" w:w="2041"/>
            <w:tcMar>
              <w:top w:w="60" w:type="dxa"/>
              <w:left w:w="110" w:type="dxa"/>
              <w:bottom w:w="60" w:type="dxa"/>
              <w:right w:w="110" w:type="dxa"/>
            </w:tcMar>
          </w:tcPr>
          <w:p>
            <w:pPr>
              <w:spacing w:before="0" w:after="0"/>
            </w:pPr>
            <w:r>
              <w:rPr>
                <w:rFonts w:ascii="Arial" w:hAnsi="Arial"/>
                <w:b/>
                <w:sz w:val="17"/>
              </w:rPr>
              <w:t>Tasa de cierre por edificio</w:t>
            </w:r>
          </w:p>
        </w:tc>
        <w:tc>
          <w:tcPr>
            <w:tcW w:type="dxa" w:w="3175"/>
            <w:tcMar>
              <w:top w:w="60" w:type="dxa"/>
              <w:left w:w="110" w:type="dxa"/>
              <w:bottom w:w="60" w:type="dxa"/>
              <w:right w:w="110" w:type="dxa"/>
            </w:tcMar>
          </w:tcPr>
          <w:p>
            <w:pPr>
              <w:spacing w:before="0" w:after="0"/>
            </w:pPr>
            <w:r>
              <w:rPr>
                <w:rFonts w:ascii="Arial" w:hAnsi="Arial"/>
                <w:sz w:val="17"/>
              </w:rPr>
              <w:t>% de edificios abordados que firman con Aegis</w:t>
            </w:r>
          </w:p>
        </w:tc>
        <w:tc>
          <w:tcPr>
            <w:tcW w:type="dxa" w:w="3288"/>
            <w:tcMar>
              <w:top w:w="60" w:type="dxa"/>
              <w:left w:w="110" w:type="dxa"/>
              <w:bottom w:w="60" w:type="dxa"/>
              <w:right w:w="110" w:type="dxa"/>
            </w:tcMar>
          </w:tcPr>
          <w:p>
            <w:pPr>
              <w:spacing w:before="0" w:after="0"/>
            </w:pPr>
            <w:r>
              <w:rPr>
                <w:rFonts w:ascii="Arial" w:hAnsi="Arial"/>
                <w:sz w:val="17"/>
              </w:rPr>
              <w:t>Mide la efectividad del embudo del motor principal.</w:t>
            </w:r>
          </w:p>
        </w:tc>
      </w:tr>
      <w:tr>
        <w:tc>
          <w:tcPr>
            <w:tcW w:type="dxa" w:w="2041"/>
            <w:shd w:val="clear" w:color="auto" w:fill="F2F4F7"/>
            <w:tcMar>
              <w:top w:w="60" w:type="dxa"/>
              <w:left w:w="110" w:type="dxa"/>
              <w:bottom w:w="60" w:type="dxa"/>
              <w:right w:w="110" w:type="dxa"/>
            </w:tcMar>
          </w:tcPr>
          <w:p>
            <w:pPr>
              <w:spacing w:before="0" w:after="0"/>
            </w:pPr>
            <w:r>
              <w:rPr>
                <w:rFonts w:ascii="Arial" w:hAnsi="Arial"/>
                <w:b/>
                <w:sz w:val="17"/>
              </w:rPr>
              <w:t>Prima promedio por comunidad</w:t>
            </w:r>
          </w:p>
        </w:tc>
        <w:tc>
          <w:tcPr>
            <w:tcW w:type="dxa" w:w="3175"/>
            <w:shd w:val="clear" w:color="auto" w:fill="F2F4F7"/>
            <w:tcMar>
              <w:top w:w="60" w:type="dxa"/>
              <w:left w:w="110" w:type="dxa"/>
              <w:bottom w:w="60" w:type="dxa"/>
              <w:right w:w="110" w:type="dxa"/>
            </w:tcMar>
          </w:tcPr>
          <w:p>
            <w:pPr>
              <w:spacing w:before="0" w:after="0"/>
            </w:pPr>
            <w:r>
              <w:rPr>
                <w:rFonts w:ascii="Arial" w:hAnsi="Arial"/>
                <w:sz w:val="17"/>
              </w:rPr>
              <w:t>Prima total media de las comunidades convertidas</w:t>
            </w:r>
          </w:p>
        </w:tc>
        <w:tc>
          <w:tcPr>
            <w:tcW w:type="dxa" w:w="3288"/>
            <w:shd w:val="clear" w:color="auto" w:fill="F2F4F7"/>
            <w:tcMar>
              <w:top w:w="60" w:type="dxa"/>
              <w:left w:w="110" w:type="dxa"/>
              <w:bottom w:w="60" w:type="dxa"/>
              <w:right w:w="110" w:type="dxa"/>
            </w:tcMar>
          </w:tcPr>
          <w:p>
            <w:pPr>
              <w:spacing w:before="0" w:after="0"/>
            </w:pPr>
            <w:r>
              <w:rPr>
                <w:rFonts w:ascii="Arial" w:hAnsi="Arial"/>
                <w:sz w:val="17"/>
              </w:rPr>
              <w:t>Dimensiona el valor de cada victoria y proyecta la UF.</w:t>
            </w:r>
          </w:p>
        </w:tc>
      </w:tr>
      <w:tr>
        <w:tc>
          <w:tcPr>
            <w:tcW w:type="dxa" w:w="2041"/>
            <w:tcMar>
              <w:top w:w="60" w:type="dxa"/>
              <w:left w:w="110" w:type="dxa"/>
              <w:bottom w:w="60" w:type="dxa"/>
              <w:right w:w="110" w:type="dxa"/>
            </w:tcMar>
          </w:tcPr>
          <w:p>
            <w:pPr>
              <w:spacing w:before="0" w:after="0"/>
            </w:pPr>
            <w:r>
              <w:rPr>
                <w:rFonts w:ascii="Arial" w:hAnsi="Arial"/>
                <w:b/>
                <w:sz w:val="17"/>
              </w:rPr>
              <w:t>CAC</w:t>
            </w:r>
          </w:p>
        </w:tc>
        <w:tc>
          <w:tcPr>
            <w:tcW w:type="dxa" w:w="3175"/>
            <w:tcMar>
              <w:top w:w="60" w:type="dxa"/>
              <w:left w:w="110" w:type="dxa"/>
              <w:bottom w:w="60" w:type="dxa"/>
              <w:right w:w="110" w:type="dxa"/>
            </w:tcMar>
          </w:tcPr>
          <w:p>
            <w:pPr>
              <w:spacing w:before="0" w:after="0"/>
            </w:pPr>
            <w:r>
              <w:rPr>
                <w:rFonts w:ascii="Arial" w:hAnsi="Arial"/>
                <w:sz w:val="17"/>
              </w:rPr>
              <w:t>Costo de adquisición por comunidad/cliente (tiempo y gasto comercial)</w:t>
            </w:r>
          </w:p>
        </w:tc>
        <w:tc>
          <w:tcPr>
            <w:tcW w:type="dxa" w:w="3288"/>
            <w:tcMar>
              <w:top w:w="60" w:type="dxa"/>
              <w:left w:w="110" w:type="dxa"/>
              <w:bottom w:w="60" w:type="dxa"/>
              <w:right w:w="110" w:type="dxa"/>
            </w:tcMar>
          </w:tcPr>
          <w:p>
            <w:pPr>
              <w:spacing w:before="0" w:after="0"/>
            </w:pPr>
            <w:r>
              <w:rPr>
                <w:rFonts w:ascii="Arial" w:hAnsi="Arial"/>
                <w:sz w:val="17"/>
              </w:rPr>
              <w:t>Asegura que crecer no consuma el margen del motor de mayor rentabilidad.</w:t>
            </w:r>
          </w:p>
        </w:tc>
      </w:tr>
      <w:tr>
        <w:tc>
          <w:tcPr>
            <w:tcW w:type="dxa" w:w="2041"/>
            <w:shd w:val="clear" w:color="auto" w:fill="F2F4F7"/>
            <w:tcMar>
              <w:top w:w="60" w:type="dxa"/>
              <w:left w:w="110" w:type="dxa"/>
              <w:bottom w:w="60" w:type="dxa"/>
              <w:right w:w="110" w:type="dxa"/>
            </w:tcMar>
          </w:tcPr>
          <w:p>
            <w:pPr>
              <w:spacing w:before="0" w:after="0"/>
            </w:pPr>
            <w:r>
              <w:rPr>
                <w:rFonts w:ascii="Arial" w:hAnsi="Arial"/>
                <w:b/>
                <w:sz w:val="17"/>
              </w:rPr>
              <w:t>LTV</w:t>
            </w:r>
          </w:p>
        </w:tc>
        <w:tc>
          <w:tcPr>
            <w:tcW w:type="dxa" w:w="3175"/>
            <w:shd w:val="clear" w:color="auto" w:fill="F2F4F7"/>
            <w:tcMar>
              <w:top w:w="60" w:type="dxa"/>
              <w:left w:w="110" w:type="dxa"/>
              <w:bottom w:w="60" w:type="dxa"/>
              <w:right w:w="110" w:type="dxa"/>
            </w:tcMar>
          </w:tcPr>
          <w:p>
            <w:pPr>
              <w:spacing w:before="0" w:after="0"/>
            </w:pPr>
            <w:r>
              <w:rPr>
                <w:rFonts w:ascii="Arial" w:hAnsi="Arial"/>
                <w:sz w:val="17"/>
              </w:rPr>
              <w:t>Valor del cliente en el tiempo (renovaciones + cross-selling)</w:t>
            </w:r>
          </w:p>
        </w:tc>
        <w:tc>
          <w:tcPr>
            <w:tcW w:type="dxa" w:w="3288"/>
            <w:shd w:val="clear" w:color="auto" w:fill="F2F4F7"/>
            <w:tcMar>
              <w:top w:w="60" w:type="dxa"/>
              <w:left w:w="110" w:type="dxa"/>
              <w:bottom w:w="60" w:type="dxa"/>
              <w:right w:w="110" w:type="dxa"/>
            </w:tcMar>
          </w:tcPr>
          <w:p>
            <w:pPr>
              <w:spacing w:before="0" w:after="0"/>
            </w:pPr>
            <w:r>
              <w:rPr>
                <w:rFonts w:ascii="Arial" w:hAnsi="Arial"/>
                <w:sz w:val="17"/>
              </w:rPr>
              <w:t>Justifica el esfuerzo: un edificio vale por años y por sus residentes.</w:t>
            </w:r>
          </w:p>
        </w:tc>
      </w:tr>
      <w:tr>
        <w:tc>
          <w:tcPr>
            <w:tcW w:type="dxa" w:w="2041"/>
            <w:tcMar>
              <w:top w:w="60" w:type="dxa"/>
              <w:left w:w="110" w:type="dxa"/>
              <w:bottom w:w="60" w:type="dxa"/>
              <w:right w:w="110" w:type="dxa"/>
            </w:tcMar>
          </w:tcPr>
          <w:p>
            <w:pPr>
              <w:spacing w:before="0" w:after="0"/>
            </w:pPr>
            <w:r>
              <w:rPr>
                <w:rFonts w:ascii="Arial" w:hAnsi="Arial"/>
                <w:b/>
                <w:sz w:val="17"/>
              </w:rPr>
              <w:t>Ratio Renovación / Total</w:t>
            </w:r>
          </w:p>
        </w:tc>
        <w:tc>
          <w:tcPr>
            <w:tcW w:type="dxa" w:w="3175"/>
            <w:tcMar>
              <w:top w:w="60" w:type="dxa"/>
              <w:left w:w="110" w:type="dxa"/>
              <w:bottom w:w="60" w:type="dxa"/>
              <w:right w:w="110" w:type="dxa"/>
            </w:tcMar>
          </w:tcPr>
          <w:p>
            <w:pPr>
              <w:spacing w:before="0" w:after="0"/>
            </w:pPr>
            <w:r>
              <w:rPr>
                <w:rFonts w:ascii="Arial" w:hAnsi="Arial"/>
                <w:sz w:val="17"/>
              </w:rPr>
              <w:t>% de ingresos provenientes de renovaciones</w:t>
            </w:r>
          </w:p>
        </w:tc>
        <w:tc>
          <w:tcPr>
            <w:tcW w:type="dxa" w:w="3288"/>
            <w:tcMar>
              <w:top w:w="60" w:type="dxa"/>
              <w:left w:w="110" w:type="dxa"/>
              <w:bottom w:w="60" w:type="dxa"/>
              <w:right w:w="110" w:type="dxa"/>
            </w:tcMar>
          </w:tcPr>
          <w:p>
            <w:pPr>
              <w:spacing w:before="0" w:after="0"/>
            </w:pPr>
            <w:r>
              <w:rPr>
                <w:rFonts w:ascii="Arial" w:hAnsi="Arial"/>
                <w:sz w:val="17"/>
              </w:rPr>
              <w:t>Indicador de salud: cartera que crece vs. cartera que se reemplaza.</w:t>
            </w:r>
          </w:p>
        </w:tc>
      </w:tr>
      <w:tr>
        <w:tc>
          <w:tcPr>
            <w:tcW w:type="dxa" w:w="2041"/>
            <w:shd w:val="clear" w:color="auto" w:fill="F2F4F7"/>
            <w:tcMar>
              <w:top w:w="60" w:type="dxa"/>
              <w:left w:w="110" w:type="dxa"/>
              <w:bottom w:w="60" w:type="dxa"/>
              <w:right w:w="110" w:type="dxa"/>
            </w:tcMar>
          </w:tcPr>
          <w:p>
            <w:pPr>
              <w:spacing w:before="0" w:after="0"/>
            </w:pPr>
            <w:r>
              <w:rPr>
                <w:rFonts w:ascii="Arial" w:hAnsi="Arial"/>
                <w:b/>
                <w:sz w:val="17"/>
              </w:rPr>
              <w:t>Comisión neta mensual (UF)</w:t>
            </w:r>
          </w:p>
        </w:tc>
        <w:tc>
          <w:tcPr>
            <w:tcW w:type="dxa" w:w="3175"/>
            <w:shd w:val="clear" w:color="auto" w:fill="F2F4F7"/>
            <w:tcMar>
              <w:top w:w="60" w:type="dxa"/>
              <w:left w:w="110" w:type="dxa"/>
              <w:bottom w:w="60" w:type="dxa"/>
              <w:right w:w="110" w:type="dxa"/>
            </w:tcMar>
          </w:tcPr>
          <w:p>
            <w:pPr>
              <w:spacing w:before="0" w:after="0"/>
            </w:pPr>
            <w:r>
              <w:rPr>
                <w:rFonts w:ascii="Arial" w:hAnsi="Arial"/>
                <w:sz w:val="17"/>
              </w:rPr>
              <w:t>Resultado consolidado del mes</w:t>
            </w:r>
          </w:p>
        </w:tc>
        <w:tc>
          <w:tcPr>
            <w:tcW w:type="dxa" w:w="3288"/>
            <w:shd w:val="clear" w:color="auto" w:fill="F2F4F7"/>
            <w:tcMar>
              <w:top w:w="60" w:type="dxa"/>
              <w:left w:w="110" w:type="dxa"/>
              <w:bottom w:w="60" w:type="dxa"/>
              <w:right w:w="110" w:type="dxa"/>
            </w:tcMar>
          </w:tcPr>
          <w:p>
            <w:pPr>
              <w:spacing w:before="0" w:after="0"/>
            </w:pPr>
            <w:r>
              <w:rPr>
                <w:rFonts w:ascii="Arial" w:hAnsi="Arial"/>
                <w:sz w:val="17"/>
              </w:rPr>
              <w:t>Medición directa del avance hacia 100 y 500 UF.</w:t>
            </w:r>
          </w:p>
        </w:tc>
      </w:tr>
    </w:tbl>
    <w:p>
      <w:pPr>
        <w:spacing w:after="40"/>
      </w:pPr>
    </w:p>
    <w:p>
      <w:pPr>
        <w:pStyle w:val="Heading2"/>
      </w:pPr>
      <w:r>
        <w:t>7.2 Métricas de Eficiencia del Embudo</w:t>
      </w:r>
    </w:p>
    <w:p>
      <w:pPr>
        <w:pStyle w:val="ListBullet"/>
      </w:pPr>
      <w:r>
        <w:t>número de edificios en el Mapa de Vencimientos y cuántos están dentro de la ventana de 90 días;</w:t>
      </w:r>
    </w:p>
    <w:p>
      <w:pPr>
        <w:pStyle w:val="ListBullet"/>
      </w:pPr>
      <w:r>
        <w:t>leads de comunidades generados y SLA de primer contacto (objetivo: menos de 24 horas hábiles);</w:t>
      </w:r>
    </w:p>
    <w:p>
      <w:pPr>
        <w:pStyle w:val="ListBullet"/>
      </w:pPr>
      <w:r>
        <w:t>tasa de conversión de cross-selling sobre residentes de edificios ganados;</w:t>
      </w:r>
    </w:p>
    <w:p>
      <w:pPr>
        <w:pStyle w:val="ListBullet"/>
      </w:pPr>
      <w:r>
        <w:t>pólizas por cliente (profundidad de la relación) y tasa de retención anual.</w:t>
      </w:r>
    </w:p>
    <w:p>
      <w:pPr>
        <w:pStyle w:val="Heading2"/>
      </w:pPr>
      <w:r>
        <w:t>7.3 Tracking de Metas de Compañías (Promociones Corredor)</w:t>
      </w:r>
    </w:p>
    <w:p>
      <w:r>
        <w:rPr>
          <w:b w:val="0"/>
          <w:i w:val="0"/>
        </w:rPr>
        <w:t>Las aseguradoras fijan metas de incentivo al corredor —por ejemplo, alcanzar 500 UF en ventas nuevas dentro de un período para acceder a un bono o a mejores condiciones. El SGA incorpora un indicador visual tipo termómetro que monitorea de forma pasiva el avance hacia cada una de esas metas, por compañía y por período.</w:t>
      </w:r>
    </w:p>
    <w:tbl>
      <w:tblPr>
        <w:tblStyle w:val="TableGrid"/>
        <w:tblW w:type="auto" w:w="0"/>
        <w:jc w:val="center"/>
        <w:tblLook w:firstColumn="1" w:firstRow="1" w:lastColumn="0" w:lastRow="0" w:noHBand="0" w:noVBand="1" w:val="04A0"/>
      </w:tblPr>
      <w:tblGrid>
        <w:gridCol w:w="4320"/>
        <w:gridCol w:w="4320"/>
      </w:tblGrid>
      <w:tr>
        <w:tc>
          <w:tcPr>
            <w:tcW w:type="dxa" w:w="2494"/>
            <w:shd w:val="clear" w:color="auto" w:fill="1B3A6B"/>
            <w:tcMar>
              <w:top w:w="60" w:type="dxa"/>
              <w:left w:w="110" w:type="dxa"/>
              <w:bottom w:w="60" w:type="dxa"/>
              <w:right w:w="110" w:type="dxa"/>
            </w:tcMar>
          </w:tcPr>
          <w:p>
            <w:pPr>
              <w:spacing w:before="0" w:after="0"/>
            </w:pPr>
            <w:r>
              <w:rPr>
                <w:rFonts w:ascii="Arial" w:hAnsi="Arial"/>
                <w:b/>
                <w:color w:val="FFFFFF"/>
                <w:sz w:val="18"/>
              </w:rPr>
              <w:t>Elemento del termómetro</w:t>
            </w:r>
          </w:p>
        </w:tc>
        <w:tc>
          <w:tcPr>
            <w:tcW w:type="dxa" w:w="6009"/>
            <w:shd w:val="clear" w:color="auto" w:fill="1B3A6B"/>
            <w:tcMar>
              <w:top w:w="60" w:type="dxa"/>
              <w:left w:w="110" w:type="dxa"/>
              <w:bottom w:w="60" w:type="dxa"/>
              <w:right w:w="110" w:type="dxa"/>
            </w:tcMar>
          </w:tcPr>
          <w:p>
            <w:pPr>
              <w:spacing w:before="0" w:after="0"/>
            </w:pPr>
            <w:r>
              <w:rPr>
                <w:rFonts w:ascii="Arial" w:hAnsi="Arial"/>
                <w:b/>
                <w:color w:val="FFFFFF"/>
                <w:sz w:val="18"/>
              </w:rPr>
              <w:t>Qué muestra</w:t>
            </w:r>
          </w:p>
        </w:tc>
      </w:tr>
      <w:tr>
        <w:tc>
          <w:tcPr>
            <w:tcW w:type="dxa" w:w="2494"/>
            <w:tcMar>
              <w:top w:w="60" w:type="dxa"/>
              <w:left w:w="110" w:type="dxa"/>
              <w:bottom w:w="60" w:type="dxa"/>
              <w:right w:w="110" w:type="dxa"/>
            </w:tcMar>
          </w:tcPr>
          <w:p>
            <w:pPr>
              <w:spacing w:before="0" w:after="0"/>
            </w:pPr>
            <w:r>
              <w:rPr>
                <w:rFonts w:ascii="Arial" w:hAnsi="Arial"/>
                <w:b/>
                <w:sz w:val="18"/>
              </w:rPr>
              <w:t>Compañía y meta</w:t>
            </w:r>
          </w:p>
        </w:tc>
        <w:tc>
          <w:tcPr>
            <w:tcW w:type="dxa" w:w="6009"/>
            <w:tcMar>
              <w:top w:w="60" w:type="dxa"/>
              <w:left w:w="110" w:type="dxa"/>
              <w:bottom w:w="60" w:type="dxa"/>
              <w:right w:w="110" w:type="dxa"/>
            </w:tcMar>
          </w:tcPr>
          <w:p>
            <w:pPr>
              <w:spacing w:before="0" w:after="0"/>
            </w:pPr>
            <w:r>
              <w:rPr>
                <w:rFonts w:ascii="Arial" w:hAnsi="Arial"/>
                <w:sz w:val="18"/>
              </w:rPr>
              <w:t>Aseguradora del panel y monto objetivo del incentivo (p. ej. 500 UF en ventas nuevas).</w:t>
            </w:r>
          </w:p>
        </w:tc>
      </w:tr>
      <w:tr>
        <w:tc>
          <w:tcPr>
            <w:tcW w:type="dxa" w:w="2494"/>
            <w:shd w:val="clear" w:color="auto" w:fill="F2F4F7"/>
            <w:tcMar>
              <w:top w:w="60" w:type="dxa"/>
              <w:left w:w="110" w:type="dxa"/>
              <w:bottom w:w="60" w:type="dxa"/>
              <w:right w:w="110" w:type="dxa"/>
            </w:tcMar>
          </w:tcPr>
          <w:p>
            <w:pPr>
              <w:spacing w:before="0" w:after="0"/>
            </w:pPr>
            <w:r>
              <w:rPr>
                <w:rFonts w:ascii="Arial" w:hAnsi="Arial"/>
                <w:b/>
                <w:sz w:val="18"/>
              </w:rPr>
              <w:t>Avance acumulado</w:t>
            </w:r>
          </w:p>
        </w:tc>
        <w:tc>
          <w:tcPr>
            <w:tcW w:type="dxa" w:w="6009"/>
            <w:shd w:val="clear" w:color="auto" w:fill="F2F4F7"/>
            <w:tcMar>
              <w:top w:w="60" w:type="dxa"/>
              <w:left w:w="110" w:type="dxa"/>
              <w:bottom w:w="60" w:type="dxa"/>
              <w:right w:w="110" w:type="dxa"/>
            </w:tcMar>
          </w:tcPr>
          <w:p>
            <w:pPr>
              <w:spacing w:before="0" w:after="0"/>
            </w:pPr>
            <w:r>
              <w:rPr>
                <w:rFonts w:ascii="Arial" w:hAnsi="Arial"/>
                <w:sz w:val="18"/>
              </w:rPr>
              <w:t>Ventas nuevas computadas en el período, en UF.</w:t>
            </w:r>
          </w:p>
        </w:tc>
      </w:tr>
      <w:tr>
        <w:tc>
          <w:tcPr>
            <w:tcW w:type="dxa" w:w="2494"/>
            <w:tcMar>
              <w:top w:w="60" w:type="dxa"/>
              <w:left w:w="110" w:type="dxa"/>
              <w:bottom w:w="60" w:type="dxa"/>
              <w:right w:w="110" w:type="dxa"/>
            </w:tcMar>
          </w:tcPr>
          <w:p>
            <w:pPr>
              <w:spacing w:before="0" w:after="0"/>
            </w:pPr>
            <w:r>
              <w:rPr>
                <w:rFonts w:ascii="Arial" w:hAnsi="Arial"/>
                <w:b/>
                <w:sz w:val="18"/>
              </w:rPr>
              <w:t>% de cumplimiento</w:t>
            </w:r>
          </w:p>
        </w:tc>
        <w:tc>
          <w:tcPr>
            <w:tcW w:type="dxa" w:w="6009"/>
            <w:tcMar>
              <w:top w:w="60" w:type="dxa"/>
              <w:left w:w="110" w:type="dxa"/>
              <w:bottom w:w="60" w:type="dxa"/>
              <w:right w:w="110" w:type="dxa"/>
            </w:tcMar>
          </w:tcPr>
          <w:p>
            <w:pPr>
              <w:spacing w:before="0" w:after="0"/>
            </w:pPr>
            <w:r>
              <w:rPr>
                <w:rFonts w:ascii="Arial" w:hAnsi="Arial"/>
                <w:sz w:val="18"/>
              </w:rPr>
              <w:t>Progreso hacia la meta, representado visualmente.</w:t>
            </w:r>
          </w:p>
        </w:tc>
      </w:tr>
      <w:tr>
        <w:tc>
          <w:tcPr>
            <w:tcW w:type="dxa" w:w="2494"/>
            <w:shd w:val="clear" w:color="auto" w:fill="F2F4F7"/>
            <w:tcMar>
              <w:top w:w="60" w:type="dxa"/>
              <w:left w:w="110" w:type="dxa"/>
              <w:bottom w:w="60" w:type="dxa"/>
              <w:right w:w="110" w:type="dxa"/>
            </w:tcMar>
          </w:tcPr>
          <w:p>
            <w:pPr>
              <w:spacing w:before="0" w:after="0"/>
            </w:pPr>
            <w:r>
              <w:rPr>
                <w:rFonts w:ascii="Arial" w:hAnsi="Arial"/>
                <w:b/>
                <w:sz w:val="18"/>
              </w:rPr>
              <w:t>Vigencia</w:t>
            </w:r>
          </w:p>
        </w:tc>
        <w:tc>
          <w:tcPr>
            <w:tcW w:type="dxa" w:w="6009"/>
            <w:shd w:val="clear" w:color="auto" w:fill="F2F4F7"/>
            <w:tcMar>
              <w:top w:w="60" w:type="dxa"/>
              <w:left w:w="110" w:type="dxa"/>
              <w:bottom w:w="60" w:type="dxa"/>
              <w:right w:w="110" w:type="dxa"/>
            </w:tcMar>
          </w:tcPr>
          <w:p>
            <w:pPr>
              <w:spacing w:before="0" w:after="0"/>
            </w:pPr>
            <w:r>
              <w:rPr>
                <w:rFonts w:ascii="Arial" w:hAnsi="Arial"/>
                <w:sz w:val="18"/>
              </w:rPr>
              <w:t>Ventana de tiempo del incentivo de la compañía.</w:t>
            </w:r>
          </w:p>
        </w:tc>
      </w:tr>
    </w:tbl>
    <w:p>
      <w:pPr>
        <w:spacing w:after="40"/>
      </w:pPr>
    </w:p>
    <w:p>
      <w:r>
        <w:rPr>
          <w:b w:val="0"/>
          <w:i w:val="0"/>
        </w:rPr>
        <w:t>El propósito es de pura observabilidad: saber dónde está la corredora respecto de cada meta para ordenar la gestión interna y la asignación inteligente del «Marketing Fee» de Aegis. El termómetro registra; nunca dirige una recomendación al cliente.</w:t>
      </w: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COMPLIANCE CRÍTICO — EL INCENTIVO JAMÁS ALTERA EL RANKING PRECIO/COBERTURA</w:t>
            </w:r>
          </w:p>
          <w:p>
            <w:pPr>
              <w:spacing w:before="60" w:after="0"/>
            </w:pPr>
            <w:r>
              <w:rPr>
                <w:rFonts w:ascii="Arial" w:hAnsi="Arial"/>
                <w:sz w:val="20"/>
              </w:rPr>
              <w:t>Esta métrica es de uso exclusivamente interno, para gestión de la corredora y para la asignación inteligente del «Marketing Fee». Queda establecido de manera tajante que el SGA JAMÁS alterará, sesgará ni reordenará el ranking automático de la relación Precio/Cobertura para empujar a una compañía con el fin de ganar un incentivo. El termómetro es pasivo y observacional: no es input de ninguna cotización ni recomendación al cliente. El estándar fiduciario dictado en el Aegis Corporate OS (§1.4 y §3.4.2) prevalece sobre cualquier meta comercial de una aseguradora. Si alguna vez una decisión comercial entra en conflicto con la relación Precio/Cobertura, prevalece el cliente.</w:t>
            </w:r>
          </w:p>
        </w:tc>
      </w:tr>
    </w:tbl>
    <w:p>
      <w:pPr>
        <w:spacing w:after="40"/>
      </w:pPr>
    </w:p>
    <w:p>
      <w:pPr>
        <w:pStyle w:val="Heading2"/>
      </w:pPr>
      <w:r>
        <w:t>7.4 Señales de Alerta y Acción</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B3A6B"/>
            <w:tcMar>
              <w:top w:w="60" w:type="dxa"/>
              <w:left w:w="110" w:type="dxa"/>
              <w:bottom w:w="60" w:type="dxa"/>
              <w:right w:w="110" w:type="dxa"/>
            </w:tcMar>
          </w:tcPr>
          <w:p>
            <w:pPr>
              <w:spacing w:before="0" w:after="0"/>
            </w:pPr>
            <w:r>
              <w:rPr>
                <w:rFonts w:ascii="Arial" w:hAnsi="Arial"/>
                <w:b/>
                <w:color w:val="FFFFFF"/>
                <w:sz w:val="17"/>
              </w:rPr>
              <w:t>Señal</w:t>
            </w:r>
          </w:p>
        </w:tc>
        <w:tc>
          <w:tcPr>
            <w:tcW w:type="dxa" w:w="5669"/>
            <w:shd w:val="clear" w:color="auto" w:fill="1B3A6B"/>
            <w:tcMar>
              <w:top w:w="60" w:type="dxa"/>
              <w:left w:w="110" w:type="dxa"/>
              <w:bottom w:w="60" w:type="dxa"/>
              <w:right w:w="110" w:type="dxa"/>
            </w:tcMar>
          </w:tcPr>
          <w:p>
            <w:pPr>
              <w:spacing w:before="0" w:after="0"/>
            </w:pPr>
            <w:r>
              <w:rPr>
                <w:rFonts w:ascii="Arial" w:hAnsi="Arial"/>
                <w:b/>
                <w:color w:val="FFFFFF"/>
                <w:sz w:val="17"/>
              </w:rPr>
              <w:t>Acción correctiva</w:t>
            </w:r>
          </w:p>
        </w:tc>
      </w:tr>
      <w:tr>
        <w:tc>
          <w:tcPr>
            <w:tcW w:type="dxa" w:w="2835"/>
            <w:tcMar>
              <w:top w:w="60" w:type="dxa"/>
              <w:left w:w="110" w:type="dxa"/>
              <w:bottom w:w="60" w:type="dxa"/>
              <w:right w:w="110" w:type="dxa"/>
            </w:tcMar>
          </w:tcPr>
          <w:p>
            <w:pPr>
              <w:spacing w:before="0" w:after="0"/>
            </w:pPr>
            <w:r>
              <w:rPr>
                <w:rFonts w:ascii="Arial" w:hAnsi="Arial"/>
                <w:b/>
                <w:sz w:val="17"/>
              </w:rPr>
              <w:t>Avance lento hacia las 100 UF</w:t>
            </w:r>
          </w:p>
        </w:tc>
        <w:tc>
          <w:tcPr>
            <w:tcW w:type="dxa" w:w="5669"/>
            <w:tcMar>
              <w:top w:w="60" w:type="dxa"/>
              <w:left w:w="110" w:type="dxa"/>
              <w:bottom w:w="60" w:type="dxa"/>
              <w:right w:w="110" w:type="dxa"/>
            </w:tcMar>
          </w:tcPr>
          <w:p>
            <w:pPr>
              <w:spacing w:before="0" w:after="0"/>
            </w:pPr>
            <w:r>
              <w:rPr>
                <w:rFonts w:ascii="Arial" w:hAnsi="Arial"/>
                <w:sz w:val="17"/>
              </w:rPr>
              <w:t>Revisar el embudo del Motor de Comunidades: ¿se están abordando edificios dentro de la ventana de 90 días?</w:t>
            </w:r>
          </w:p>
        </w:tc>
      </w:tr>
      <w:tr>
        <w:tc>
          <w:tcPr>
            <w:tcW w:type="dxa" w:w="2835"/>
            <w:shd w:val="clear" w:color="auto" w:fill="F2F4F7"/>
            <w:tcMar>
              <w:top w:w="60" w:type="dxa"/>
              <w:left w:w="110" w:type="dxa"/>
              <w:bottom w:w="60" w:type="dxa"/>
              <w:right w:w="110" w:type="dxa"/>
            </w:tcMar>
          </w:tcPr>
          <w:p>
            <w:pPr>
              <w:spacing w:before="0" w:after="0"/>
            </w:pPr>
            <w:r>
              <w:rPr>
                <w:rFonts w:ascii="Arial" w:hAnsi="Arial"/>
                <w:b/>
                <w:sz w:val="17"/>
              </w:rPr>
              <w:t>Tasa de cierre por edificio baja</w:t>
            </w:r>
          </w:p>
        </w:tc>
        <w:tc>
          <w:tcPr>
            <w:tcW w:type="dxa" w:w="5669"/>
            <w:shd w:val="clear" w:color="auto" w:fill="F2F4F7"/>
            <w:tcMar>
              <w:top w:w="60" w:type="dxa"/>
              <w:left w:w="110" w:type="dxa"/>
              <w:bottom w:w="60" w:type="dxa"/>
              <w:right w:w="110" w:type="dxa"/>
            </w:tcMar>
          </w:tcPr>
          <w:p>
            <w:pPr>
              <w:spacing w:before="0" w:after="0"/>
            </w:pPr>
            <w:r>
              <w:rPr>
                <w:rFonts w:ascii="Arial" w:hAnsi="Arial"/>
                <w:sz w:val="17"/>
              </w:rPr>
              <w:t>Auditar la propuesta y el pricing; reforzar la comunicación proactiva y la comparativa escrita.</w:t>
            </w:r>
          </w:p>
        </w:tc>
      </w:tr>
      <w:tr>
        <w:tc>
          <w:tcPr>
            <w:tcW w:type="dxa" w:w="2835"/>
            <w:tcMar>
              <w:top w:w="60" w:type="dxa"/>
              <w:left w:w="110" w:type="dxa"/>
              <w:bottom w:w="60" w:type="dxa"/>
              <w:right w:w="110" w:type="dxa"/>
            </w:tcMar>
          </w:tcPr>
          <w:p>
            <w:pPr>
              <w:spacing w:before="0" w:after="0"/>
            </w:pPr>
            <w:r>
              <w:rPr>
                <w:rFonts w:ascii="Arial" w:hAnsi="Arial"/>
                <w:b/>
                <w:sz w:val="17"/>
              </w:rPr>
              <w:t>Ratio Renovación/Total cayendo</w:t>
            </w:r>
          </w:p>
        </w:tc>
        <w:tc>
          <w:tcPr>
            <w:tcW w:type="dxa" w:w="5669"/>
            <w:tcMar>
              <w:top w:w="60" w:type="dxa"/>
              <w:left w:w="110" w:type="dxa"/>
              <w:bottom w:w="60" w:type="dxa"/>
              <w:right w:w="110" w:type="dxa"/>
            </w:tcMar>
          </w:tcPr>
          <w:p>
            <w:pPr>
              <w:spacing w:before="0" w:after="0"/>
            </w:pPr>
            <w:r>
              <w:rPr>
                <w:rFonts w:ascii="Arial" w:hAnsi="Arial"/>
                <w:sz w:val="17"/>
              </w:rPr>
              <w:t>Auditoría de retención: la cartera se está reemplazando, no creciendo. Reforzar delivery.</w:t>
            </w:r>
          </w:p>
        </w:tc>
      </w:tr>
      <w:tr>
        <w:tc>
          <w:tcPr>
            <w:tcW w:type="dxa" w:w="2835"/>
            <w:shd w:val="clear" w:color="auto" w:fill="F2F4F7"/>
            <w:tcMar>
              <w:top w:w="60" w:type="dxa"/>
              <w:left w:w="110" w:type="dxa"/>
              <w:bottom w:w="60" w:type="dxa"/>
              <w:right w:w="110" w:type="dxa"/>
            </w:tcMar>
          </w:tcPr>
          <w:p>
            <w:pPr>
              <w:spacing w:before="0" w:after="0"/>
            </w:pPr>
            <w:r>
              <w:rPr>
                <w:rFonts w:ascii="Arial" w:hAnsi="Arial"/>
                <w:b/>
                <w:sz w:val="17"/>
              </w:rPr>
              <w:t>Edificio con siniestralidad alta</w:t>
            </w:r>
          </w:p>
        </w:tc>
        <w:tc>
          <w:tcPr>
            <w:tcW w:type="dxa" w:w="5669"/>
            <w:shd w:val="clear" w:color="auto" w:fill="F2F4F7"/>
            <w:tcMar>
              <w:top w:w="60" w:type="dxa"/>
              <w:left w:w="110" w:type="dxa"/>
              <w:bottom w:w="60" w:type="dxa"/>
              <w:right w:w="110" w:type="dxa"/>
            </w:tcMar>
          </w:tcPr>
          <w:p>
            <w:pPr>
              <w:spacing w:before="0" w:after="0"/>
            </w:pPr>
            <w:r>
              <w:rPr>
                <w:rFonts w:ascii="Arial" w:hAnsi="Arial"/>
                <w:sz w:val="17"/>
              </w:rPr>
              <w:t>Licitación masiva inmediata con todas las compañías + ANS; el corredor informa y rota.</w:t>
            </w:r>
          </w:p>
        </w:tc>
      </w:tr>
      <w:tr>
        <w:tc>
          <w:tcPr>
            <w:tcW w:type="dxa" w:w="2835"/>
            <w:tcMar>
              <w:top w:w="60" w:type="dxa"/>
              <w:left w:w="110" w:type="dxa"/>
              <w:bottom w:w="60" w:type="dxa"/>
              <w:right w:w="110" w:type="dxa"/>
            </w:tcMar>
          </w:tcPr>
          <w:p>
            <w:pPr>
              <w:spacing w:before="0" w:after="0"/>
            </w:pPr>
            <w:r>
              <w:rPr>
                <w:rFonts w:ascii="Arial" w:hAnsi="Arial"/>
                <w:b/>
                <w:sz w:val="17"/>
              </w:rPr>
              <w:t>CAC creciente sin aumento de LTV</w:t>
            </w:r>
          </w:p>
        </w:tc>
        <w:tc>
          <w:tcPr>
            <w:tcW w:type="dxa" w:w="5669"/>
            <w:tcMar>
              <w:top w:w="60" w:type="dxa"/>
              <w:left w:w="110" w:type="dxa"/>
              <w:bottom w:w="60" w:type="dxa"/>
              <w:right w:w="110" w:type="dxa"/>
            </w:tcMar>
          </w:tcPr>
          <w:p>
            <w:pPr>
              <w:spacing w:before="0" w:after="0"/>
            </w:pPr>
            <w:r>
              <w:rPr>
                <w:rFonts w:ascii="Arial" w:hAnsi="Arial"/>
                <w:sz w:val="17"/>
              </w:rPr>
              <w:t>Reenfocar recursos en el canal de mayor margen (comunidades) antes que en canales de reserva.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EL TABLERO SIRVE A LA MÁXIMA, NO AL REVÉS</w:t>
            </w:r>
          </w:p>
          <w:p>
            <w:pPr>
              <w:spacing w:before="60" w:after="0"/>
            </w:pPr>
            <w:r>
              <w:rPr>
                <w:rFonts w:ascii="Arial" w:hAnsi="Arial"/>
                <w:sz w:val="20"/>
              </w:rPr>
              <w:t>Ningún KPI justifica violar la relación Precio/Cobertura ni el marco legal del Corporate OS. Si una táctica sube la UF pero antepone la comisión al beneficio del cliente, la táctica está mal, no el principio. El crecimiento correcto es consecuencia de servir bien al cliente.</w:t>
            </w:r>
          </w:p>
        </w:tc>
      </w:tr>
    </w:tbl>
    <w:p>
      <w:pPr>
        <w:spacing w:after="40"/>
      </w:pPr>
    </w:p>
    <w:p>
      <w:r>
        <w:br w:type="page"/>
      </w:r>
    </w:p>
    <w:p>
      <w:pPr>
        <w:pStyle w:val="Heading1"/>
      </w:pPr>
      <w:r>
        <w:t>Control del Documento</w:t>
      </w:r>
    </w:p>
    <w:p>
      <w:r>
        <w:rPr>
          <w:b w:val="0"/>
          <w:i w:val="0"/>
        </w:rPr>
        <w:t>Este es el documento fundacional (v1.0) del manual comercial de Seguros Aegis. Es un documento vivo: metas, motores y tácticas se actualizan con la ejecución. Lo que permanece fijo es su subordinación al Aegis Corporate OS y a la máxima Precio/Cobertura.</w:t>
      </w:r>
    </w:p>
    <w:tbl>
      <w:tblPr>
        <w:tblStyle w:val="TableGrid"/>
        <w:tblW w:type="auto" w:w="0"/>
        <w:jc w:val="center"/>
        <w:tblLook w:firstColumn="1" w:firstRow="1" w:lastColumn="0" w:lastRow="0" w:noHBand="0" w:noVBand="1" w:val="04A0"/>
      </w:tblPr>
      <w:tblGrid>
        <w:gridCol w:w="2880"/>
        <w:gridCol w:w="2880"/>
        <w:gridCol w:w="2880"/>
      </w:tblGrid>
      <w:tr>
        <w:tc>
          <w:tcPr>
            <w:tcW w:type="dxa" w:w="1247"/>
            <w:shd w:val="clear" w:color="auto" w:fill="1B3A6B"/>
            <w:tcMar>
              <w:top w:w="60" w:type="dxa"/>
              <w:left w:w="110" w:type="dxa"/>
              <w:bottom w:w="60" w:type="dxa"/>
              <w:right w:w="110" w:type="dxa"/>
            </w:tcMar>
          </w:tcPr>
          <w:p>
            <w:pPr>
              <w:spacing w:before="0" w:after="0"/>
            </w:pPr>
            <w:r>
              <w:rPr>
                <w:rFonts w:ascii="Arial" w:hAnsi="Arial"/>
                <w:b/>
                <w:color w:val="FFFFFF"/>
                <w:sz w:val="18"/>
              </w:rPr>
              <w:t>Versión</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8"/>
              </w:rPr>
              <w:t>Fecha</w:t>
            </w:r>
          </w:p>
        </w:tc>
        <w:tc>
          <w:tcPr>
            <w:tcW w:type="dxa" w:w="5783"/>
            <w:shd w:val="clear" w:color="auto" w:fill="1B3A6B"/>
            <w:tcMar>
              <w:top w:w="60" w:type="dxa"/>
              <w:left w:w="110" w:type="dxa"/>
              <w:bottom w:w="60" w:type="dxa"/>
              <w:right w:w="110" w:type="dxa"/>
            </w:tcMar>
          </w:tcPr>
          <w:p>
            <w:pPr>
              <w:spacing w:before="0" w:after="0"/>
            </w:pPr>
            <w:r>
              <w:rPr>
                <w:rFonts w:ascii="Arial" w:hAnsi="Arial"/>
                <w:b/>
                <w:color w:val="FFFFFF"/>
                <w:sz w:val="18"/>
              </w:rPr>
              <w:t>Naturaleza</w:t>
            </w:r>
          </w:p>
        </w:tc>
      </w:tr>
      <w:tr>
        <w:tc>
          <w:tcPr>
            <w:tcW w:type="dxa" w:w="1247"/>
            <w:tcMar>
              <w:top w:w="60" w:type="dxa"/>
              <w:left w:w="110" w:type="dxa"/>
              <w:bottom w:w="60" w:type="dxa"/>
              <w:right w:w="110" w:type="dxa"/>
            </w:tcMar>
          </w:tcPr>
          <w:p>
            <w:pPr>
              <w:spacing w:before="0" w:after="0"/>
            </w:pPr>
            <w:r>
              <w:rPr>
                <w:rFonts w:ascii="Arial" w:hAnsi="Arial"/>
                <w:b/>
                <w:sz w:val="18"/>
              </w:rPr>
              <w:t>1.0</w:t>
            </w:r>
          </w:p>
        </w:tc>
        <w:tc>
          <w:tcPr>
            <w:tcW w:type="dxa" w:w="1587"/>
            <w:tcMar>
              <w:top w:w="60" w:type="dxa"/>
              <w:left w:w="110" w:type="dxa"/>
              <w:bottom w:w="60" w:type="dxa"/>
              <w:right w:w="110" w:type="dxa"/>
            </w:tcMar>
          </w:tcPr>
          <w:p>
            <w:pPr>
              <w:spacing w:before="0" w:after="0"/>
            </w:pPr>
            <w:r>
              <w:rPr>
                <w:rFonts w:ascii="Arial" w:hAnsi="Arial"/>
                <w:sz w:val="18"/>
              </w:rPr>
              <w:t>Mayo 2026</w:t>
            </w:r>
          </w:p>
        </w:tc>
        <w:tc>
          <w:tcPr>
            <w:tcW w:type="dxa" w:w="5783"/>
            <w:tcMar>
              <w:top w:w="60" w:type="dxa"/>
              <w:left w:w="110" w:type="dxa"/>
              <w:bottom w:w="60" w:type="dxa"/>
              <w:right w:w="110" w:type="dxa"/>
            </w:tcMar>
          </w:tcPr>
          <w:p>
            <w:pPr>
              <w:spacing w:before="0" w:after="0"/>
            </w:pPr>
            <w:r>
              <w:rPr>
                <w:rFonts w:ascii="Arial" w:hAnsi="Arial"/>
                <w:sz w:val="18"/>
              </w:rPr>
              <w:t>Documento fundacional. Reestructuración del plan comercial al nuevo norte (100 UF inmediatas → 500 UF a 3 años) con el Motor de Comunidades como punta de lanza y el estándar Precio/Cobertura.</w:t>
            </w:r>
          </w:p>
        </w:tc>
      </w:tr>
      <w:tr>
        <w:tc>
          <w:tcPr>
            <w:tcW w:type="dxa" w:w="1247"/>
            <w:shd w:val="clear" w:color="auto" w:fill="F2F4F7"/>
            <w:tcMar>
              <w:top w:w="60" w:type="dxa"/>
              <w:left w:w="110" w:type="dxa"/>
              <w:bottom w:w="60" w:type="dxa"/>
              <w:right w:w="110" w:type="dxa"/>
            </w:tcMar>
          </w:tcPr>
          <w:p>
            <w:pPr>
              <w:spacing w:before="0" w:after="0"/>
            </w:pPr>
            <w:r>
              <w:rPr>
                <w:rFonts w:ascii="Arial" w:hAnsi="Arial"/>
                <w:b/>
                <w:sz w:val="18"/>
              </w:rPr>
              <w:t>1.1</w:t>
            </w:r>
          </w:p>
        </w:tc>
        <w:tc>
          <w:tcPr>
            <w:tcW w:type="dxa" w:w="1587"/>
            <w:shd w:val="clear" w:color="auto" w:fill="F2F4F7"/>
            <w:tcMar>
              <w:top w:w="60" w:type="dxa"/>
              <w:left w:w="110" w:type="dxa"/>
              <w:bottom w:w="60" w:type="dxa"/>
              <w:right w:w="110" w:type="dxa"/>
            </w:tcMar>
          </w:tcPr>
          <w:p>
            <w:pPr>
              <w:spacing w:before="0" w:after="0"/>
            </w:pPr>
            <w:r>
              <w:rPr>
                <w:rFonts w:ascii="Arial" w:hAnsi="Arial"/>
                <w:sz w:val="18"/>
              </w:rPr>
              <w:t>Mayo 2026</w:t>
            </w:r>
          </w:p>
        </w:tc>
        <w:tc>
          <w:tcPr>
            <w:tcW w:type="dxa" w:w="5783"/>
            <w:shd w:val="clear" w:color="auto" w:fill="F2F4F7"/>
            <w:tcMar>
              <w:top w:w="60" w:type="dxa"/>
              <w:left w:w="110" w:type="dxa"/>
              <w:bottom w:w="60" w:type="dxa"/>
              <w:right w:w="110" w:type="dxa"/>
            </w:tcMar>
          </w:tcPr>
          <w:p>
            <w:pPr>
              <w:spacing w:before="0" w:after="0"/>
            </w:pPr>
            <w:r>
              <w:rPr>
                <w:rFonts w:ascii="Arial" w:hAnsi="Arial"/>
                <w:sz w:val="18"/>
              </w:rPr>
              <w:t>Incorporación del Precedente Studio III (§5.5) como plantilla oficial de abordaje de comunidades.</w:t>
            </w:r>
          </w:p>
        </w:tc>
      </w:tr>
      <w:tr>
        <w:tc>
          <w:tcPr>
            <w:tcW w:type="dxa" w:w="1247"/>
            <w:tcMar>
              <w:top w:w="60" w:type="dxa"/>
              <w:left w:w="110" w:type="dxa"/>
              <w:bottom w:w="60" w:type="dxa"/>
              <w:right w:w="110" w:type="dxa"/>
            </w:tcMar>
          </w:tcPr>
          <w:p>
            <w:pPr>
              <w:spacing w:before="0" w:after="0"/>
            </w:pPr>
            <w:r>
              <w:rPr>
                <w:rFonts w:ascii="Arial" w:hAnsi="Arial"/>
                <w:b/>
                <w:sz w:val="18"/>
              </w:rPr>
              <w:t>1.2</w:t>
            </w:r>
          </w:p>
        </w:tc>
        <w:tc>
          <w:tcPr>
            <w:tcW w:type="dxa" w:w="1587"/>
            <w:tcMar>
              <w:top w:w="60" w:type="dxa"/>
              <w:left w:w="110" w:type="dxa"/>
              <w:bottom w:w="60" w:type="dxa"/>
              <w:right w:w="110" w:type="dxa"/>
            </w:tcMar>
          </w:tcPr>
          <w:p>
            <w:pPr>
              <w:spacing w:before="0" w:after="0"/>
            </w:pPr>
            <w:r>
              <w:rPr>
                <w:rFonts w:ascii="Arial" w:hAnsi="Arial"/>
                <w:sz w:val="18"/>
              </w:rPr>
              <w:t>Mayo 2026</w:t>
            </w:r>
          </w:p>
        </w:tc>
        <w:tc>
          <w:tcPr>
            <w:tcW w:type="dxa" w:w="5783"/>
            <w:tcMar>
              <w:top w:w="60" w:type="dxa"/>
              <w:left w:w="110" w:type="dxa"/>
              <w:bottom w:w="60" w:type="dxa"/>
              <w:right w:w="110" w:type="dxa"/>
            </w:tcMar>
          </w:tcPr>
          <w:p>
            <w:pPr>
              <w:spacing w:before="0" w:after="0"/>
            </w:pPr>
            <w:r>
              <w:rPr>
                <w:rFonts w:ascii="Arial" w:hAnsi="Arial"/>
                <w:sz w:val="18"/>
              </w:rPr>
              <w:t>Integración al ecosistema Pentacore. Web y Redes Sociales redefinidas como canales activos de adquisición (Inbound) y tácticas de cuidado y fidelización del cliente apalancadas en el schema audiencia (§5.4).</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4A4A"/>
        <w:sz w:val="16"/>
      </w:rPr>
      <w:t>SEGUROS AEGIS · Aegis Commercial Playbook · Pentacore · v1.0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B3A6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5F9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B3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