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color w:val="2E5F9E"/>
          <w:sz w:val="24"/>
        </w:rPr>
        <w:t>DOCUMENTO 5 DE 5 · LA BRÚJULA DEL FUNDADOR (CRONOLÓGICO)</w:t>
      </w:r>
    </w:p>
    <w:p>
      <w:pPr>
        <w:jc w:val="center"/>
      </w:pPr>
      <w:r>
        <w:rPr>
          <w:rFonts w:ascii="Arial" w:hAnsi="Arial"/>
          <w:b/>
          <w:color w:val="1B3A6B"/>
          <w:sz w:val="60"/>
        </w:rPr>
        <w:t>Aegis Execution Roadmap</w:t>
      </w:r>
    </w:p>
    <w:p>
      <w:pPr>
        <w:jc w:val="center"/>
      </w:pPr>
      <w:r>
        <w:rPr>
          <w:i/>
          <w:color w:val="4A4A4A"/>
          <w:sz w:val="28"/>
        </w:rPr>
        <w:t>Cronograma Lineal de Consolidación para el Fundador</w:t>
      </w:r>
    </w:p>
    <w:p>
      <w:pPr>
        <w:pBdr>
          <w:bottom w:val="single" w:sz="10" w:space="1" w:color="2E5F9E"/>
        </w:pBdr>
        <w:spacing w:before="0" w:after="0"/>
      </w:pPr>
    </w:p>
    <w:p>
      <w:pPr>
        <w:jc w:val="center"/>
      </w:pPr>
      <w:r>
        <w:rPr>
          <w:b w:val="0"/>
          <w:i w:val="0"/>
          <w:sz w:val="22"/>
        </w:rPr>
        <w:t>Fase 1: Núcleo de Datos · Fase 2: Piloto Studio III · Fase 3: Conquista Hiperlocal (100 UF) · Fase 4: Escalabilidad (500 UF)</w:t>
      </w:r>
    </w:p>
    <w:p/>
    <w:tbl>
      <w:tblPr>
        <w:tblStyle w:val="TableGrid"/>
        <w:tblW w:type="auto" w:w="0"/>
        <w:tblLook w:firstColumn="1" w:firstRow="1" w:lastColumn="0" w:lastRow="0" w:noHBand="0" w:noVBand="1" w:val="04A0"/>
      </w:tblPr>
      <w:tblGrid>
        <w:gridCol w:w="8640"/>
      </w:tblGrid>
      <w:tr>
        <w:tc>
          <w:tcPr>
            <w:tcW w:type="dxa" w:w="8640"/>
            <w:shd w:val="clear" w:color="auto" w:fill="D5E8F5"/>
            <w:tcMar>
              <w:top w:w="120" w:type="dxa"/>
              <w:left w:w="160" w:type="dxa"/>
              <w:bottom w:w="120" w:type="dxa"/>
              <w:right w:w="160" w:type="dxa"/>
            </w:tcMar>
          </w:tcPr>
          <w:p>
            <w:pPr>
              <w:spacing w:before="0" w:after="0"/>
            </w:pPr>
            <w:r>
              <w:rPr>
                <w:rFonts w:ascii="Arial" w:hAnsi="Arial"/>
                <w:b/>
                <w:color w:val="1B3A6B"/>
                <w:sz w:val="21"/>
              </w:rPr>
              <w:t>🛡 POSICIÓN EN LA ARQUITECTURA AEGIS</w:t>
            </w:r>
          </w:p>
          <w:p>
            <w:pPr>
              <w:spacing w:before="60" w:after="0"/>
            </w:pPr>
            <w:r>
              <w:rPr>
                <w:rFonts w:ascii="Arial" w:hAnsi="Arial"/>
                <w:sz w:val="20"/>
              </w:rPr>
              <w:t>Quinto motor del ecosistema Aegis Pentacore. Es la secuencia temporal que el fundador en solitario sigue, semana a semana, para consolidar la empresa sin parálisis por análisis ni saturación cognitiva. Ordena en el tiempo lo que los otros motores definen: la memoria (Libro de Vida), la ética y los límites (Corporate OS), las tácticas (Commercial Playbook) y la tecnología (Operational Plan). Una sola pregunta lo gobierna: ¿qué toca esta semana?</w:t>
            </w:r>
          </w:p>
        </w:tc>
      </w:tr>
    </w:tbl>
    <w:p>
      <w:pPr>
        <w:spacing w:after="40"/>
      </w:pPr>
    </w:p>
    <w:p/>
    <w:p>
      <w:pPr>
        <w:jc w:val="center"/>
      </w:pPr>
      <w:r>
        <w:rPr>
          <w:b/>
          <w:i w:val="0"/>
          <w:color w:val="1B3A6B"/>
        </w:rPr>
        <w:t>SEGUROS AEGIS · Corredora de Seguros · Chile</w:t>
      </w:r>
    </w:p>
    <w:p>
      <w:pPr>
        <w:jc w:val="center"/>
      </w:pPr>
      <w:r>
        <w:rPr>
          <w:b w:val="0"/>
          <w:i w:val="0"/>
          <w:color w:val="4A4A4A"/>
          <w:sz w:val="20"/>
        </w:rPr>
        <w:t>Versión 1.1 · Pentacore · Mayo 2026</w:t>
      </w:r>
    </w:p>
    <w:p>
      <w:pPr>
        <w:jc w:val="center"/>
      </w:pPr>
      <w:r>
        <w:rPr>
          <w:b/>
          <w:i w:val="0"/>
          <w:color w:val="C0392B"/>
          <w:sz w:val="18"/>
        </w:rPr>
        <w:t>CONFIDENCIAL · Documento de uso interno exclusivo</w:t>
      </w:r>
    </w:p>
    <w:p>
      <w:r>
        <w:br w:type="page"/>
      </w:r>
    </w:p>
    <w:p>
      <w:pPr>
        <w:pStyle w:val="Heading1"/>
      </w:pPr>
      <w:r>
        <w:t>Índice de Contenidos</w:t>
      </w:r>
    </w:p>
    <w:p>
      <w:pPr>
        <w:spacing w:before="100" w:after="60"/>
      </w:pPr>
      <w:r>
        <w:rPr>
          <w:rFonts w:ascii="Arial" w:hAnsi="Arial"/>
          <w:b/>
          <w:color w:val="1B3A6B"/>
          <w:sz w:val="22"/>
        </w:rPr>
        <w:t>Cómo Usar Esta Brújula</w:t>
      </w:r>
    </w:p>
    <w:p>
      <w:pPr>
        <w:spacing w:before="100" w:after="60"/>
      </w:pPr>
      <w:r>
        <w:rPr>
          <w:rFonts w:ascii="Arial" w:hAnsi="Arial"/>
          <w:b/>
          <w:color w:val="1B3A6B"/>
          <w:sz w:val="22"/>
        </w:rPr>
        <w:t>Visión General de las 4 Fases</w:t>
      </w:r>
    </w:p>
    <w:p>
      <w:pPr>
        <w:spacing w:before="100" w:after="60"/>
      </w:pPr>
      <w:r>
        <w:rPr>
          <w:rFonts w:ascii="Arial" w:hAnsi="Arial"/>
          <w:b/>
          <w:color w:val="1B3A6B"/>
          <w:sz w:val="22"/>
        </w:rPr>
        <w:t>Fase 1 — Consolidación del Núcleo de Datos</w:t>
      </w:r>
    </w:p>
    <w:p>
      <w:pPr>
        <w:spacing w:before="100" w:after="60"/>
      </w:pPr>
      <w:r>
        <w:rPr>
          <w:rFonts w:ascii="Arial" w:hAnsi="Arial"/>
          <w:b/>
          <w:color w:val="1B3A6B"/>
          <w:sz w:val="22"/>
        </w:rPr>
        <w:t>Fase 2 — Gestión y Cierre del Piloto de Oficinas (Studio III)</w:t>
      </w:r>
    </w:p>
    <w:p>
      <w:pPr>
        <w:spacing w:before="100" w:after="60"/>
      </w:pPr>
      <w:r>
        <w:rPr>
          <w:rFonts w:ascii="Arial" w:hAnsi="Arial"/>
          <w:b/>
          <w:color w:val="1B3A6B"/>
          <w:sz w:val="22"/>
        </w:rPr>
        <w:t>Fase 3 — Conquista Hiperlocal (hacia las 100 UF)</w:t>
      </w:r>
    </w:p>
    <w:p>
      <w:pPr>
        <w:spacing w:before="100" w:after="60"/>
      </w:pPr>
      <w:r>
        <w:rPr>
          <w:rFonts w:ascii="Arial" w:hAnsi="Arial"/>
          <w:b/>
          <w:color w:val="1B3A6B"/>
          <w:sz w:val="22"/>
        </w:rPr>
        <w:t>Fase 4 — Escalabilidad y Automatización (hacia las 500 UF)</w:t>
      </w:r>
    </w:p>
    <w:p>
      <w:pPr>
        <w:spacing w:before="100" w:after="60"/>
      </w:pPr>
      <w:r>
        <w:rPr>
          <w:rFonts w:ascii="Arial" w:hAnsi="Arial"/>
          <w:b/>
          <w:color w:val="1B3A6B"/>
          <w:sz w:val="22"/>
        </w:rPr>
        <w:t>Regla de Oro del Fundador en Solitario</w:t>
      </w:r>
    </w:p>
    <w:p>
      <w:pPr>
        <w:spacing w:before="100" w:after="60"/>
      </w:pPr>
      <w:r>
        <w:rPr>
          <w:rFonts w:ascii="Arial" w:hAnsi="Arial"/>
          <w:b/>
          <w:color w:val="1B3A6B"/>
          <w:sz w:val="22"/>
        </w:rPr>
        <w:t>Control del Documento</w:t>
      </w:r>
    </w:p>
    <w:p>
      <w:r>
        <w:br w:type="page"/>
      </w:r>
    </w:p>
    <w:p>
      <w:pPr>
        <w:pStyle w:val="Heading1"/>
      </w:pPr>
      <w:r>
        <w:t>Cómo Usar Esta Brújula</w:t>
      </w:r>
    </w:p>
    <w:p>
      <w:r>
        <w:rPr>
          <w:b w:val="0"/>
          <w:i w:val="0"/>
        </w:rPr>
        <w:t>Este roadmap está escrito para una realidad concreta: un fundador ejecutando en solitario. Su único objetivo es responder, cada lunes, a una sola pregunta: ¿qué toca esta semana? No es un plan para admirar; es una secuencia para ejecutar. Las fases son estrictamente ordenadas: no se salta a la siguiente sin cerrar la actual.</w:t>
      </w:r>
    </w:p>
    <w:p>
      <w:pPr>
        <w:pStyle w:val="ListBullet"/>
      </w:pPr>
      <w:r>
        <w:rPr>
          <w:b/>
        </w:rPr>
        <w:t xml:space="preserve">Foco — </w:t>
      </w:r>
      <w:r>
        <w:t>una prioridad a la vez. La meta inmediata (100 UF) absorbe los recursos hasta cumplirse; todo lo demás espera su fase.</w:t>
      </w:r>
    </w:p>
    <w:p>
      <w:pPr>
        <w:pStyle w:val="ListBullet"/>
      </w:pPr>
      <w:r>
        <w:rPr>
          <w:b/>
        </w:rPr>
        <w:t xml:space="preserve">Sesgo a la acción — </w:t>
      </w:r>
      <w:r>
        <w:t>mejor hecho que perfecto. Se lanza un MVP y se corrige con la realidad, en vez de pulir en el vacío.</w:t>
      </w:r>
    </w:p>
    <w:p>
      <w:pPr>
        <w:pStyle w:val="ListBullet"/>
      </w:pPr>
      <w:r>
        <w:rPr>
          <w:b/>
        </w:rPr>
        <w:t xml:space="preserve">Apalancarse en el software — </w:t>
      </w:r>
      <w:r>
        <w:t>el sistema antes que la memoria. Cada tarea recurrente se apoya en el SGA (alertas, catastro, plantillas), no en recordarla.</w:t>
      </w:r>
    </w:p>
    <w:tbl>
      <w:tblPr>
        <w:tblStyle w:val="TableGrid"/>
        <w:tblW w:type="auto" w:w="0"/>
        <w:tblLook w:firstColumn="1" w:firstRow="1" w:lastColumn="0" w:lastRow="0" w:noHBand="0" w:noVBand="1" w:val="04A0"/>
      </w:tblPr>
      <w:tblGrid>
        <w:gridCol w:w="8640"/>
      </w:tblGrid>
      <w:tr>
        <w:tc>
          <w:tcPr>
            <w:tcW w:type="dxa" w:w="8640"/>
            <w:shd w:val="clear" w:color="auto" w:fill="D5E8F5"/>
            <w:tcMar>
              <w:top w:w="120" w:type="dxa"/>
              <w:left w:w="160" w:type="dxa"/>
              <w:bottom w:w="120" w:type="dxa"/>
              <w:right w:w="160" w:type="dxa"/>
            </w:tcMar>
          </w:tcPr>
          <w:p>
            <w:pPr>
              <w:spacing w:before="0" w:after="0"/>
            </w:pPr>
            <w:r>
              <w:rPr>
                <w:rFonts w:ascii="Arial" w:hAnsi="Arial"/>
                <w:b/>
                <w:color w:val="1B3A6B"/>
                <w:sz w:val="21"/>
              </w:rPr>
              <w:t>🧭 ANTÍDOTO CONTRA LA PARÁLISIS</w:t>
            </w:r>
          </w:p>
          <w:p>
            <w:pPr>
              <w:spacing w:before="60" w:after="0"/>
            </w:pPr>
            <w:r>
              <w:rPr>
                <w:rFonts w:ascii="Arial" w:hAnsi="Arial"/>
                <w:sz w:val="20"/>
              </w:rPr>
              <w:t>Si en algún momento hay dudas sobre qué hacer, la respuesta es siempre la tarea de la fase actual que esté más cerca de generar o cerrar ingreso. La brújula apunta al flujo de caja del cliente bien servido, no a la tarea más cómoda ni a la más interesante.</w:t>
            </w:r>
          </w:p>
        </w:tc>
      </w:tr>
    </w:tbl>
    <w:p>
      <w:pPr>
        <w:spacing w:after="40"/>
      </w:pPr>
    </w:p>
    <w:p>
      <w:r>
        <w:br w:type="page"/>
      </w:r>
    </w:p>
    <w:p>
      <w:pPr>
        <w:pStyle w:val="Heading1"/>
      </w:pPr>
      <w:r>
        <w:t>Visión General de las 4 Fases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28"/>
            <w:shd w:val="clear" w:color="auto" w:fill="1B3A6B"/>
            <w:tcMar>
              <w:top w:w="60" w:type="dxa"/>
              <w:left w:w="110" w:type="dxa"/>
              <w:bottom w:w="60" w:type="dxa"/>
              <w:right w:w="110" w:type="dxa"/>
            </w:tcMar>
          </w:tcPr>
          <w:p>
            <w:pPr>
              <w:spacing w:before="0" w:after="0"/>
            </w:pPr>
            <w:r>
              <w:rPr>
                <w:rFonts w:ascii="Arial" w:hAnsi="Arial"/>
                <w:b/>
                <w:color w:val="FFFFFF"/>
                <w:sz w:val="18"/>
              </w:rPr>
              <w:t>Fase</w:t>
            </w:r>
          </w:p>
        </w:tc>
        <w:tc>
          <w:tcPr>
            <w:tcW w:type="dxa" w:w="1814"/>
            <w:shd w:val="clear" w:color="auto" w:fill="1B3A6B"/>
            <w:tcMar>
              <w:top w:w="60" w:type="dxa"/>
              <w:left w:w="110" w:type="dxa"/>
              <w:bottom w:w="60" w:type="dxa"/>
              <w:right w:w="110" w:type="dxa"/>
            </w:tcMar>
          </w:tcPr>
          <w:p>
            <w:pPr>
              <w:spacing w:before="0" w:after="0"/>
            </w:pPr>
            <w:r>
              <w:rPr>
                <w:rFonts w:ascii="Arial" w:hAnsi="Arial"/>
                <w:b/>
                <w:color w:val="FFFFFF"/>
                <w:sz w:val="18"/>
              </w:rPr>
              <w:t>Horizonte</w:t>
            </w:r>
          </w:p>
        </w:tc>
        <w:tc>
          <w:tcPr>
            <w:tcW w:type="dxa" w:w="3402"/>
            <w:shd w:val="clear" w:color="auto" w:fill="1B3A6B"/>
            <w:tcMar>
              <w:top w:w="60" w:type="dxa"/>
              <w:left w:w="110" w:type="dxa"/>
              <w:bottom w:w="60" w:type="dxa"/>
              <w:right w:w="110" w:type="dxa"/>
            </w:tcMar>
          </w:tcPr>
          <w:p>
            <w:pPr>
              <w:spacing w:before="0" w:after="0"/>
            </w:pPr>
            <w:r>
              <w:rPr>
                <w:rFonts w:ascii="Arial" w:hAnsi="Arial"/>
                <w:b/>
                <w:color w:val="FFFFFF"/>
                <w:sz w:val="18"/>
              </w:rPr>
              <w:t>Meta de la fase</w:t>
            </w:r>
          </w:p>
        </w:tc>
        <w:tc>
          <w:tcPr>
            <w:tcW w:type="dxa" w:w="1361"/>
            <w:shd w:val="clear" w:color="auto" w:fill="1B3A6B"/>
            <w:tcMar>
              <w:top w:w="60" w:type="dxa"/>
              <w:left w:w="110" w:type="dxa"/>
              <w:bottom w:w="60" w:type="dxa"/>
              <w:right w:w="110" w:type="dxa"/>
            </w:tcMar>
          </w:tcPr>
          <w:p>
            <w:pPr>
              <w:spacing w:before="0" w:after="0"/>
            </w:pPr>
            <w:r>
              <w:rPr>
                <w:rFonts w:ascii="Arial" w:hAnsi="Arial"/>
                <w:b/>
                <w:color w:val="FFFFFF"/>
                <w:sz w:val="18"/>
              </w:rPr>
              <w:t>Estado</w:t>
            </w:r>
          </w:p>
        </w:tc>
      </w:tr>
      <w:tr>
        <w:tc>
          <w:tcPr>
            <w:tcW w:type="dxa" w:w="1928"/>
            <w:tcMar>
              <w:top w:w="60" w:type="dxa"/>
              <w:left w:w="110" w:type="dxa"/>
              <w:bottom w:w="60" w:type="dxa"/>
              <w:right w:w="110" w:type="dxa"/>
            </w:tcMar>
          </w:tcPr>
          <w:p>
            <w:pPr>
              <w:spacing w:before="0" w:after="0"/>
            </w:pPr>
            <w:r>
              <w:rPr>
                <w:rFonts w:ascii="Arial" w:hAnsi="Arial"/>
                <w:b/>
                <w:sz w:val="18"/>
              </w:rPr>
              <w:t>1. Núcleo de Datos</w:t>
            </w:r>
          </w:p>
        </w:tc>
        <w:tc>
          <w:tcPr>
            <w:tcW w:type="dxa" w:w="1814"/>
            <w:tcMar>
              <w:top w:w="60" w:type="dxa"/>
              <w:left w:w="110" w:type="dxa"/>
              <w:bottom w:w="60" w:type="dxa"/>
              <w:right w:w="110" w:type="dxa"/>
            </w:tcMar>
          </w:tcPr>
          <w:p>
            <w:pPr>
              <w:spacing w:before="0" w:after="0"/>
            </w:pPr>
            <w:r>
              <w:rPr>
                <w:rFonts w:ascii="Arial" w:hAnsi="Arial"/>
                <w:sz w:val="18"/>
              </w:rPr>
              <w:t>Hecho</w:t>
            </w:r>
          </w:p>
        </w:tc>
        <w:tc>
          <w:tcPr>
            <w:tcW w:type="dxa" w:w="3402"/>
            <w:tcMar>
              <w:top w:w="60" w:type="dxa"/>
              <w:left w:w="110" w:type="dxa"/>
              <w:bottom w:w="60" w:type="dxa"/>
              <w:right w:w="110" w:type="dxa"/>
            </w:tcMar>
          </w:tcPr>
          <w:p>
            <w:pPr>
              <w:spacing w:before="0" w:after="0"/>
            </w:pPr>
            <w:r>
              <w:rPr>
                <w:rFonts w:ascii="Arial" w:hAnsi="Arial"/>
                <w:sz w:val="18"/>
              </w:rPr>
              <w:t>Base de datos viva y cartera migrada a datos.rut</w:t>
            </w:r>
          </w:p>
        </w:tc>
        <w:tc>
          <w:tcPr>
            <w:tcW w:type="dxa" w:w="1361"/>
            <w:tcMar>
              <w:top w:w="60" w:type="dxa"/>
              <w:left w:w="110" w:type="dxa"/>
              <w:bottom w:w="60" w:type="dxa"/>
              <w:right w:w="110" w:type="dxa"/>
            </w:tcMar>
          </w:tcPr>
          <w:p>
            <w:pPr>
              <w:spacing w:before="0" w:after="0"/>
            </w:pPr>
            <w:r>
              <w:rPr>
                <w:rFonts w:ascii="Arial" w:hAnsi="Arial"/>
                <w:sz w:val="18"/>
              </w:rPr>
              <w:t>COMPLETADA</w:t>
            </w:r>
          </w:p>
        </w:tc>
      </w:tr>
      <w:tr>
        <w:tc>
          <w:tcPr>
            <w:tcW w:type="dxa" w:w="1928"/>
            <w:shd w:val="clear" w:color="auto" w:fill="F2F4F7"/>
            <w:tcMar>
              <w:top w:w="60" w:type="dxa"/>
              <w:left w:w="110" w:type="dxa"/>
              <w:bottom w:w="60" w:type="dxa"/>
              <w:right w:w="110" w:type="dxa"/>
            </w:tcMar>
          </w:tcPr>
          <w:p>
            <w:pPr>
              <w:spacing w:before="0" w:after="0"/>
            </w:pPr>
            <w:r>
              <w:rPr>
                <w:rFonts w:ascii="Arial" w:hAnsi="Arial"/>
                <w:b/>
                <w:sz w:val="18"/>
              </w:rPr>
              <w:t>2. Piloto Studio III</w:t>
            </w:r>
          </w:p>
        </w:tc>
        <w:tc>
          <w:tcPr>
            <w:tcW w:type="dxa" w:w="1814"/>
            <w:shd w:val="clear" w:color="auto" w:fill="F2F4F7"/>
            <w:tcMar>
              <w:top w:w="60" w:type="dxa"/>
              <w:left w:w="110" w:type="dxa"/>
              <w:bottom w:w="60" w:type="dxa"/>
              <w:right w:w="110" w:type="dxa"/>
            </w:tcMar>
          </w:tcPr>
          <w:p>
            <w:pPr>
              <w:spacing w:before="0" w:after="0"/>
            </w:pPr>
            <w:r>
              <w:rPr>
                <w:rFonts w:ascii="Arial" w:hAnsi="Arial"/>
                <w:sz w:val="18"/>
              </w:rPr>
              <w:t>Presente inmediato</w:t>
            </w:r>
          </w:p>
        </w:tc>
        <w:tc>
          <w:tcPr>
            <w:tcW w:type="dxa" w:w="3402"/>
            <w:shd w:val="clear" w:color="auto" w:fill="F2F4F7"/>
            <w:tcMar>
              <w:top w:w="60" w:type="dxa"/>
              <w:left w:w="110" w:type="dxa"/>
              <w:bottom w:w="60" w:type="dxa"/>
              <w:right w:w="110" w:type="dxa"/>
            </w:tcMar>
          </w:tcPr>
          <w:p>
            <w:pPr>
              <w:spacing w:before="0" w:after="0"/>
            </w:pPr>
            <w:r>
              <w:rPr>
                <w:rFonts w:ascii="Arial" w:hAnsi="Arial"/>
                <w:sz w:val="18"/>
              </w:rPr>
              <w:t>Cerrar el primer caso real y validar la plantilla</w:t>
            </w:r>
          </w:p>
        </w:tc>
        <w:tc>
          <w:tcPr>
            <w:tcW w:type="dxa" w:w="1361"/>
            <w:shd w:val="clear" w:color="auto" w:fill="F2F4F7"/>
            <w:tcMar>
              <w:top w:w="60" w:type="dxa"/>
              <w:left w:w="110" w:type="dxa"/>
              <w:bottom w:w="60" w:type="dxa"/>
              <w:right w:w="110" w:type="dxa"/>
            </w:tcMar>
          </w:tcPr>
          <w:p>
            <w:pPr>
              <w:spacing w:before="0" w:after="0"/>
            </w:pPr>
            <w:r>
              <w:rPr>
                <w:rFonts w:ascii="Arial" w:hAnsi="Arial"/>
                <w:sz w:val="18"/>
              </w:rPr>
              <w:t>EN CURSO</w:t>
            </w:r>
          </w:p>
        </w:tc>
      </w:tr>
      <w:tr>
        <w:tc>
          <w:tcPr>
            <w:tcW w:type="dxa" w:w="1928"/>
            <w:tcMar>
              <w:top w:w="60" w:type="dxa"/>
              <w:left w:w="110" w:type="dxa"/>
              <w:bottom w:w="60" w:type="dxa"/>
              <w:right w:w="110" w:type="dxa"/>
            </w:tcMar>
          </w:tcPr>
          <w:p>
            <w:pPr>
              <w:spacing w:before="0" w:after="0"/>
            </w:pPr>
            <w:r>
              <w:rPr>
                <w:rFonts w:ascii="Arial" w:hAnsi="Arial"/>
                <w:b/>
                <w:sz w:val="18"/>
              </w:rPr>
              <w:t>3. Conquista Hiperlocal</w:t>
            </w:r>
          </w:p>
        </w:tc>
        <w:tc>
          <w:tcPr>
            <w:tcW w:type="dxa" w:w="1814"/>
            <w:tcMar>
              <w:top w:w="60" w:type="dxa"/>
              <w:left w:w="110" w:type="dxa"/>
              <w:bottom w:w="60" w:type="dxa"/>
              <w:right w:w="110" w:type="dxa"/>
            </w:tcMar>
          </w:tcPr>
          <w:p>
            <w:pPr>
              <w:spacing w:before="0" w:after="0"/>
            </w:pPr>
            <w:r>
              <w:rPr>
                <w:rFonts w:ascii="Arial" w:hAnsi="Arial"/>
                <w:sz w:val="18"/>
              </w:rPr>
              <w:t>Corto plazo</w:t>
            </w:r>
          </w:p>
        </w:tc>
        <w:tc>
          <w:tcPr>
            <w:tcW w:type="dxa" w:w="3402"/>
            <w:tcMar>
              <w:top w:w="60" w:type="dxa"/>
              <w:left w:w="110" w:type="dxa"/>
              <w:bottom w:w="60" w:type="dxa"/>
              <w:right w:w="110" w:type="dxa"/>
            </w:tcMar>
          </w:tcPr>
          <w:p>
            <w:pPr>
              <w:spacing w:before="0" w:after="0"/>
            </w:pPr>
            <w:r>
              <w:rPr>
                <w:rFonts w:ascii="Arial" w:hAnsi="Arial"/>
                <w:sz w:val="18"/>
              </w:rPr>
              <w:t>Llegar a 100 UF netas/mes con el Motor de Comunidades</w:t>
            </w:r>
          </w:p>
        </w:tc>
        <w:tc>
          <w:tcPr>
            <w:tcW w:type="dxa" w:w="1361"/>
            <w:tcMar>
              <w:top w:w="60" w:type="dxa"/>
              <w:left w:w="110" w:type="dxa"/>
              <w:bottom w:w="60" w:type="dxa"/>
              <w:right w:w="110" w:type="dxa"/>
            </w:tcMar>
          </w:tcPr>
          <w:p>
            <w:pPr>
              <w:spacing w:before="0" w:after="0"/>
            </w:pPr>
            <w:r>
              <w:rPr>
                <w:rFonts w:ascii="Arial" w:hAnsi="Arial"/>
                <w:sz w:val="18"/>
              </w:rPr>
              <w:t>SIGUIENTE</w:t>
            </w:r>
          </w:p>
        </w:tc>
      </w:tr>
      <w:tr>
        <w:tc>
          <w:tcPr>
            <w:tcW w:type="dxa" w:w="1928"/>
            <w:shd w:val="clear" w:color="auto" w:fill="F2F4F7"/>
            <w:tcMar>
              <w:top w:w="60" w:type="dxa"/>
              <w:left w:w="110" w:type="dxa"/>
              <w:bottom w:w="60" w:type="dxa"/>
              <w:right w:w="110" w:type="dxa"/>
            </w:tcMar>
          </w:tcPr>
          <w:p>
            <w:pPr>
              <w:spacing w:before="0" w:after="0"/>
            </w:pPr>
            <w:r>
              <w:rPr>
                <w:rFonts w:ascii="Arial" w:hAnsi="Arial"/>
                <w:b/>
                <w:sz w:val="18"/>
              </w:rPr>
              <w:t>4. Escalabilidad</w:t>
            </w:r>
          </w:p>
        </w:tc>
        <w:tc>
          <w:tcPr>
            <w:tcW w:type="dxa" w:w="1814"/>
            <w:shd w:val="clear" w:color="auto" w:fill="F2F4F7"/>
            <w:tcMar>
              <w:top w:w="60" w:type="dxa"/>
              <w:left w:w="110" w:type="dxa"/>
              <w:bottom w:w="60" w:type="dxa"/>
              <w:right w:w="110" w:type="dxa"/>
            </w:tcMar>
          </w:tcPr>
          <w:p>
            <w:pPr>
              <w:spacing w:before="0" w:after="0"/>
            </w:pPr>
            <w:r>
              <w:rPr>
                <w:rFonts w:ascii="Arial" w:hAnsi="Arial"/>
                <w:sz w:val="18"/>
              </w:rPr>
              <w:t>Mediano plazo (3 años)</w:t>
            </w:r>
          </w:p>
        </w:tc>
        <w:tc>
          <w:tcPr>
            <w:tcW w:type="dxa" w:w="3402"/>
            <w:shd w:val="clear" w:color="auto" w:fill="F2F4F7"/>
            <w:tcMar>
              <w:top w:w="60" w:type="dxa"/>
              <w:left w:w="110" w:type="dxa"/>
              <w:bottom w:w="60" w:type="dxa"/>
              <w:right w:w="110" w:type="dxa"/>
            </w:tcMar>
          </w:tcPr>
          <w:p>
            <w:pPr>
              <w:spacing w:before="0" w:after="0"/>
            </w:pPr>
            <w:r>
              <w:rPr>
                <w:rFonts w:ascii="Arial" w:hAnsi="Arial"/>
                <w:sz w:val="18"/>
              </w:rPr>
              <w:t>Llegar a 500 UF netas/mes y automatizar la operación</w:t>
            </w:r>
          </w:p>
        </w:tc>
        <w:tc>
          <w:tcPr>
            <w:tcW w:type="dxa" w:w="1361"/>
            <w:shd w:val="clear" w:color="auto" w:fill="F2F4F7"/>
            <w:tcMar>
              <w:top w:w="60" w:type="dxa"/>
              <w:left w:w="110" w:type="dxa"/>
              <w:bottom w:w="60" w:type="dxa"/>
              <w:right w:w="110" w:type="dxa"/>
            </w:tcMar>
          </w:tcPr>
          <w:p>
            <w:pPr>
              <w:spacing w:before="0" w:after="0"/>
            </w:pPr>
            <w:r>
              <w:rPr>
                <w:rFonts w:ascii="Arial" w:hAnsi="Arial"/>
                <w:sz w:val="18"/>
              </w:rPr>
              <w:t>FUTURO</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D5E8F5"/>
            <w:tcMar>
              <w:top w:w="120" w:type="dxa"/>
              <w:left w:w="160" w:type="dxa"/>
              <w:bottom w:w="120" w:type="dxa"/>
              <w:right w:w="160" w:type="dxa"/>
            </w:tcMar>
          </w:tcPr>
          <w:p>
            <w:pPr>
              <w:spacing w:before="0" w:after="0"/>
            </w:pPr>
            <w:r>
              <w:rPr>
                <w:rFonts w:ascii="Arial" w:hAnsi="Arial"/>
                <w:b/>
                <w:color w:val="1B3A6B"/>
                <w:sz w:val="21"/>
              </w:rPr>
              <w:t>📌 SECUENCIA, NO MENÚ</w:t>
            </w:r>
          </w:p>
          <w:p>
            <w:pPr>
              <w:spacing w:before="60" w:after="0"/>
            </w:pPr>
            <w:r>
              <w:rPr>
                <w:rFonts w:ascii="Arial" w:hAnsi="Arial"/>
                <w:sz w:val="20"/>
              </w:rPr>
              <w:t>Las fases se ejecutan en orden. La Fase 3 no empieza hasta que el piloto Studio III (Fase 2) haya validado la plantilla de abordaje. La Fase 4 no consume recursos hasta haber superado y estabilizado las 100 UF de la Fase 3.</w:t>
            </w:r>
          </w:p>
        </w:tc>
      </w:tr>
    </w:tbl>
    <w:p>
      <w:pPr>
        <w:spacing w:after="40"/>
      </w:pPr>
    </w:p>
    <w:p>
      <w:r>
        <w:br w:type="page"/>
      </w:r>
    </w:p>
    <w:tbl>
      <w:tblPr>
        <w:tblStyle w:val="TableGrid"/>
        <w:tblW w:type="auto" w:w="0"/>
        <w:tblLook w:firstColumn="1" w:firstRow="1" w:lastColumn="0" w:lastRow="0" w:noHBand="0" w:noVBand="1" w:val="04A0"/>
      </w:tblPr>
      <w:tblGrid>
        <w:gridCol w:w="8640"/>
      </w:tblGrid>
      <w:tr>
        <w:tc>
          <w:tcPr>
            <w:tcW w:type="dxa" w:w="8640"/>
            <w:shd w:val="clear" w:color="auto" w:fill="1B3A6B"/>
            <w:tcMar>
              <w:top w:w="110" w:type="dxa"/>
              <w:left w:w="160" w:type="dxa"/>
              <w:bottom w:w="110" w:type="dxa"/>
              <w:right w:w="160" w:type="dxa"/>
            </w:tcMar>
          </w:tcPr>
          <w:p>
            <w:pPr>
              <w:spacing w:before="0" w:after="0"/>
            </w:pPr>
            <w:r>
              <w:rPr>
                <w:rFonts w:ascii="Arial" w:hAnsi="Arial"/>
                <w:b/>
                <w:color w:val="FFFFFF"/>
                <w:sz w:val="25"/>
              </w:rPr>
              <w:t>FASE 1 — Consolidación del Núcleo de Datos</w:t>
            </w:r>
          </w:p>
          <w:p>
            <w:pPr>
              <w:spacing w:before="40" w:after="0"/>
            </w:pPr>
            <w:r>
              <w:rPr>
                <w:rFonts w:ascii="Arial" w:hAnsi="Arial"/>
                <w:b/>
                <w:color w:val="D5E8F5"/>
                <w:sz w:val="19"/>
              </w:rPr>
              <w:t>ESTADO: COMPLETADA ✅</w:t>
            </w:r>
          </w:p>
        </w:tc>
      </w:tr>
    </w:tbl>
    <w:p>
      <w:pPr>
        <w:spacing w:after="40"/>
      </w:pPr>
    </w:p>
    <w:p>
      <w:pPr>
        <w:pStyle w:val="Heading1"/>
      </w:pPr>
      <w:r>
        <w:t>Fase 1 — Consolidación del Núcleo de Datos</w:t>
      </w:r>
    </w:p>
    <w:p>
      <w:r>
        <w:rPr>
          <w:b w:val="0"/>
          <w:i w:val="0"/>
        </w:rPr>
        <w:t>El cimiento técnico ya está puesto. Esta fase está cerrada y se documenta como referencia y como prueba de que la base sobre la que se construye todo lo demás es real y operativa.</w:t>
      </w:r>
    </w:p>
    <w:p>
      <w:pPr>
        <w:pStyle w:val="Heading2"/>
      </w:pPr>
      <w:r>
        <w:t>Lo que se logró</w:t>
      </w:r>
    </w:p>
    <w:p>
      <w:pPr>
        <w:pStyle w:val="ListBullet"/>
      </w:pPr>
      <w:r>
        <w:t>inicialización de la base de datos relacional PostgreSQL con los 9 schemas base.</w:t>
      </w:r>
    </w:p>
    <w:p>
      <w:pPr>
        <w:pStyle w:val="ListBullet"/>
      </w:pPr>
      <w:r>
        <w:t>ejecución exitosa del script de migración masiva de la cartera hacia la tabla definitiva datos.rut.</w:t>
      </w:r>
    </w:p>
    <w:p>
      <w:pPr>
        <w:pStyle w:val="ListBullet"/>
      </w:pPr>
      <w:r>
        <w:t>el script opera por chunks (lotes) y es idempotente: puede reejecutarse sin duplicar ni corromper registros.</w:t>
      </w:r>
    </w:p>
    <w:tbl>
      <w:tblPr>
        <w:tblStyle w:val="TableGrid"/>
        <w:tblW w:type="auto" w:w="0"/>
        <w:tblLook w:firstColumn="1" w:firstRow="1" w:lastColumn="0" w:lastRow="0" w:noHBand="0" w:noVBand="1" w:val="04A0"/>
      </w:tblPr>
      <w:tblGrid>
        <w:gridCol w:w="8640"/>
      </w:tblGrid>
      <w:tr>
        <w:tc>
          <w:tcPr>
            <w:tcW w:type="dxa" w:w="8640"/>
            <w:shd w:val="clear" w:color="auto" w:fill="EAF4EC"/>
            <w:tcMar>
              <w:top w:w="120" w:type="dxa"/>
              <w:left w:w="160" w:type="dxa"/>
              <w:bottom w:w="120" w:type="dxa"/>
              <w:right w:w="160" w:type="dxa"/>
            </w:tcMar>
          </w:tcPr>
          <w:p>
            <w:pPr>
              <w:spacing w:before="0" w:after="0"/>
            </w:pPr>
            <w:r>
              <w:rPr>
                <w:rFonts w:ascii="Arial" w:hAnsi="Arial"/>
                <w:b/>
                <w:color w:val="145A32"/>
                <w:sz w:val="21"/>
              </w:rPr>
              <w:t>✅ CIERRE DE FASE 1</w:t>
            </w:r>
          </w:p>
          <w:p>
            <w:pPr>
              <w:spacing w:before="60" w:after="0"/>
            </w:pPr>
            <w:r>
              <w:rPr>
                <w:rFonts w:ascii="Arial" w:hAnsi="Arial"/>
                <w:sz w:val="20"/>
              </w:rPr>
              <w:t>datos.rut es ahora la fuente única de verdad de la identidad de clientes. Con el núcleo de datos vivo, el foco se traslada por completo a generar ingreso real: la Fase 2. El detalle técnico está en el Operational Plan; el estatus formal, en el Operational Plan §1.4.</w:t>
            </w:r>
          </w:p>
        </w:tc>
      </w:tr>
    </w:tbl>
    <w:p>
      <w:pPr>
        <w:spacing w:after="40"/>
      </w:pPr>
    </w:p>
    <w:p>
      <w:r>
        <w:br w:type="page"/>
      </w:r>
    </w:p>
    <w:tbl>
      <w:tblPr>
        <w:tblStyle w:val="TableGrid"/>
        <w:tblW w:type="auto" w:w="0"/>
        <w:tblLook w:firstColumn="1" w:firstRow="1" w:lastColumn="0" w:lastRow="0" w:noHBand="0" w:noVBand="1" w:val="04A0"/>
      </w:tblPr>
      <w:tblGrid>
        <w:gridCol w:w="8640"/>
      </w:tblGrid>
      <w:tr>
        <w:tc>
          <w:tcPr>
            <w:tcW w:type="dxa" w:w="8640"/>
            <w:shd w:val="clear" w:color="auto" w:fill="1B3A6B"/>
            <w:tcMar>
              <w:top w:w="110" w:type="dxa"/>
              <w:left w:w="160" w:type="dxa"/>
              <w:bottom w:w="110" w:type="dxa"/>
              <w:right w:w="160" w:type="dxa"/>
            </w:tcMar>
          </w:tcPr>
          <w:p>
            <w:pPr>
              <w:spacing w:before="0" w:after="0"/>
            </w:pPr>
            <w:r>
              <w:rPr>
                <w:rFonts w:ascii="Arial" w:hAnsi="Arial"/>
                <w:b/>
                <w:color w:val="FFFFFF"/>
                <w:sz w:val="25"/>
              </w:rPr>
              <w:t>FASE 2 — Gestión y Cierre del Piloto de Oficinas (Studio III)</w:t>
            </w:r>
          </w:p>
          <w:p>
            <w:pPr>
              <w:spacing w:before="40" w:after="0"/>
            </w:pPr>
            <w:r>
              <w:rPr>
                <w:rFonts w:ascii="Arial" w:hAnsi="Arial"/>
                <w:b/>
                <w:color w:val="D5E8F5"/>
                <w:sz w:val="19"/>
              </w:rPr>
              <w:t>ESTADO: PRESENTE INMEDIATO · EN CURSO</w:t>
            </w:r>
          </w:p>
        </w:tc>
      </w:tr>
    </w:tbl>
    <w:p>
      <w:pPr>
        <w:spacing w:after="40"/>
      </w:pPr>
    </w:p>
    <w:p>
      <w:pPr>
        <w:pStyle w:val="Heading1"/>
      </w:pPr>
      <w:r>
        <w:t>Fase 2 — Gestión y Cierre del Piloto de Oficinas (Studio III)</w:t>
      </w:r>
    </w:p>
    <w:p>
      <w:r>
        <w:rPr>
          <w:b w:val="0"/>
          <w:i w:val="0"/>
        </w:rPr>
        <w:t>El primer despliegue real del Motor de Comunidades ya está lanzado en Studio III, donde Aegis es el corredor titular de la póliza de incendio obligatoria de los bienes comunes. El trabajo de esta fase es de gestión y cierre: convertir el piloto en el primer caso de éxito y validar la plantilla descrita en el Commercial Playbook §5.5.</w:t>
      </w:r>
    </w:p>
    <w:p>
      <w:pPr>
        <w:pStyle w:val="Heading2"/>
      </w:pPr>
      <w:r>
        <w:t>Foco de la Fase</w:t>
      </w:r>
    </w:p>
    <w:p>
      <w:pPr>
        <w:pStyle w:val="ListBullet"/>
      </w:pPr>
      <w:r>
        <w:t>seguimiento estratégico de las dos propuestas enviadas: la Parte A al Comité de Administración y la Parte B a propietarios e inquilinos.</w:t>
      </w:r>
    </w:p>
    <w:p>
      <w:pPr>
        <w:pStyle w:val="ListBullet"/>
      </w:pPr>
      <w:r>
        <w:t>gestión de la aprobación institucional del Comité (autorización transparente, sin costos ocultos) antes de difundir la circular.</w:t>
      </w:r>
    </w:p>
    <w:p>
      <w:pPr>
        <w:pStyle w:val="ListBullet"/>
      </w:pPr>
      <w:r>
        <w:t>monitoreo diario del correo dedicado studioiii@segurosaegis.cl.</w:t>
      </w:r>
    </w:p>
    <w:p>
      <w:pPr>
        <w:pStyle w:val="ListBullet"/>
      </w:pPr>
      <w:r>
        <w:t>cumplimiento estricto del SLA: responder en un máximo de 24 horas hábiles, siempre.</w:t>
      </w:r>
    </w:p>
    <w:p>
      <w:pPr>
        <w:pStyle w:val="ListBullet"/>
      </w:pPr>
      <w:r>
        <w:t>en paralelo, implementación de la Landing Page web «Edificios» como soporte de seriedad marcaria (no como motor de captación).</w:t>
      </w:r>
    </w:p>
    <w:p>
      <w:pPr>
        <w:pStyle w:val="Heading2"/>
      </w:pPr>
      <w:r>
        <w:t>Cadencia Semanal Sugerida</w:t>
      </w:r>
    </w:p>
    <w:tbl>
      <w:tblPr>
        <w:tblStyle w:val="TableGrid"/>
        <w:tblW w:type="auto" w:w="0"/>
        <w:jc w:val="center"/>
        <w:tblLook w:firstColumn="1" w:firstRow="1" w:lastColumn="0" w:lastRow="0" w:noHBand="0" w:noVBand="1" w:val="04A0"/>
      </w:tblPr>
      <w:tblGrid>
        <w:gridCol w:w="4320"/>
        <w:gridCol w:w="4320"/>
      </w:tblGrid>
      <w:tr>
        <w:tc>
          <w:tcPr>
            <w:tcW w:type="dxa" w:w="1361"/>
            <w:shd w:val="clear" w:color="auto" w:fill="1B3A6B"/>
            <w:tcMar>
              <w:top w:w="60" w:type="dxa"/>
              <w:left w:w="110" w:type="dxa"/>
              <w:bottom w:w="60" w:type="dxa"/>
              <w:right w:w="110" w:type="dxa"/>
            </w:tcMar>
          </w:tcPr>
          <w:p>
            <w:pPr>
              <w:spacing w:before="0" w:after="0"/>
            </w:pPr>
            <w:r>
              <w:rPr>
                <w:rFonts w:ascii="Arial" w:hAnsi="Arial"/>
                <w:b/>
                <w:color w:val="FFFFFF"/>
                <w:sz w:val="18"/>
              </w:rPr>
              <w:t>Ritmo</w:t>
            </w:r>
          </w:p>
        </w:tc>
        <w:tc>
          <w:tcPr>
            <w:tcW w:type="dxa" w:w="7143"/>
            <w:shd w:val="clear" w:color="auto" w:fill="1B3A6B"/>
            <w:tcMar>
              <w:top w:w="60" w:type="dxa"/>
              <w:left w:w="110" w:type="dxa"/>
              <w:bottom w:w="60" w:type="dxa"/>
              <w:right w:w="110" w:type="dxa"/>
            </w:tcMar>
          </w:tcPr>
          <w:p>
            <w:pPr>
              <w:spacing w:before="0" w:after="0"/>
            </w:pPr>
            <w:r>
              <w:rPr>
                <w:rFonts w:ascii="Arial" w:hAnsi="Arial"/>
                <w:b/>
                <w:color w:val="FFFFFF"/>
                <w:sz w:val="18"/>
              </w:rPr>
              <w:t>Tarea</w:t>
            </w:r>
          </w:p>
        </w:tc>
      </w:tr>
      <w:tr>
        <w:tc>
          <w:tcPr>
            <w:tcW w:type="dxa" w:w="1361"/>
            <w:tcMar>
              <w:top w:w="60" w:type="dxa"/>
              <w:left w:w="110" w:type="dxa"/>
              <w:bottom w:w="60" w:type="dxa"/>
              <w:right w:w="110" w:type="dxa"/>
            </w:tcMar>
          </w:tcPr>
          <w:p>
            <w:pPr>
              <w:spacing w:before="0" w:after="0"/>
            </w:pPr>
            <w:r>
              <w:rPr>
                <w:rFonts w:ascii="Arial" w:hAnsi="Arial"/>
                <w:b/>
                <w:sz w:val="18"/>
              </w:rPr>
              <w:t>Diario</w:t>
            </w:r>
          </w:p>
        </w:tc>
        <w:tc>
          <w:tcPr>
            <w:tcW w:type="dxa" w:w="7143"/>
            <w:tcMar>
              <w:top w:w="60" w:type="dxa"/>
              <w:left w:w="110" w:type="dxa"/>
              <w:bottom w:w="60" w:type="dxa"/>
              <w:right w:w="110" w:type="dxa"/>
            </w:tcMar>
          </w:tcPr>
          <w:p>
            <w:pPr>
              <w:spacing w:before="0" w:after="0"/>
            </w:pPr>
            <w:r>
              <w:rPr>
                <w:rFonts w:ascii="Arial" w:hAnsi="Arial"/>
                <w:sz w:val="18"/>
              </w:rPr>
              <w:t>Revisar studioiii@segurosaegis.cl y responder cada consulta dentro del SLA de 24 h hábiles.</w:t>
            </w:r>
          </w:p>
        </w:tc>
      </w:tr>
      <w:tr>
        <w:tc>
          <w:tcPr>
            <w:tcW w:type="dxa" w:w="1361"/>
            <w:shd w:val="clear" w:color="auto" w:fill="F2F4F7"/>
            <w:tcMar>
              <w:top w:w="60" w:type="dxa"/>
              <w:left w:w="110" w:type="dxa"/>
              <w:bottom w:w="60" w:type="dxa"/>
              <w:right w:w="110" w:type="dxa"/>
            </w:tcMar>
          </w:tcPr>
          <w:p>
            <w:pPr>
              <w:spacing w:before="0" w:after="0"/>
            </w:pPr>
            <w:r>
              <w:rPr>
                <w:rFonts w:ascii="Arial" w:hAnsi="Arial"/>
                <w:b/>
                <w:sz w:val="18"/>
              </w:rPr>
              <w:t>Diario</w:t>
            </w:r>
          </w:p>
        </w:tc>
        <w:tc>
          <w:tcPr>
            <w:tcW w:type="dxa" w:w="7143"/>
            <w:shd w:val="clear" w:color="auto" w:fill="F2F4F7"/>
            <w:tcMar>
              <w:top w:w="60" w:type="dxa"/>
              <w:left w:w="110" w:type="dxa"/>
              <w:bottom w:w="60" w:type="dxa"/>
              <w:right w:w="110" w:type="dxa"/>
            </w:tcMar>
          </w:tcPr>
          <w:p>
            <w:pPr>
              <w:spacing w:before="0" w:after="0"/>
            </w:pPr>
            <w:r>
              <w:rPr>
                <w:rFonts w:ascii="Arial" w:hAnsi="Arial"/>
                <w:sz w:val="18"/>
              </w:rPr>
              <w:t>Recotizar (Precio/Cobertura) los contratos que envíen los ocupantes y devolver comparativa.</w:t>
            </w:r>
          </w:p>
        </w:tc>
      </w:tr>
      <w:tr>
        <w:tc>
          <w:tcPr>
            <w:tcW w:type="dxa" w:w="1361"/>
            <w:tcMar>
              <w:top w:w="60" w:type="dxa"/>
              <w:left w:w="110" w:type="dxa"/>
              <w:bottom w:w="60" w:type="dxa"/>
              <w:right w:w="110" w:type="dxa"/>
            </w:tcMar>
          </w:tcPr>
          <w:p>
            <w:pPr>
              <w:spacing w:before="0" w:after="0"/>
            </w:pPr>
            <w:r>
              <w:rPr>
                <w:rFonts w:ascii="Arial" w:hAnsi="Arial"/>
                <w:b/>
                <w:sz w:val="18"/>
              </w:rPr>
              <w:t>Semanal</w:t>
            </w:r>
          </w:p>
        </w:tc>
        <w:tc>
          <w:tcPr>
            <w:tcW w:type="dxa" w:w="7143"/>
            <w:tcMar>
              <w:top w:w="60" w:type="dxa"/>
              <w:left w:w="110" w:type="dxa"/>
              <w:bottom w:w="60" w:type="dxa"/>
              <w:right w:w="110" w:type="dxa"/>
            </w:tcMar>
          </w:tcPr>
          <w:p>
            <w:pPr>
              <w:spacing w:before="0" w:after="0"/>
            </w:pPr>
            <w:r>
              <w:rPr>
                <w:rFonts w:ascii="Arial" w:hAnsi="Arial"/>
                <w:sz w:val="18"/>
              </w:rPr>
              <w:t>Hacer seguimiento de la aprobación del Comité (Parte A) hasta obtener el visto bueno por escrito.</w:t>
            </w:r>
          </w:p>
        </w:tc>
      </w:tr>
      <w:tr>
        <w:tc>
          <w:tcPr>
            <w:tcW w:type="dxa" w:w="1361"/>
            <w:shd w:val="clear" w:color="auto" w:fill="F2F4F7"/>
            <w:tcMar>
              <w:top w:w="60" w:type="dxa"/>
              <w:left w:w="110" w:type="dxa"/>
              <w:bottom w:w="60" w:type="dxa"/>
              <w:right w:w="110" w:type="dxa"/>
            </w:tcMar>
          </w:tcPr>
          <w:p>
            <w:pPr>
              <w:spacing w:before="0" w:after="0"/>
            </w:pPr>
            <w:r>
              <w:rPr>
                <w:rFonts w:ascii="Arial" w:hAnsi="Arial"/>
                <w:b/>
                <w:sz w:val="18"/>
              </w:rPr>
              <w:t>Semanal</w:t>
            </w:r>
          </w:p>
        </w:tc>
        <w:tc>
          <w:tcPr>
            <w:tcW w:type="dxa" w:w="7143"/>
            <w:shd w:val="clear" w:color="auto" w:fill="F2F4F7"/>
            <w:tcMar>
              <w:top w:w="60" w:type="dxa"/>
              <w:left w:w="110" w:type="dxa"/>
              <w:bottom w:w="60" w:type="dxa"/>
              <w:right w:w="110" w:type="dxa"/>
            </w:tcMar>
          </w:tcPr>
          <w:p>
            <w:pPr>
              <w:spacing w:before="0" w:after="0"/>
            </w:pPr>
            <w:r>
              <w:rPr>
                <w:rFonts w:ascii="Arial" w:hAnsi="Arial"/>
                <w:sz w:val="18"/>
              </w:rPr>
              <w:t>Registrar en el SGA cada interacción, cotización y cierre del piloto (trazabilidad).</w:t>
            </w:r>
          </w:p>
        </w:tc>
      </w:tr>
      <w:tr>
        <w:tc>
          <w:tcPr>
            <w:tcW w:type="dxa" w:w="1361"/>
            <w:tcMar>
              <w:top w:w="60" w:type="dxa"/>
              <w:left w:w="110" w:type="dxa"/>
              <w:bottom w:w="60" w:type="dxa"/>
              <w:right w:w="110" w:type="dxa"/>
            </w:tcMar>
          </w:tcPr>
          <w:p>
            <w:pPr>
              <w:spacing w:before="0" w:after="0"/>
            </w:pPr>
            <w:r>
              <w:rPr>
                <w:rFonts w:ascii="Arial" w:hAnsi="Arial"/>
                <w:b/>
                <w:sz w:val="18"/>
              </w:rPr>
              <w:t>Semanal</w:t>
            </w:r>
          </w:p>
        </w:tc>
        <w:tc>
          <w:tcPr>
            <w:tcW w:type="dxa" w:w="7143"/>
            <w:tcMar>
              <w:top w:w="60" w:type="dxa"/>
              <w:left w:w="110" w:type="dxa"/>
              <w:bottom w:w="60" w:type="dxa"/>
              <w:right w:w="110" w:type="dxa"/>
            </w:tcMar>
          </w:tcPr>
          <w:p>
            <w:pPr>
              <w:spacing w:before="0" w:after="0"/>
            </w:pPr>
            <w:r>
              <w:rPr>
                <w:rFonts w:ascii="Arial" w:hAnsi="Arial"/>
                <w:sz w:val="18"/>
              </w:rPr>
              <w:t>Avanzar la Landing «Edificios» en bloques pequeños hasta publicarla.</w:t>
            </w:r>
          </w:p>
        </w:tc>
      </w:tr>
    </w:tbl>
    <w:p>
      <w:pPr>
        <w:spacing w:after="40"/>
      </w:pPr>
    </w:p>
    <w:p>
      <w:pPr>
        <w:pStyle w:val="Heading2"/>
      </w:pPr>
      <w:r>
        <w:t>Criterio de Salida de la Fase 2</w:t>
      </w:r>
    </w:p>
    <w:p>
      <w:pPr>
        <w:pStyle w:val="ListBullet"/>
      </w:pPr>
      <w:r>
        <w:t>aprobación del Comité obtenida y circular distribuida a los ocupantes;</w:t>
      </w:r>
    </w:p>
    <w:p>
      <w:pPr>
        <w:pStyle w:val="ListBullet"/>
      </w:pPr>
      <w:r>
        <w:t>primeras pólizas de cross-selling cerradas con residentes/empresas del edificio;</w:t>
      </w:r>
    </w:p>
    <w:p>
      <w:pPr>
        <w:pStyle w:val="ListBullet"/>
      </w:pPr>
      <w:r>
        <w:t>plantilla de abordaje validada y documentada para replicarla;</w:t>
      </w:r>
    </w:p>
    <w:p>
      <w:pPr>
        <w:pStyle w:val="ListBullet"/>
      </w:pPr>
      <w:r>
        <w:t>Landing «Edificios» publicada;</w:t>
      </w:r>
    </w:p>
    <w:p>
      <w:pPr>
        <w:pStyle w:val="ListBullet"/>
      </w:pPr>
      <w:r>
        <w:rPr>
          <w:b/>
        </w:rPr>
        <w:t xml:space="preserve">Correo y SLA desde la app — </w:t>
      </w:r>
      <w:r>
        <w:t>integración bidireccional del correo operativa en el schema comunicacion (inbox/outbox) y midiendo el SLA de 24 horas hábiles desde la propia aplicación, con alerta visual a menos de 4 horas del límite (Operational Plan §6). Este criterio es obligatorio: la fase no se cierra sin él.</w:t>
      </w:r>
    </w:p>
    <w:tbl>
      <w:tblPr>
        <w:tblStyle w:val="TableGrid"/>
        <w:tblW w:type="auto" w:w="0"/>
        <w:tblLook w:firstColumn="1" w:firstRow="1" w:lastColumn="0" w:lastRow="0" w:noHBand="0" w:noVBand="1" w:val="04A0"/>
      </w:tblPr>
      <w:tblGrid>
        <w:gridCol w:w="8640"/>
      </w:tblGrid>
      <w:tr>
        <w:tc>
          <w:tcPr>
            <w:tcW w:type="dxa" w:w="8640"/>
            <w:shd w:val="clear" w:color="auto" w:fill="FEF9E7"/>
            <w:tcMar>
              <w:top w:w="120" w:type="dxa"/>
              <w:left w:w="160" w:type="dxa"/>
              <w:bottom w:w="120" w:type="dxa"/>
              <w:right w:w="160" w:type="dxa"/>
            </w:tcMar>
          </w:tcPr>
          <w:p>
            <w:pPr>
              <w:spacing w:before="0" w:after="0"/>
            </w:pPr>
            <w:r>
              <w:rPr>
                <w:rFonts w:ascii="Arial" w:hAnsi="Arial"/>
                <w:b/>
                <w:color w:val="C0392B"/>
                <w:sz w:val="21"/>
              </w:rPr>
              <w:t>⏱ NUEVO CRITERIO OBLIGATORIO — CORREO MEDIDO DESDE LA APP</w:t>
            </w:r>
          </w:p>
          <w:p>
            <w:pPr>
              <w:spacing w:before="60" w:after="0"/>
            </w:pPr>
            <w:r>
              <w:rPr>
                <w:rFonts w:ascii="Arial" w:hAnsi="Arial"/>
                <w:sz w:val="20"/>
              </w:rPr>
              <w:t>Studio III no se da por cerrado mientras el correo del piloto (studioiii@segurosaegis.cl) no esté integrado de forma bidireccional en el sistema y el SLA de 24 horas se mida automáticamente desde la aplicación. Responder a tiempo deja de depender de la vigilancia manual: lo controla el job de SLA del Operational Plan §6.3.</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D5E8F5"/>
            <w:tcMar>
              <w:top w:w="120" w:type="dxa"/>
              <w:left w:w="160" w:type="dxa"/>
              <w:bottom w:w="120" w:type="dxa"/>
              <w:right w:w="160" w:type="dxa"/>
            </w:tcMar>
          </w:tcPr>
          <w:p>
            <w:pPr>
              <w:spacing w:before="0" w:after="0"/>
            </w:pPr>
            <w:r>
              <w:rPr>
                <w:rFonts w:ascii="Arial" w:hAnsi="Arial"/>
                <w:b/>
                <w:color w:val="1B3A6B"/>
                <w:sz w:val="21"/>
              </w:rPr>
              <w:t>🏢 EL PILOTO ES LA PLANTILLA</w:t>
            </w:r>
          </w:p>
          <w:p>
            <w:pPr>
              <w:spacing w:before="60" w:after="0"/>
            </w:pPr>
            <w:r>
              <w:rPr>
                <w:rFonts w:ascii="Arial" w:hAnsi="Arial"/>
                <w:sz w:val="20"/>
              </w:rPr>
              <w:t>Studio III no es un caso aislado: cada aprendizaje (qué objeción frena al comité, qué producto engancha al ocupante, qué mensaje convierte) se convierte en el guion replicable de la Fase 3. Cerrar bien este piloto vale más que abrir diez frentes a medias.</w:t>
            </w:r>
          </w:p>
        </w:tc>
      </w:tr>
    </w:tbl>
    <w:p>
      <w:pPr>
        <w:spacing w:after="40"/>
      </w:pPr>
    </w:p>
    <w:p>
      <w:r>
        <w:br w:type="page"/>
      </w:r>
    </w:p>
    <w:tbl>
      <w:tblPr>
        <w:tblStyle w:val="TableGrid"/>
        <w:tblW w:type="auto" w:w="0"/>
        <w:tblLook w:firstColumn="1" w:firstRow="1" w:lastColumn="0" w:lastRow="0" w:noHBand="0" w:noVBand="1" w:val="04A0"/>
      </w:tblPr>
      <w:tblGrid>
        <w:gridCol w:w="8640"/>
      </w:tblGrid>
      <w:tr>
        <w:tc>
          <w:tcPr>
            <w:tcW w:type="dxa" w:w="8640"/>
            <w:shd w:val="clear" w:color="auto" w:fill="1B3A6B"/>
            <w:tcMar>
              <w:top w:w="110" w:type="dxa"/>
              <w:left w:w="160" w:type="dxa"/>
              <w:bottom w:w="110" w:type="dxa"/>
              <w:right w:w="160" w:type="dxa"/>
            </w:tcMar>
          </w:tcPr>
          <w:p>
            <w:pPr>
              <w:spacing w:before="0" w:after="0"/>
            </w:pPr>
            <w:r>
              <w:rPr>
                <w:rFonts w:ascii="Arial" w:hAnsi="Arial"/>
                <w:b/>
                <w:color w:val="FFFFFF"/>
                <w:sz w:val="25"/>
              </w:rPr>
              <w:t>FASE 3 — Conquista Hiperlocal</w:t>
            </w:r>
          </w:p>
          <w:p>
            <w:pPr>
              <w:spacing w:before="40" w:after="0"/>
            </w:pPr>
            <w:r>
              <w:rPr>
                <w:rFonts w:ascii="Arial" w:hAnsi="Arial"/>
                <w:b/>
                <w:color w:val="D5E8F5"/>
                <w:sz w:val="19"/>
              </w:rPr>
              <w:t>ESTADO: CORTO PLAZO · HACIA LAS 100 UF</w:t>
            </w:r>
          </w:p>
        </w:tc>
      </w:tr>
    </w:tbl>
    <w:p>
      <w:pPr>
        <w:spacing w:after="40"/>
      </w:pPr>
    </w:p>
    <w:p>
      <w:pPr>
        <w:pStyle w:val="Heading1"/>
      </w:pPr>
      <w:r>
        <w:t>Fase 3 — Conquista Hiperlocal (hacia las 100 UF)</w:t>
      </w:r>
    </w:p>
    <w:p>
      <w:r>
        <w:rPr>
          <w:b w:val="0"/>
          <w:i w:val="0"/>
        </w:rPr>
        <w:t>Con la plantilla validada en Studio III, se replica el modelo a escala hiperlocal sobre la base de aproximadamente 40 edificios residenciales prioritarios de la zona. Esta es la fase que debe llevar a la corredora a la meta inmediata de 100 UF netas mensuales.</w:t>
      </w:r>
    </w:p>
    <w:p>
      <w:pPr>
        <w:pStyle w:val="Heading2"/>
      </w:pPr>
      <w:r>
        <w:t>Secuencia de Trabajo</w:t>
      </w:r>
    </w:p>
    <w:p>
      <w:pPr>
        <w:pStyle w:val="ListNumber"/>
      </w:pPr>
      <w:r>
        <w:t>construir el Mapa de Vencimientos exhaustivo de los 40 edificios en el módulo de Catastro del SGA (etiqueta edificio_lead): dirección, compañía actual, fecha de vencimiento, contacto del comité y siniestralidad conocida.</w:t>
      </w:r>
    </w:p>
    <w:p>
      <w:pPr>
        <w:pStyle w:val="ListNumber"/>
      </w:pPr>
      <w:r>
        <w:t>clasificar los objetivos por ventana de oportunidad: priorizar los edificios cuyo vencimiento cae dentro de los próximos 90 días (alerta automática del sistema).</w:t>
      </w:r>
    </w:p>
    <w:p>
      <w:pPr>
        <w:pStyle w:val="ListNumber"/>
      </w:pPr>
      <w:r>
        <w:t>desplegar el MVP de seguros de copropiedad: incendio obligatorio (Ley 21.442) cotizado en el panel completo + ANS, más uno o dos adicionales de alto valor.</w:t>
      </w:r>
    </w:p>
    <w:p>
      <w:pPr>
        <w:pStyle w:val="ListNumber"/>
      </w:pPr>
      <w:r>
        <w:t>abordar cada comité replicando el precedente Studio III (Parte A → Parte B → correo segmentado del edificio → SLA de 24 h → cross-selling a residentes).</w:t>
      </w:r>
    </w:p>
    <w:p>
      <w:pPr>
        <w:pStyle w:val="Heading2"/>
      </w:pPr>
      <w:r>
        <w:t>Disciplina de la Fase</w:t>
      </w:r>
    </w:p>
    <w:p>
      <w:pPr>
        <w:pStyle w:val="ListBullet"/>
      </w:pPr>
      <w:r>
        <w:rPr>
          <w:b/>
        </w:rPr>
        <w:t xml:space="preserve">Prioridad por dato — </w:t>
      </w:r>
      <w:r>
        <w:t>trabajar los edificios en orden de ventana de vencimiento, no por preferencia; el sistema dicta la prioridad.</w:t>
      </w:r>
    </w:p>
    <w:p>
      <w:pPr>
        <w:pStyle w:val="ListBullet"/>
      </w:pPr>
      <w:r>
        <w:rPr>
          <w:b/>
        </w:rPr>
        <w:t xml:space="preserve">Canal — </w:t>
      </w:r>
      <w:r>
        <w:t>una casilla de correo segmentada por edificio, como en el piloto.</w:t>
      </w:r>
    </w:p>
    <w:p>
      <w:pPr>
        <w:pStyle w:val="ListBullet"/>
      </w:pPr>
      <w:r>
        <w:rPr>
          <w:b/>
        </w:rPr>
        <w:t xml:space="preserve">Medición — </w:t>
      </w:r>
      <w:r>
        <w:t>medir sin descanso la tasa de cierre por edificio y la comisión neta mensual hacia las 100 UF (Commercial Playbook §7).</w:t>
      </w:r>
    </w:p>
    <w:tbl>
      <w:tblPr>
        <w:tblStyle w:val="TableGrid"/>
        <w:tblW w:type="auto" w:w="0"/>
        <w:tblLook w:firstColumn="1" w:firstRow="1" w:lastColumn="0" w:lastRow="0" w:noHBand="0" w:noVBand="1" w:val="04A0"/>
      </w:tblPr>
      <w:tblGrid>
        <w:gridCol w:w="8640"/>
      </w:tblGrid>
      <w:tr>
        <w:tc>
          <w:tcPr>
            <w:tcW w:type="dxa" w:w="8640"/>
            <w:shd w:val="clear" w:color="auto" w:fill="EAF4EC"/>
            <w:tcMar>
              <w:top w:w="120" w:type="dxa"/>
              <w:left w:w="160" w:type="dxa"/>
              <w:bottom w:w="120" w:type="dxa"/>
              <w:right w:w="160" w:type="dxa"/>
            </w:tcMar>
          </w:tcPr>
          <w:p>
            <w:pPr>
              <w:spacing w:before="0" w:after="0"/>
            </w:pPr>
            <w:r>
              <w:rPr>
                <w:rFonts w:ascii="Arial" w:hAnsi="Arial"/>
                <w:b/>
                <w:color w:val="145A32"/>
                <w:sz w:val="21"/>
              </w:rPr>
              <w:t>🎯 META DE LA FASE: 100 UF NETAS/MES</w:t>
            </w:r>
          </w:p>
          <w:p>
            <w:pPr>
              <w:spacing w:before="60" w:after="0"/>
            </w:pPr>
            <w:r>
              <w:rPr>
                <w:rFonts w:ascii="Arial" w:hAnsi="Arial"/>
                <w:sz w:val="20"/>
              </w:rPr>
              <w:t>Todo el esfuerzo de la Fase 3 se ordena hacia las 100 UF. Hasta alcanzarlas y estabilizarlas, no se abren los canales de la Fase 4. Foco absoluto en el Motor de Comunidades.</w:t>
            </w:r>
          </w:p>
        </w:tc>
      </w:tr>
    </w:tbl>
    <w:p>
      <w:pPr>
        <w:spacing w:after="40"/>
      </w:pPr>
    </w:p>
    <w:p>
      <w:r>
        <w:br w:type="page"/>
      </w:r>
    </w:p>
    <w:tbl>
      <w:tblPr>
        <w:tblStyle w:val="TableGrid"/>
        <w:tblW w:type="auto" w:w="0"/>
        <w:tblLook w:firstColumn="1" w:firstRow="1" w:lastColumn="0" w:lastRow="0" w:noHBand="0" w:noVBand="1" w:val="04A0"/>
      </w:tblPr>
      <w:tblGrid>
        <w:gridCol w:w="8640"/>
      </w:tblGrid>
      <w:tr>
        <w:tc>
          <w:tcPr>
            <w:tcW w:type="dxa" w:w="8640"/>
            <w:shd w:val="clear" w:color="auto" w:fill="1B3A6B"/>
            <w:tcMar>
              <w:top w:w="110" w:type="dxa"/>
              <w:left w:w="160" w:type="dxa"/>
              <w:bottom w:w="110" w:type="dxa"/>
              <w:right w:w="160" w:type="dxa"/>
            </w:tcMar>
          </w:tcPr>
          <w:p>
            <w:pPr>
              <w:spacing w:before="0" w:after="0"/>
            </w:pPr>
            <w:r>
              <w:rPr>
                <w:rFonts w:ascii="Arial" w:hAnsi="Arial"/>
                <w:b/>
                <w:color w:val="FFFFFF"/>
                <w:sz w:val="25"/>
              </w:rPr>
              <w:t>FASE 4 — Escalabilidad y Automatización</w:t>
            </w:r>
          </w:p>
          <w:p>
            <w:pPr>
              <w:spacing w:before="40" w:after="0"/>
            </w:pPr>
            <w:r>
              <w:rPr>
                <w:rFonts w:ascii="Arial" w:hAnsi="Arial"/>
                <w:b/>
                <w:color w:val="D5E8F5"/>
                <w:sz w:val="19"/>
              </w:rPr>
              <w:t>ESTADO: MEDIANO PLAZO · HACIA LAS 500 UF</w:t>
            </w:r>
          </w:p>
        </w:tc>
      </w:tr>
    </w:tbl>
    <w:p>
      <w:pPr>
        <w:spacing w:after="40"/>
      </w:pPr>
    </w:p>
    <w:p>
      <w:pPr>
        <w:pStyle w:val="Heading1"/>
      </w:pPr>
      <w:r>
        <w:t>Fase 4 — Escalabilidad y Automatización (hacia las 500 UF)</w:t>
      </w:r>
    </w:p>
    <w:p>
      <w:r>
        <w:rPr>
          <w:b w:val="0"/>
          <w:i w:val="0"/>
        </w:rPr>
        <w:t>Una vez superadas y estabilizadas las 100 UF, se abre el escalamiento hacia las 500 UF netas mensuales en el horizonte de 3 años. Esta fase combina la activación de canales de reserva con la automatización técnica que sostiene el crecimiento sin saturar al fundador.</w:t>
      </w:r>
    </w:p>
    <w:p>
      <w:pPr>
        <w:pStyle w:val="Heading2"/>
      </w:pPr>
      <w:r>
        <w:t>Activación Progresiva de Canales de Reserva</w:t>
      </w:r>
    </w:p>
    <w:p>
      <w:pPr>
        <w:pStyle w:val="ListBullet"/>
      </w:pPr>
      <w:r>
        <w:rPr>
          <w:b/>
        </w:rPr>
        <w:t xml:space="preserve">Super-Administradores — </w:t>
      </w:r>
      <w:r>
        <w:t>alianzas con Super-Administradores: una sola relación con quien gestiona 10–50 edificios abre acceso a muchos comités a la vez. Se activa solo con la capacidad ya demostrada en la Fase 3.</w:t>
      </w:r>
    </w:p>
    <w:p>
      <w:pPr>
        <w:pStyle w:val="ListBullet"/>
      </w:pPr>
      <w:r>
        <w:rPr>
          <w:b/>
        </w:rPr>
        <w:t xml:space="preserve">Clubes — </w:t>
      </w:r>
      <w:r>
        <w:t>convenios secundarios con clubes (Prioridad 2): se ejecutan con los recursos remanentes que libera la automatización.</w:t>
      </w:r>
    </w:p>
    <w:p>
      <w:pPr>
        <w:pStyle w:val="Heading2"/>
      </w:pPr>
      <w:r>
        <w:t>Despliegue del 10.º Schema (audiencia) y Operaciones Digitales Activas</w:t>
      </w:r>
    </w:p>
    <w:p>
      <w:r>
        <w:rPr>
          <w:b w:val="0"/>
          <w:i w:val="0"/>
        </w:rPr>
        <w:t>Con la cartera núcleo ya tracción­ada, se despliega técnicamente el schema audiencia (Operational Plan §1.3) y se inician las operaciones activas de marketing digital y fidelización, que pasan a funcionar como canales paralelos de adquisición (Commercial Playbook §5.4):</w:t>
      </w:r>
    </w:p>
    <w:p>
      <w:pPr>
        <w:pStyle w:val="ListBullet"/>
      </w:pPr>
      <w:r>
        <w:rPr>
          <w:b/>
        </w:rPr>
        <w:t xml:space="preserve">10.º schema — </w:t>
      </w:r>
      <w:r>
        <w:t>despliegue del schema audiencia como extensión ordenada de la base de datos (nunca un silo), habilitando el embudo de leads digitales y los programas de fidelización.</w:t>
      </w:r>
    </w:p>
    <w:p>
      <w:pPr>
        <w:pStyle w:val="ListBullet"/>
      </w:pPr>
      <w:r>
        <w:rPr>
          <w:b/>
        </w:rPr>
        <w:t xml:space="preserve">Web y RRSS activas — </w:t>
      </w:r>
      <w:r>
        <w:t>puesta en marcha de la Web y las Redes Sociales como canales activos de Inbound: contenido por nicho, captura de leads al SGA y respuesta dentro del SLA.</w:t>
      </w:r>
    </w:p>
    <w:p>
      <w:pPr>
        <w:pStyle w:val="ListBullet"/>
      </w:pPr>
      <w:r>
        <w:rPr>
          <w:b/>
        </w:rPr>
        <w:t xml:space="preserve">Fidelización — </w:t>
      </w:r>
      <w:r>
        <w:t>operación de fidelización y cuidado del cliente (saludos de cumpleaños, concursos, comunicación de valor) gestionada desde audiencia, para subir retención y cross-selling.</w:t>
      </w:r>
    </w:p>
    <w:p>
      <w:pPr>
        <w:pStyle w:val="Heading2"/>
      </w:pPr>
      <w:r>
        <w:t>Automatización Avanzada del SGA</w:t>
      </w:r>
    </w:p>
    <w:p>
      <w:pPr>
        <w:pStyle w:val="ListBullet"/>
      </w:pPr>
      <w:r>
        <w:rPr>
          <w:b/>
        </w:rPr>
        <w:t xml:space="preserve">Cotización masiva — </w:t>
      </w:r>
      <w:r>
        <w:t>scrapers en Playwright para cotización masiva en la red ANS (única vía sin API) y conexión a las APIs oficiales de las compañías.</w:t>
      </w:r>
    </w:p>
    <w:p>
      <w:pPr>
        <w:pStyle w:val="ListBullet"/>
      </w:pPr>
      <w:r>
        <w:rPr>
          <w:b/>
        </w:rPr>
        <w:t xml:space="preserve">Automatización de tracción — </w:t>
      </w:r>
      <w:r>
        <w:t>maduración del Bot de Elegibilidad y del Mapa de Vencimientos para que el cross-selling y las renovaciones corran de forma desatendida (Operational Plan §4 y §5).</w:t>
      </w:r>
    </w:p>
    <w:p>
      <w:pPr>
        <w:pStyle w:val="ListBullet"/>
      </w:pPr>
      <w:r>
        <w:rPr>
          <w:b/>
        </w:rPr>
        <w:t xml:space="preserve">Objetivo — </w:t>
      </w:r>
      <w:r>
        <w:t>el objetivo técnico es eliminar la carga operativa manual a medida que la cartera crece: que crecer no signifique trabajar más horas, sino mejores sistemas.</w:t>
      </w:r>
    </w:p>
    <w:tbl>
      <w:tblPr>
        <w:tblStyle w:val="TableGrid"/>
        <w:tblW w:type="auto" w:w="0"/>
        <w:tblLook w:firstColumn="1" w:firstRow="1" w:lastColumn="0" w:lastRow="0" w:noHBand="0" w:noVBand="1" w:val="04A0"/>
      </w:tblPr>
      <w:tblGrid>
        <w:gridCol w:w="8640"/>
      </w:tblGrid>
      <w:tr>
        <w:tc>
          <w:tcPr>
            <w:tcW w:type="dxa" w:w="8640"/>
            <w:shd w:val="clear" w:color="auto" w:fill="D5E8F5"/>
            <w:tcMar>
              <w:top w:w="120" w:type="dxa"/>
              <w:left w:w="160" w:type="dxa"/>
              <w:bottom w:w="120" w:type="dxa"/>
              <w:right w:w="160" w:type="dxa"/>
            </w:tcMar>
          </w:tcPr>
          <w:p>
            <w:pPr>
              <w:spacing w:before="0" w:after="0"/>
            </w:pPr>
            <w:r>
              <w:rPr>
                <w:rFonts w:ascii="Arial" w:hAnsi="Arial"/>
                <w:b/>
                <w:color w:val="1B3A6B"/>
                <w:sz w:val="21"/>
              </w:rPr>
              <w:t>⚙ AUTOMATIZAR PARA ESCALAR, NO PARA LUCIRSE</w:t>
            </w:r>
          </w:p>
          <w:p>
            <w:pPr>
              <w:spacing w:before="60" w:after="0"/>
            </w:pPr>
            <w:r>
              <w:rPr>
                <w:rFonts w:ascii="Arial" w:hAnsi="Arial"/>
                <w:sz w:val="20"/>
              </w:rPr>
              <w:t>Cada automatización de la Fase 4 debe justificar su existencia en horas liberadas o ingreso habilitado. Se automatiza lo que ya demostró ser repetitivo y valioso en las fases anteriores; no se construye tecnología por adelantado para problemas que aún no existen.</w:t>
            </w:r>
          </w:p>
        </w:tc>
      </w:tr>
    </w:tbl>
    <w:p>
      <w:pPr>
        <w:spacing w:after="40"/>
      </w:pPr>
    </w:p>
    <w:p>
      <w:r>
        <w:br w:type="page"/>
      </w:r>
    </w:p>
    <w:p>
      <w:pPr>
        <w:pStyle w:val="Heading1"/>
      </w:pPr>
      <w:r>
        <w:t>Regla de Oro del Fundador en Solitario</w:t>
      </w:r>
    </w:p>
    <w:p>
      <w:r>
        <w:rPr>
          <w:b w:val="0"/>
          <w:i w:val="0"/>
        </w:rPr>
        <w:t>Cuatro principios para sostener la ejecución sin quemarse y sin perder el rumbo ético:</w:t>
      </w:r>
    </w:p>
    <w:p>
      <w:pPr>
        <w:pStyle w:val="ListNumber"/>
      </w:pPr>
      <w:r>
        <w:t>una fase a la vez, una semana a la vez. La pregunta válida es siempre «¿qué toca esta semana en la fase actual?».</w:t>
      </w:r>
    </w:p>
    <w:p>
      <w:pPr>
        <w:pStyle w:val="ListNumber"/>
      </w:pPr>
      <w:r>
        <w:t>el cliente primero, sin excepción. Ninguna meta de UF justifica violar la relación Precio/Cobertura ni el marco del Corporate OS. El crecimiento correcto es consecuencia de servir bien.</w:t>
      </w:r>
    </w:p>
    <w:p>
      <w:pPr>
        <w:pStyle w:val="ListNumber"/>
      </w:pPr>
      <w:r>
        <w:t>apalancarse en los otros cuatro motores: la memoria y el porqué están en el Libro de Vida, los límites en el Corporate OS, las tácticas en el Commercial Playbook y el cómo técnico en el Operational Plan. Esta brújula solo ordena el cuándo.</w:t>
      </w:r>
    </w:p>
    <w:p>
      <w:pPr>
        <w:pStyle w:val="ListNumber"/>
      </w:pPr>
      <w:r>
        <w:t>cerrar antes de abrir. Terminar lo empezado (un piloto, un edificio, una automatización) vale más que iniciar tres cosas nuevas.</w:t>
      </w:r>
    </w:p>
    <w:tbl>
      <w:tblPr>
        <w:tblStyle w:val="TableGrid"/>
        <w:tblW w:type="auto" w:w="0"/>
        <w:tblLook w:firstColumn="1" w:firstRow="1" w:lastColumn="0" w:lastRow="0" w:noHBand="0" w:noVBand="1" w:val="04A0"/>
      </w:tblPr>
      <w:tblGrid>
        <w:gridCol w:w="8640"/>
      </w:tblGrid>
      <w:tr>
        <w:tc>
          <w:tcPr>
            <w:tcW w:type="dxa" w:w="8640"/>
            <w:shd w:val="clear" w:color="auto" w:fill="D5E8F5"/>
            <w:tcMar>
              <w:top w:w="120" w:type="dxa"/>
              <w:left w:w="160" w:type="dxa"/>
              <w:bottom w:w="120" w:type="dxa"/>
              <w:right w:w="160" w:type="dxa"/>
            </w:tcMar>
          </w:tcPr>
          <w:p>
            <w:pPr>
              <w:spacing w:before="0" w:after="0"/>
            </w:pPr>
            <w:r>
              <w:rPr>
                <w:rFonts w:ascii="Arial" w:hAnsi="Arial"/>
                <w:b/>
                <w:color w:val="1B3A6B"/>
                <w:sz w:val="21"/>
              </w:rPr>
              <w:t>🛡 EL ECOSISTEMA EN UNA FRASE</w:t>
            </w:r>
          </w:p>
          <w:p>
            <w:pPr>
              <w:spacing w:before="60" w:after="0"/>
            </w:pPr>
            <w:r>
              <w:rPr>
                <w:rFonts w:ascii="Arial" w:hAnsi="Arial"/>
                <w:sz w:val="20"/>
              </w:rPr>
              <w:t>Libro de Vida dice de dónde venimos y por qué. Corporate OS dice quiénes somos y qué no haremos jamás. Commercial Playbook dice cómo vendemos. Operational Plan dice cómo lo sostiene el software. Execution Roadmap dice qué toca esta semana. Cinco motores, una sola ética: la relación Precio/Cobertura del cliente.</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D5E8F5"/>
            <w:tcMar>
              <w:top w:w="120" w:type="dxa"/>
              <w:left w:w="160" w:type="dxa"/>
              <w:bottom w:w="120" w:type="dxa"/>
              <w:right w:w="160" w:type="dxa"/>
            </w:tcMar>
          </w:tcPr>
          <w:p>
            <w:pPr>
              <w:spacing w:before="0" w:after="0"/>
            </w:pPr>
            <w:r>
              <w:rPr>
                <w:rFonts w:ascii="Arial" w:hAnsi="Arial"/>
                <w:b/>
                <w:color w:val="1B3A6B"/>
                <w:sz w:val="21"/>
              </w:rPr>
              <w:t>🔄 CIRCUITO CERRADO Y FRONTERA INMUTABLE</w:t>
            </w:r>
          </w:p>
          <w:p>
            <w:pPr>
              <w:spacing w:before="60" w:after="0"/>
            </w:pPr>
            <w:r>
              <w:rPr>
                <w:rFonts w:ascii="Arial" w:hAnsi="Arial"/>
                <w:sz w:val="20"/>
              </w:rPr>
              <w:t>Playbook, Operational Plan y este Roadmap forman una tríada dinámica acoplada: un cambio en las metas de UF o en el Motor de Comunidades (como Studio III) altera directamente el software y reordena estas fases. Esa tríada se subordina unidireccionalmente al Corporate OS: la Constitución no se modifica nunca como efecto de un cambio comercial, técnico o de cronograma. Se mueve el terreno; la frontera permanece.</w:t>
            </w:r>
          </w:p>
        </w:tc>
      </w:tr>
    </w:tbl>
    <w:p>
      <w:pPr>
        <w:spacing w:after="40"/>
      </w:pPr>
    </w:p>
    <w:p>
      <w:r>
        <w:br w:type="page"/>
      </w:r>
    </w:p>
    <w:p>
      <w:pPr>
        <w:pStyle w:val="Heading1"/>
      </w:pPr>
      <w:r>
        <w:t>Control del Documento</w:t>
      </w:r>
    </w:p>
    <w:p>
      <w:r>
        <w:rPr>
          <w:b w:val="0"/>
          <w:i w:val="0"/>
        </w:rPr>
        <w:t>Documento fundacional de la brújula de ejecución, quinto motor del ecosistema Aegis Pentacore. Es un documento vivo que avanza con las fases; su orden y su subordinación al Corporate OS y a la máxima Precio/Cobertura son fijos.</w:t>
      </w:r>
    </w:p>
    <w:tbl>
      <w:tblPr>
        <w:tblStyle w:val="TableGrid"/>
        <w:tblW w:type="auto" w:w="0"/>
        <w:jc w:val="center"/>
        <w:tblLook w:firstColumn="1" w:firstRow="1" w:lastColumn="0" w:lastRow="0" w:noHBand="0" w:noVBand="1" w:val="04A0"/>
      </w:tblPr>
      <w:tblGrid>
        <w:gridCol w:w="2880"/>
        <w:gridCol w:w="2880"/>
        <w:gridCol w:w="2880"/>
      </w:tblGrid>
      <w:tr>
        <w:tc>
          <w:tcPr>
            <w:tcW w:type="dxa" w:w="1247"/>
            <w:shd w:val="clear" w:color="auto" w:fill="1B3A6B"/>
            <w:tcMar>
              <w:top w:w="60" w:type="dxa"/>
              <w:left w:w="110" w:type="dxa"/>
              <w:bottom w:w="60" w:type="dxa"/>
              <w:right w:w="110" w:type="dxa"/>
            </w:tcMar>
          </w:tcPr>
          <w:p>
            <w:pPr>
              <w:spacing w:before="0" w:after="0"/>
            </w:pPr>
            <w:r>
              <w:rPr>
                <w:rFonts w:ascii="Arial" w:hAnsi="Arial"/>
                <w:b/>
                <w:color w:val="FFFFFF"/>
                <w:sz w:val="18"/>
              </w:rPr>
              <w:t>Versión</w:t>
            </w:r>
          </w:p>
        </w:tc>
        <w:tc>
          <w:tcPr>
            <w:tcW w:type="dxa" w:w="1587"/>
            <w:shd w:val="clear" w:color="auto" w:fill="1B3A6B"/>
            <w:tcMar>
              <w:top w:w="60" w:type="dxa"/>
              <w:left w:w="110" w:type="dxa"/>
              <w:bottom w:w="60" w:type="dxa"/>
              <w:right w:w="110" w:type="dxa"/>
            </w:tcMar>
          </w:tcPr>
          <w:p>
            <w:pPr>
              <w:spacing w:before="0" w:after="0"/>
            </w:pPr>
            <w:r>
              <w:rPr>
                <w:rFonts w:ascii="Arial" w:hAnsi="Arial"/>
                <w:b/>
                <w:color w:val="FFFFFF"/>
                <w:sz w:val="18"/>
              </w:rPr>
              <w:t>Fecha</w:t>
            </w:r>
          </w:p>
        </w:tc>
        <w:tc>
          <w:tcPr>
            <w:tcW w:type="dxa" w:w="5783"/>
            <w:shd w:val="clear" w:color="auto" w:fill="1B3A6B"/>
            <w:tcMar>
              <w:top w:w="60" w:type="dxa"/>
              <w:left w:w="110" w:type="dxa"/>
              <w:bottom w:w="60" w:type="dxa"/>
              <w:right w:w="110" w:type="dxa"/>
            </w:tcMar>
          </w:tcPr>
          <w:p>
            <w:pPr>
              <w:spacing w:before="0" w:after="0"/>
            </w:pPr>
            <w:r>
              <w:rPr>
                <w:rFonts w:ascii="Arial" w:hAnsi="Arial"/>
                <w:b/>
                <w:color w:val="FFFFFF"/>
                <w:sz w:val="18"/>
              </w:rPr>
              <w:t>Naturaleza</w:t>
            </w:r>
          </w:p>
        </w:tc>
      </w:tr>
      <w:tr>
        <w:tc>
          <w:tcPr>
            <w:tcW w:type="dxa" w:w="1247"/>
            <w:tcMar>
              <w:top w:w="60" w:type="dxa"/>
              <w:left w:w="110" w:type="dxa"/>
              <w:bottom w:w="60" w:type="dxa"/>
              <w:right w:w="110" w:type="dxa"/>
            </w:tcMar>
          </w:tcPr>
          <w:p>
            <w:pPr>
              <w:spacing w:before="0" w:after="0"/>
            </w:pPr>
            <w:r>
              <w:rPr>
                <w:rFonts w:ascii="Arial" w:hAnsi="Arial"/>
                <w:b/>
                <w:sz w:val="18"/>
              </w:rPr>
              <w:t>1.0</w:t>
            </w:r>
          </w:p>
        </w:tc>
        <w:tc>
          <w:tcPr>
            <w:tcW w:type="dxa" w:w="1587"/>
            <w:tcMar>
              <w:top w:w="60" w:type="dxa"/>
              <w:left w:w="110" w:type="dxa"/>
              <w:bottom w:w="60" w:type="dxa"/>
              <w:right w:w="110" w:type="dxa"/>
            </w:tcMar>
          </w:tcPr>
          <w:p>
            <w:pPr>
              <w:spacing w:before="0" w:after="0"/>
            </w:pPr>
            <w:r>
              <w:rPr>
                <w:rFonts w:ascii="Arial" w:hAnsi="Arial"/>
                <w:sz w:val="18"/>
              </w:rPr>
              <w:t>Mayo 2026</w:t>
            </w:r>
          </w:p>
        </w:tc>
        <w:tc>
          <w:tcPr>
            <w:tcW w:type="dxa" w:w="5783"/>
            <w:tcMar>
              <w:top w:w="60" w:type="dxa"/>
              <w:left w:w="110" w:type="dxa"/>
              <w:bottom w:w="60" w:type="dxa"/>
              <w:right w:w="110" w:type="dxa"/>
            </w:tcMar>
          </w:tcPr>
          <w:p>
            <w:pPr>
              <w:spacing w:before="0" w:after="0"/>
            </w:pPr>
            <w:r>
              <w:rPr>
                <w:rFonts w:ascii="Arial" w:hAnsi="Arial"/>
                <w:sz w:val="18"/>
              </w:rPr>
              <w:t>Cronograma inicial de 4 fases: Núcleo de Datos (completada), Piloto Studio III (en curso), Conquista Hiperlocal (100 UF) y Escalabilidad (500 UF).</w:t>
            </w:r>
          </w:p>
        </w:tc>
      </w:tr>
      <w:tr>
        <w:tc>
          <w:tcPr>
            <w:tcW w:type="dxa" w:w="1247"/>
            <w:shd w:val="clear" w:color="auto" w:fill="F2F4F7"/>
            <w:tcMar>
              <w:top w:w="60" w:type="dxa"/>
              <w:left w:w="110" w:type="dxa"/>
              <w:bottom w:w="60" w:type="dxa"/>
              <w:right w:w="110" w:type="dxa"/>
            </w:tcMar>
          </w:tcPr>
          <w:p>
            <w:pPr>
              <w:spacing w:before="0" w:after="0"/>
            </w:pPr>
            <w:r>
              <w:rPr>
                <w:rFonts w:ascii="Arial" w:hAnsi="Arial"/>
                <w:b/>
                <w:sz w:val="18"/>
              </w:rPr>
              <w:t>1.1</w:t>
            </w:r>
          </w:p>
        </w:tc>
        <w:tc>
          <w:tcPr>
            <w:tcW w:type="dxa" w:w="1587"/>
            <w:shd w:val="clear" w:color="auto" w:fill="F2F4F7"/>
            <w:tcMar>
              <w:top w:w="60" w:type="dxa"/>
              <w:left w:w="110" w:type="dxa"/>
              <w:bottom w:w="60" w:type="dxa"/>
              <w:right w:w="110" w:type="dxa"/>
            </w:tcMar>
          </w:tcPr>
          <w:p>
            <w:pPr>
              <w:spacing w:before="0" w:after="0"/>
            </w:pPr>
            <w:r>
              <w:rPr>
                <w:rFonts w:ascii="Arial" w:hAnsi="Arial"/>
                <w:sz w:val="18"/>
              </w:rPr>
              <w:t>Mayo 2026</w:t>
            </w:r>
          </w:p>
        </w:tc>
        <w:tc>
          <w:tcPr>
            <w:tcW w:type="dxa" w:w="5783"/>
            <w:shd w:val="clear" w:color="auto" w:fill="F2F4F7"/>
            <w:tcMar>
              <w:top w:w="60" w:type="dxa"/>
              <w:left w:w="110" w:type="dxa"/>
              <w:bottom w:w="60" w:type="dxa"/>
              <w:right w:w="110" w:type="dxa"/>
            </w:tcMar>
          </w:tcPr>
          <w:p>
            <w:pPr>
              <w:spacing w:before="0" w:after="0"/>
            </w:pPr>
            <w:r>
              <w:rPr>
                <w:rFonts w:ascii="Arial" w:hAnsi="Arial"/>
                <w:sz w:val="18"/>
              </w:rPr>
              <w:t>Integración al ecosistema Pentacore. Nuevo criterio de salida de Fase 2 (correo bidireccional y SLA medido desde la app) y, en Fase 4, despliegue del 10.º schema audiencia con operaciones digitales activas y fidelización.</w:t>
            </w:r>
          </w:p>
        </w:tc>
      </w:tr>
    </w:tbl>
    <w:p>
      <w:pPr>
        <w:spacing w:after="4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A4A4A"/>
        <w:sz w:val="16"/>
      </w:rPr>
      <w:t>SEGUROS AEGIS · Aegis Execution Roadmap · Pentacore · v1.0 · Confidencial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B3A6B"/>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2E5F9E"/>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B3A6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