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2E5F9E"/>
          <w:sz w:val="24"/>
        </w:rPr>
        <w:t>DOCUMENTO 1 DE 5 · EL MANIFIESTO Y ARCHIVO HUMANO</w:t>
      </w:r>
    </w:p>
    <w:p>
      <w:pPr>
        <w:jc w:val="center"/>
      </w:pPr>
      <w:r>
        <w:rPr>
          <w:rFonts w:ascii="Arial" w:hAnsi="Arial"/>
          <w:b/>
          <w:color w:val="1B3A6B"/>
          <w:sz w:val="60"/>
        </w:rPr>
        <w:t>Aegis Libro de Vida</w:t>
      </w:r>
    </w:p>
    <w:p>
      <w:pPr>
        <w:jc w:val="center"/>
      </w:pPr>
      <w:r>
        <w:rPr>
          <w:i/>
          <w:color w:val="4A4A4A"/>
          <w:sz w:val="28"/>
        </w:rPr>
        <w:t>Manifiesto y Archivo Humano de Seguros Aegis</w:t>
      </w:r>
    </w:p>
    <w:p>
      <w:pPr>
        <w:pBdr>
          <w:bottom w:val="single" w:sz="10" w:space="1" w:color="2E5F9E"/>
        </w:pBdr>
        <w:spacing w:before="0" w:after="0"/>
      </w:pPr>
    </w:p>
    <w:p>
      <w:pPr>
        <w:jc w:val="center"/>
      </w:pPr>
      <w:r>
        <w:rPr>
          <w:b w:val="0"/>
          <w:i w:val="0"/>
          <w:sz w:val="22"/>
        </w:rPr>
        <w:t>El Origen y la Forja · Archivo Vivo de la Familia Fundadora · La Raíz Humana de las Reglas Inmutables</w:t>
      </w:r>
    </w:p>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POSICIÓN EN LA ARQUITECTURA AEGIS</w:t>
            </w:r>
          </w:p>
          <w:p>
            <w:pPr>
              <w:spacing w:before="60" w:after="0"/>
            </w:pPr>
            <w:r>
              <w:rPr>
                <w:rFonts w:ascii="Arial" w:hAnsi="Arial"/>
                <w:sz w:val="20"/>
              </w:rPr>
              <w:t>Primer pilar del ecosistema Aegis Pentacore. Mientras el Corporate OS fija las reglas y la tríada dinámica las ejecuta, este documento guarda el porqué: la historia, las personas y las decisiones que dieron forma a la empresa. Es un archivo vivo y escalable, pensado para crecer con cada nuevo hito y cada digitalización de la memoria familiar. Aquí se entiende de dónde vienen los principios; en los otros cuatro motores, cómo se aplican.</w:t>
            </w:r>
          </w:p>
        </w:tc>
      </w:tr>
    </w:tbl>
    <w:p>
      <w:pPr>
        <w:spacing w:after="40"/>
      </w:pPr>
    </w:p>
    <w:p/>
    <w:p>
      <w:pPr>
        <w:jc w:val="center"/>
      </w:pPr>
      <w:r>
        <w:rPr>
          <w:b/>
          <w:i w:val="0"/>
          <w:color w:val="1B3A6B"/>
        </w:rPr>
        <w:t>SEGUROS AEGIS · Corredora de Seguros · Chile</w:t>
      </w:r>
    </w:p>
    <w:p>
      <w:pPr>
        <w:jc w:val="center"/>
      </w:pPr>
      <w:r>
        <w:rPr>
          <w:b w:val="0"/>
          <w:i w:val="0"/>
          <w:color w:val="4A4A4A"/>
          <w:sz w:val="20"/>
        </w:rPr>
        <w:t>Versión 1.0 · Pentacore · Mayo 2026</w:t>
      </w:r>
    </w:p>
    <w:p>
      <w:pPr>
        <w:jc w:val="center"/>
      </w:pPr>
      <w:r>
        <w:rPr>
          <w:b/>
          <w:i w:val="0"/>
          <w:color w:val="C0392B"/>
          <w:sz w:val="18"/>
        </w:rPr>
        <w:t>CONFIDENCIAL · Documento de uso interno exclusivo</w:t>
      </w:r>
    </w:p>
    <w:p>
      <w:r>
        <w:br w:type="page"/>
      </w:r>
    </w:p>
    <w:p>
      <w:pPr>
        <w:pStyle w:val="Heading1"/>
      </w:pPr>
      <w:r>
        <w:t>Índice de Contenidos</w:t>
      </w:r>
    </w:p>
    <w:p>
      <w:pPr>
        <w:spacing w:before="100" w:after="60"/>
      </w:pPr>
      <w:r>
        <w:rPr>
          <w:rFonts w:ascii="Arial" w:hAnsi="Arial"/>
          <w:b/>
          <w:color w:val="1B3A6B"/>
          <w:sz w:val="22"/>
        </w:rPr>
        <w:t>Preámbulo — Qué es el Libro de Vida</w:t>
      </w:r>
    </w:p>
    <w:p>
      <w:pPr>
        <w:spacing w:before="100" w:after="60"/>
      </w:pPr>
      <w:r>
        <w:rPr>
          <w:rFonts w:ascii="Arial" w:hAnsi="Arial"/>
          <w:b/>
          <w:color w:val="1B3A6B"/>
          <w:sz w:val="22"/>
        </w:rPr>
        <w:t>Capítulo I — El Origen y la Forja</w:t>
      </w:r>
    </w:p>
    <w:p>
      <w:pPr>
        <w:spacing w:before="0" w:after="60"/>
        <w:ind w:left="454"/>
      </w:pPr>
      <w:r>
        <w:rPr>
          <w:rFonts w:ascii="Arial" w:hAnsi="Arial"/>
          <w:color w:val="4A4A4A"/>
          <w:sz w:val="20"/>
        </w:rPr>
        <w:t>I.1 Patricio y la Fundación (1982)</w:t>
      </w:r>
    </w:p>
    <w:p>
      <w:pPr>
        <w:spacing w:before="0" w:after="60"/>
        <w:ind w:left="454"/>
      </w:pPr>
      <w:r>
        <w:rPr>
          <w:rFonts w:ascii="Arial" w:hAnsi="Arial"/>
          <w:color w:val="4A4A4A"/>
          <w:sz w:val="20"/>
        </w:rPr>
        <w:t>I.2 La Segunda Generación</w:t>
      </w:r>
    </w:p>
    <w:p>
      <w:pPr>
        <w:spacing w:before="0" w:after="60"/>
        <w:ind w:left="454"/>
      </w:pPr>
      <w:r>
        <w:rPr>
          <w:rFonts w:ascii="Arial" w:hAnsi="Arial"/>
          <w:color w:val="4A4A4A"/>
          <w:sz w:val="20"/>
        </w:rPr>
        <w:t>I.3 El Quiebre: la Pandemia y el Robo de Cartera (2022)</w:t>
      </w:r>
    </w:p>
    <w:p>
      <w:pPr>
        <w:spacing w:before="0" w:after="60"/>
        <w:ind w:left="454"/>
      </w:pPr>
      <w:r>
        <w:rPr>
          <w:rFonts w:ascii="Arial" w:hAnsi="Arial"/>
          <w:color w:val="4A4A4A"/>
          <w:sz w:val="20"/>
        </w:rPr>
        <w:t>I.4 El Nacimiento de la Soberanía de Datos</w:t>
      </w:r>
    </w:p>
    <w:p>
      <w:pPr>
        <w:spacing w:before="100" w:after="60"/>
      </w:pPr>
      <w:r>
        <w:rPr>
          <w:rFonts w:ascii="Arial" w:hAnsi="Arial"/>
          <w:b/>
          <w:color w:val="1B3A6B"/>
          <w:sz w:val="22"/>
        </w:rPr>
        <w:t>Archivo Vivo — Línea de Tiempo</w:t>
      </w:r>
    </w:p>
    <w:p>
      <w:pPr>
        <w:spacing w:before="100" w:after="60"/>
      </w:pPr>
      <w:r>
        <w:rPr>
          <w:rFonts w:ascii="Arial" w:hAnsi="Arial"/>
          <w:b/>
          <w:color w:val="1B3A6B"/>
          <w:sz w:val="22"/>
        </w:rPr>
        <w:t>Cómo Crecer Este Libro</w:t>
      </w:r>
    </w:p>
    <w:p>
      <w:pPr>
        <w:spacing w:before="100" w:after="60"/>
      </w:pPr>
      <w:r>
        <w:rPr>
          <w:rFonts w:ascii="Arial" w:hAnsi="Arial"/>
          <w:b/>
          <w:color w:val="1B3A6B"/>
          <w:sz w:val="22"/>
        </w:rPr>
        <w:t>Control del Documento</w:t>
      </w:r>
    </w:p>
    <w:p>
      <w:r>
        <w:br w:type="page"/>
      </w:r>
    </w:p>
    <w:p>
      <w:pPr>
        <w:pStyle w:val="Heading1"/>
      </w:pPr>
      <w:r>
        <w:t>Preámbulo — Qué es el Libro de Vida</w:t>
      </w:r>
    </w:p>
    <w:p>
      <w:r>
        <w:rPr>
          <w:b w:val="0"/>
          <w:i w:val="0"/>
        </w:rPr>
        <w:t>El Libro de Vida es la memoria de Seguros Aegis. No define procesos ni metas: cuenta de dónde viene la empresa y por qué sostiene las reglas que la gobiernan. Su función es doble. Primero, preservar el relato y la identidad humana de la corredora, para que ninguna decisión importante se entienda como un capricho administrativo, sino como una respuesta a algo que la empresa ya vivió. Segundo, servir de archivo vivo: un lugar ordenado donde incorporar, con el tiempo, nuevos hitos y digitalizaciones de la historia familiar.</w:t>
      </w:r>
    </w:p>
    <w:p>
      <w:r>
        <w:rPr>
          <w:b w:val="0"/>
          <w:i w:val="0"/>
        </w:rPr>
        <w:t>Este documento es deliberadamente escalable. A lo largo del texto encontrará marcadores de posición —recuadros con el símbolo ⬚— que señalan dónde insertar, más adelante, fotografías históricas o nuevos episodios. Mientras esos espacios estén vacíos, el relato se sostiene por sí solo; cuando se llenen, el libro se hará más completo sin reescribirse.</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LUGAR EN LA ARQUITECTURA AEGIS</w:t>
            </w:r>
          </w:p>
          <w:p>
            <w:pPr>
              <w:spacing w:before="60" w:after="0"/>
            </w:pPr>
            <w:r>
              <w:rPr>
                <w:rFonts w:ascii="Arial" w:hAnsi="Arial"/>
                <w:sz w:val="20"/>
              </w:rPr>
              <w:t>El Libro de Vida es el Documento 1 del Pentacore. Es la raíz humana de la que nace, en particular, la regla de Soberanía de Datos del Corporate OS (§3.3). Cuenta el hecho; el Corporate OS fija la norma; la tríada (Commercial Playbook, Operational Plan y Execution Roadmap) la ejecuta. Este documento no cambia con la coyuntura: solo crece.</w:t>
            </w:r>
          </w:p>
        </w:tc>
      </w:tr>
    </w:tbl>
    <w:p>
      <w:pPr>
        <w:spacing w:after="40"/>
      </w:pPr>
    </w:p>
    <w:p>
      <w:r>
        <w:br w:type="page"/>
      </w:r>
    </w:p>
    <w:p>
      <w:pPr>
        <w:pStyle w:val="Heading1"/>
      </w:pPr>
      <w:r>
        <w:t>Capítulo I — El Origen y la Forja</w:t>
      </w:r>
    </w:p>
    <w:p>
      <w:r>
        <w:rPr>
          <w:b w:val="0"/>
          <w:i w:val="0"/>
        </w:rPr>
        <w:t>El corretaje de seguros es una actividad noble. Exige rigor profesional, obliga a dominar múltiples disciplinas y, por sobre todo, se fundamenta en conocer y proteger a las personas. La historia de Seguros Aegis nace de esa premisa, atraviesa una pérdida grave y termina convirtiendo esa pérdida en el principio que hoy gobierna a la empresa.</w:t>
      </w: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Fotografía Histórica: Retrato del fundador, Patricio, en los primeros años de la corredora]</w:t>
            </w:r>
          </w:p>
        </w:tc>
      </w:tr>
    </w:tbl>
    <w:p>
      <w:pPr>
        <w:spacing w:after="40"/>
      </w:pPr>
    </w:p>
    <w:p>
      <w:pPr>
        <w:pStyle w:val="Heading2"/>
      </w:pPr>
      <w:r>
        <w:t>I.1 Patricio y la Fundación (1982)</w:t>
      </w:r>
    </w:p>
    <w:p>
      <w:r>
        <w:rPr>
          <w:b w:val="0"/>
          <w:i w:val="0"/>
        </w:rPr>
        <w:t>Bajo esa premisa, Patricio inició su camino como corredor independiente en 1982. Comenzó trabajando desde su casa, en una era en la que no existían plataformas digitales ni correos electrónicos: la gestión se hacía en físico y el valor se construía caminando directamente hacia las compañías.</w:t>
      </w:r>
    </w:p>
    <w:p>
      <w:r>
        <w:rPr>
          <w:b w:val="0"/>
          <w:i w:val="0"/>
        </w:rPr>
        <w:t>Durante veinte años operó en solitario, sosteniendo a su familia y forjando una carrera intachable. De aquellos años viene el carácter de la marca: trato directo con las personas, palabra cumplida y la convicción de que la confianza es el único capital que de verdad importa en este oficio.</w:t>
      </w: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Fotografía Histórica: Primera oficina / documentos de la corredora en sus inicios]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Nuevo Hito: anécdotas, primeros clientes y reconocimientos de la primera generación]</w:t>
            </w:r>
          </w:p>
        </w:tc>
      </w:tr>
    </w:tbl>
    <w:p>
      <w:pPr>
        <w:spacing w:after="40"/>
      </w:pPr>
    </w:p>
    <w:p>
      <w:pPr>
        <w:pStyle w:val="Heading2"/>
      </w:pPr>
      <w:r>
        <w:t>I.2 La Segunda Generación</w:t>
      </w:r>
    </w:p>
    <w:p>
      <w:r>
        <w:rPr>
          <w:b w:val="0"/>
          <w:i w:val="0"/>
        </w:rPr>
        <w:t>Posteriormente, Patricio formó una sociedad que permitió dividir el trabajo y escalar la producción, pasando de oficinas compartidas a un lugar propio. Fue en esa época cuando la segunda generación se integró operativamente al negocio. Desde niño, el actual director conoció el corretaje desde la base de la pirámide: haciendo «el circuito» físico de entrega de documentos en las aseguradoras, depositando cheques y gestionando protocolos.</w:t>
      </w:r>
    </w:p>
    <w:p>
      <w:r>
        <w:rPr>
          <w:b w:val="0"/>
          <w:i w:val="0"/>
        </w:rPr>
        <w:t>Con el tiempo, la operación reveló una falla estructural. Aunque la sociedad utilizaba computadores, la mentalidad seguía siendo estrictamente análoga: miles de documentos PDF dispersos en carpetas aisladas, dependiendo de la memoria humana en lugar de un sistema de datos. Ante la resistencia interna para modernizar y eficientar el trabajo, los caminos se separaron temporalmente.</w:t>
      </w: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Fotografía Histórica: La segunda generación en «el circuito» / la oficina propia]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Nuevo Hito: hitos de la transición generacional]</w:t>
            </w:r>
          </w:p>
        </w:tc>
      </w:tr>
    </w:tbl>
    <w:p>
      <w:pPr>
        <w:spacing w:after="40"/>
      </w:pPr>
    </w:p>
    <w:p>
      <w:pPr>
        <w:pStyle w:val="Heading2"/>
      </w:pPr>
      <w:r>
        <w:t>I.3 El Quiebre: la Pandemia y el Robo de Cartera (2022)</w:t>
      </w:r>
    </w:p>
    <w:p>
      <w:r>
        <w:rPr>
          <w:b w:val="0"/>
          <w:i w:val="0"/>
        </w:rPr>
        <w:t>El punto de inflexión llegó en 2022. Patricio sufrió graves secuelas por Covid-19 y debió ser hospitalizado. Ante la urgencia, su hijo regresó para asumir la gestión completa de la empresa. Para evitar el colapso operativo, diseñó la primera iteración de lo que hoy se conoce como el Sistema de Gestión Aegis (SGA): una planilla centralizada que unificaba, por primera vez, la información dispersa de pólizas y cuotas.</w:t>
      </w:r>
    </w:p>
    <w:p>
      <w:r>
        <w:rPr>
          <w:b w:val="0"/>
          <w:i w:val="0"/>
        </w:rPr>
        <w:t>Sin embargo, esa eficiencia fue utilizada en contra de la familia. Antes de formalizar la separación de la sociedad, el entonces socio extrajo esa primera base de datos centralizada. Utilizando esa información, contactó a los clientes y, ocultando la separación, les hizo creer que la corredora simplemente había cambiado de nombre. Así se llevó consigo la inmensa mayoría de la cartera construida durante décadas.</w:t>
      </w:r>
    </w:p>
    <w:tbl>
      <w:tblPr>
        <w:tblStyle w:val="TableGrid"/>
        <w:tblW w:type="auto" w:w="0"/>
        <w:tblLook w:firstColumn="1" w:firstRow="1" w:lastColumn="0" w:lastRow="0" w:noHBand="0" w:noVBand="1" w:val="04A0"/>
      </w:tblPr>
      <w:tblGrid>
        <w:gridCol w:w="8640"/>
      </w:tblGrid>
      <w:tr>
        <w:tc>
          <w:tcPr>
            <w:tcW w:type="dxa" w:w="8640"/>
            <w:shd w:val="clear" w:color="auto" w:fill="FEF9E7"/>
            <w:tcMar>
              <w:top w:w="120" w:type="dxa"/>
              <w:left w:w="160" w:type="dxa"/>
              <w:bottom w:w="120" w:type="dxa"/>
              <w:right w:w="160" w:type="dxa"/>
            </w:tcMar>
          </w:tcPr>
          <w:p>
            <w:pPr>
              <w:spacing w:before="0" w:after="0"/>
            </w:pPr>
            <w:r>
              <w:rPr>
                <w:rFonts w:ascii="Arial" w:hAnsi="Arial"/>
                <w:b/>
                <w:color w:val="C0392B"/>
                <w:sz w:val="21"/>
              </w:rPr>
              <w:t>⚠ EL HECHO QUE LO CAMBIÓ TODO</w:t>
            </w:r>
          </w:p>
          <w:p>
            <w:pPr>
              <w:spacing w:before="60" w:after="0"/>
            </w:pPr>
            <w:r>
              <w:rPr>
                <w:rFonts w:ascii="Arial" w:hAnsi="Arial"/>
                <w:sz w:val="20"/>
              </w:rPr>
              <w:t>El robo de cartera de 2022 no se recuerda aquí por rencor, sino porque es el origen documentado de la regla más estricta de la empresa: la herramienta que centralizó los datos fue también la que, en manos equivocadas, permitió arrebatarlos. Lo que se perdió definió lo que, desde entonces, jamás volverá a quedar expuesto.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Nuevo Hito: detalles, fechas y aprendizajes del proceso de reconstrucción posterior a 2022]</w:t>
            </w:r>
          </w:p>
        </w:tc>
      </w:tr>
    </w:tbl>
    <w:p>
      <w:pPr>
        <w:spacing w:after="40"/>
      </w:pPr>
    </w:p>
    <w:p>
      <w:pPr>
        <w:pStyle w:val="Heading2"/>
      </w:pPr>
      <w:r>
        <w:t>I.4 El Nacimiento de la Soberanía de Datos</w:t>
      </w:r>
    </w:p>
    <w:p>
      <w:r>
        <w:rPr>
          <w:b w:val="0"/>
          <w:i w:val="0"/>
        </w:rPr>
        <w:t>Se vive y se aprende. Esa pérdida no fue el final, sino el verdadero origen de Seguros Aegis. La lección fue dura y se grabó en el núcleo de la nueva empresa: los datos son el activo más crítico y deben blindarse.</w:t>
      </w:r>
    </w:p>
    <w:p>
      <w:r>
        <w:rPr>
          <w:b w:val="0"/>
          <w:i w:val="0"/>
        </w:rPr>
        <w:t>Con Patricio retirado de la actividad debido a complicaciones oncológicas y respiratorias crónicas, la familia cerró filas. Se fundó la actual sociedad, con su esposa asumiendo el rol constitutivo y su hijo obteniendo el código oficial de corredor ante la Comisión para el Mercado Financiero.</w:t>
      </w:r>
    </w:p>
    <w:p>
      <w:r>
        <w:rPr>
          <w:b w:val="0"/>
          <w:i w:val="0"/>
        </w:rPr>
        <w:t>Hoy, la extrema rigurosidad de nuestro Corporate OS y la arquitectura de nuestro software no son un capricho. Son la materialización de la «Égida», el escudo protector. Nacieron de nuestra propia historia para garantizar que la protección del cliente y la soberanía de nuestra operación jamás vuelvan a quedar expuestas.</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DE LA PÉRDIDA A LA LEY INTERNA</w:t>
            </w:r>
          </w:p>
          <w:p>
            <w:pPr>
              <w:spacing w:before="60" w:after="0"/>
            </w:pPr>
            <w:r>
              <w:rPr>
                <w:rFonts w:ascii="Arial" w:hAnsi="Arial"/>
                <w:sz w:val="20"/>
              </w:rPr>
              <w:t>La Soberanía de Datos —principio inmutable del Corporate OS §3.3— se entiende por completo solo leyendo este capítulo. Es la cicatriz convertida en regla: los datos de Aegis son un activo propio e inalienable, bajo control directo de la empresa, siempre. La «Égida» que da nombre a la corredora es, antes que un símbolo, una decisión nacida de esta historia.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Fotografía Histórica: La empresa tras la refundación; el equipo actual]</w:t>
            </w:r>
          </w:p>
        </w:tc>
      </w:tr>
    </w:tbl>
    <w:p>
      <w:pPr>
        <w:spacing w:after="40"/>
      </w:pPr>
    </w:p>
    <w:p>
      <w:r>
        <w:br w:type="page"/>
      </w:r>
    </w:p>
    <w:p>
      <w:pPr>
        <w:pStyle w:val="Heading1"/>
      </w:pPr>
      <w:r>
        <w:t>Archivo Vivo — Línea de Tiempo</w:t>
      </w:r>
    </w:p>
    <w:p>
      <w:r>
        <w:rPr>
          <w:b w:val="0"/>
          <w:i w:val="0"/>
        </w:rPr>
        <w:t>Esta línea de tiempo resume los hitos registrados hasta hoy y deja espacio explícito para los que vendrán. Cada vez que ocurra un hito relevante —una nueva alianza, un logro, un cambio estructural— se agrega aquí una fila y, si corresponde, un nuevo apartado en el capítulo respectivo.</w:t>
      </w:r>
    </w:p>
    <w:tbl>
      <w:tblPr>
        <w:tblStyle w:val="TableGrid"/>
        <w:tblW w:type="auto" w:w="0"/>
        <w:jc w:val="center"/>
        <w:tblLook w:firstColumn="1" w:firstRow="1" w:lastColumn="0" w:lastRow="0" w:noHBand="0" w:noVBand="1" w:val="04A0"/>
      </w:tblPr>
      <w:tblGrid>
        <w:gridCol w:w="2880"/>
        <w:gridCol w:w="2880"/>
        <w:gridCol w:w="2880"/>
      </w:tblGrid>
      <w:tr>
        <w:tc>
          <w:tcPr>
            <w:tcW w:type="dxa" w:w="907"/>
            <w:shd w:val="clear" w:color="auto" w:fill="1B3A6B"/>
            <w:tcMar>
              <w:top w:w="60" w:type="dxa"/>
              <w:left w:w="110" w:type="dxa"/>
              <w:bottom w:w="60" w:type="dxa"/>
              <w:right w:w="110" w:type="dxa"/>
            </w:tcMar>
          </w:tcPr>
          <w:p>
            <w:pPr>
              <w:spacing w:before="0" w:after="0"/>
            </w:pPr>
            <w:r>
              <w:rPr>
                <w:rFonts w:ascii="Arial" w:hAnsi="Arial"/>
                <w:b/>
                <w:color w:val="FFFFFF"/>
                <w:sz w:val="17"/>
              </w:rPr>
              <w:t>Año</w:t>
            </w:r>
          </w:p>
        </w:tc>
        <w:tc>
          <w:tcPr>
            <w:tcW w:type="dxa" w:w="3742"/>
            <w:shd w:val="clear" w:color="auto" w:fill="1B3A6B"/>
            <w:tcMar>
              <w:top w:w="60" w:type="dxa"/>
              <w:left w:w="110" w:type="dxa"/>
              <w:bottom w:w="60" w:type="dxa"/>
              <w:right w:w="110" w:type="dxa"/>
            </w:tcMar>
          </w:tcPr>
          <w:p>
            <w:pPr>
              <w:spacing w:before="0" w:after="0"/>
            </w:pPr>
            <w:r>
              <w:rPr>
                <w:rFonts w:ascii="Arial" w:hAnsi="Arial"/>
                <w:b/>
                <w:color w:val="FFFFFF"/>
                <w:sz w:val="17"/>
              </w:rPr>
              <w:t>Hito</w:t>
            </w:r>
          </w:p>
        </w:tc>
        <w:tc>
          <w:tcPr>
            <w:tcW w:type="dxa" w:w="3855"/>
            <w:shd w:val="clear" w:color="auto" w:fill="1B3A6B"/>
            <w:tcMar>
              <w:top w:w="60" w:type="dxa"/>
              <w:left w:w="110" w:type="dxa"/>
              <w:bottom w:w="60" w:type="dxa"/>
              <w:right w:w="110" w:type="dxa"/>
            </w:tcMar>
          </w:tcPr>
          <w:p>
            <w:pPr>
              <w:spacing w:before="0" w:after="0"/>
            </w:pPr>
            <w:r>
              <w:rPr>
                <w:rFonts w:ascii="Arial" w:hAnsi="Arial"/>
                <w:b/>
                <w:color w:val="FFFFFF"/>
                <w:sz w:val="17"/>
              </w:rPr>
              <w:t>Significado para Aegis</w:t>
            </w:r>
          </w:p>
        </w:tc>
      </w:tr>
      <w:tr>
        <w:tc>
          <w:tcPr>
            <w:tcW w:type="dxa" w:w="907"/>
            <w:tcMar>
              <w:top w:w="60" w:type="dxa"/>
              <w:left w:w="110" w:type="dxa"/>
              <w:bottom w:w="60" w:type="dxa"/>
              <w:right w:w="110" w:type="dxa"/>
            </w:tcMar>
          </w:tcPr>
          <w:p>
            <w:pPr>
              <w:spacing w:before="0" w:after="0"/>
            </w:pPr>
            <w:r>
              <w:rPr>
                <w:rFonts w:ascii="Arial" w:hAnsi="Arial"/>
                <w:b/>
                <w:sz w:val="17"/>
              </w:rPr>
              <w:t>1982</w:t>
            </w:r>
          </w:p>
        </w:tc>
        <w:tc>
          <w:tcPr>
            <w:tcW w:type="dxa" w:w="3742"/>
            <w:tcMar>
              <w:top w:w="60" w:type="dxa"/>
              <w:left w:w="110" w:type="dxa"/>
              <w:bottom w:w="60" w:type="dxa"/>
              <w:right w:w="110" w:type="dxa"/>
            </w:tcMar>
          </w:tcPr>
          <w:p>
            <w:pPr>
              <w:spacing w:before="0" w:after="0"/>
            </w:pPr>
            <w:r>
              <w:rPr>
                <w:rFonts w:ascii="Arial" w:hAnsi="Arial"/>
                <w:sz w:val="17"/>
              </w:rPr>
              <w:t>Patricio inicia como corredor independiente, trabajando desde su casa</w:t>
            </w:r>
          </w:p>
        </w:tc>
        <w:tc>
          <w:tcPr>
            <w:tcW w:type="dxa" w:w="3855"/>
            <w:tcMar>
              <w:top w:w="60" w:type="dxa"/>
              <w:left w:w="110" w:type="dxa"/>
              <w:bottom w:w="60" w:type="dxa"/>
              <w:right w:w="110" w:type="dxa"/>
            </w:tcMar>
          </w:tcPr>
          <w:p>
            <w:pPr>
              <w:spacing w:before="0" w:after="0"/>
            </w:pPr>
            <w:r>
              <w:rPr>
                <w:rFonts w:ascii="Arial" w:hAnsi="Arial"/>
                <w:sz w:val="17"/>
              </w:rPr>
              <w:t>Nacimiento del oficio y del carácter de la marca; gestión 100% física.</w:t>
            </w:r>
          </w:p>
        </w:tc>
      </w:tr>
      <w:tr>
        <w:tc>
          <w:tcPr>
            <w:tcW w:type="dxa" w:w="907"/>
            <w:shd w:val="clear" w:color="auto" w:fill="F2F4F7"/>
            <w:tcMar>
              <w:top w:w="60" w:type="dxa"/>
              <w:left w:w="110" w:type="dxa"/>
              <w:bottom w:w="60" w:type="dxa"/>
              <w:right w:w="110" w:type="dxa"/>
            </w:tcMar>
          </w:tcPr>
          <w:p>
            <w:pPr>
              <w:spacing w:before="0" w:after="0"/>
            </w:pPr>
            <w:r>
              <w:rPr>
                <w:rFonts w:ascii="Arial" w:hAnsi="Arial"/>
                <w:b/>
                <w:sz w:val="17"/>
              </w:rPr>
              <w:t>~2002</w:t>
            </w:r>
          </w:p>
        </w:tc>
        <w:tc>
          <w:tcPr>
            <w:tcW w:type="dxa" w:w="3742"/>
            <w:shd w:val="clear" w:color="auto" w:fill="F2F4F7"/>
            <w:tcMar>
              <w:top w:w="60" w:type="dxa"/>
              <w:left w:w="110" w:type="dxa"/>
              <w:bottom w:w="60" w:type="dxa"/>
              <w:right w:w="110" w:type="dxa"/>
            </w:tcMar>
          </w:tcPr>
          <w:p>
            <w:pPr>
              <w:spacing w:before="0" w:after="0"/>
            </w:pPr>
            <w:r>
              <w:rPr>
                <w:rFonts w:ascii="Arial" w:hAnsi="Arial"/>
                <w:sz w:val="17"/>
              </w:rPr>
              <w:t>Formación de la sociedad e integración operativa de la segunda generación</w:t>
            </w:r>
          </w:p>
        </w:tc>
        <w:tc>
          <w:tcPr>
            <w:tcW w:type="dxa" w:w="3855"/>
            <w:shd w:val="clear" w:color="auto" w:fill="F2F4F7"/>
            <w:tcMar>
              <w:top w:w="60" w:type="dxa"/>
              <w:left w:w="110" w:type="dxa"/>
              <w:bottom w:w="60" w:type="dxa"/>
              <w:right w:w="110" w:type="dxa"/>
            </w:tcMar>
          </w:tcPr>
          <w:p>
            <w:pPr>
              <w:spacing w:before="0" w:after="0"/>
            </w:pPr>
            <w:r>
              <w:rPr>
                <w:rFonts w:ascii="Arial" w:hAnsi="Arial"/>
                <w:sz w:val="17"/>
              </w:rPr>
              <w:t>Escalamiento del negocio; el actual director aprende el oficio desde la base («el circuito»).</w:t>
            </w:r>
          </w:p>
        </w:tc>
      </w:tr>
      <w:tr>
        <w:tc>
          <w:tcPr>
            <w:tcW w:type="dxa" w:w="907"/>
            <w:tcMar>
              <w:top w:w="60" w:type="dxa"/>
              <w:left w:w="110" w:type="dxa"/>
              <w:bottom w:w="60" w:type="dxa"/>
              <w:right w:w="110" w:type="dxa"/>
            </w:tcMar>
          </w:tcPr>
          <w:p>
            <w:pPr>
              <w:spacing w:before="0" w:after="0"/>
            </w:pPr>
            <w:r>
              <w:rPr>
                <w:rFonts w:ascii="Arial" w:hAnsi="Arial"/>
                <w:b/>
                <w:sz w:val="17"/>
              </w:rPr>
              <w:t>2022</w:t>
            </w:r>
          </w:p>
        </w:tc>
        <w:tc>
          <w:tcPr>
            <w:tcW w:type="dxa" w:w="3742"/>
            <w:tcMar>
              <w:top w:w="60" w:type="dxa"/>
              <w:left w:w="110" w:type="dxa"/>
              <w:bottom w:w="60" w:type="dxa"/>
              <w:right w:w="110" w:type="dxa"/>
            </w:tcMar>
          </w:tcPr>
          <w:p>
            <w:pPr>
              <w:spacing w:before="0" w:after="0"/>
            </w:pPr>
            <w:r>
              <w:rPr>
                <w:rFonts w:ascii="Arial" w:hAnsi="Arial"/>
                <w:sz w:val="17"/>
              </w:rPr>
              <w:t>Hospitalización de Patricio por Covid-19; el hijo asume la gestión y crea la primera planilla-SGA</w:t>
            </w:r>
          </w:p>
        </w:tc>
        <w:tc>
          <w:tcPr>
            <w:tcW w:type="dxa" w:w="3855"/>
            <w:tcMar>
              <w:top w:w="60" w:type="dxa"/>
              <w:left w:w="110" w:type="dxa"/>
              <w:bottom w:w="60" w:type="dxa"/>
              <w:right w:w="110" w:type="dxa"/>
            </w:tcMar>
          </w:tcPr>
          <w:p>
            <w:pPr>
              <w:spacing w:before="0" w:after="0"/>
            </w:pPr>
            <w:r>
              <w:rPr>
                <w:rFonts w:ascii="Arial" w:hAnsi="Arial"/>
                <w:sz w:val="17"/>
              </w:rPr>
              <w:t>Primera centralización de la información dispersa de pólizas y cuotas.</w:t>
            </w:r>
          </w:p>
        </w:tc>
      </w:tr>
      <w:tr>
        <w:tc>
          <w:tcPr>
            <w:tcW w:type="dxa" w:w="907"/>
            <w:shd w:val="clear" w:color="auto" w:fill="F2F4F7"/>
            <w:tcMar>
              <w:top w:w="60" w:type="dxa"/>
              <w:left w:w="110" w:type="dxa"/>
              <w:bottom w:w="60" w:type="dxa"/>
              <w:right w:w="110" w:type="dxa"/>
            </w:tcMar>
          </w:tcPr>
          <w:p>
            <w:pPr>
              <w:spacing w:before="0" w:after="0"/>
            </w:pPr>
            <w:r>
              <w:rPr>
                <w:rFonts w:ascii="Arial" w:hAnsi="Arial"/>
                <w:b/>
                <w:sz w:val="17"/>
              </w:rPr>
              <w:t>2022</w:t>
            </w:r>
          </w:p>
        </w:tc>
        <w:tc>
          <w:tcPr>
            <w:tcW w:type="dxa" w:w="3742"/>
            <w:shd w:val="clear" w:color="auto" w:fill="F2F4F7"/>
            <w:tcMar>
              <w:top w:w="60" w:type="dxa"/>
              <w:left w:w="110" w:type="dxa"/>
              <w:bottom w:w="60" w:type="dxa"/>
              <w:right w:w="110" w:type="dxa"/>
            </w:tcMar>
          </w:tcPr>
          <w:p>
            <w:pPr>
              <w:spacing w:before="0" w:after="0"/>
            </w:pPr>
            <w:r>
              <w:rPr>
                <w:rFonts w:ascii="Arial" w:hAnsi="Arial"/>
                <w:sz w:val="17"/>
              </w:rPr>
              <w:t>Extracción de la base centralizada por el socio y robo de la mayoría de la cartera</w:t>
            </w:r>
          </w:p>
        </w:tc>
        <w:tc>
          <w:tcPr>
            <w:tcW w:type="dxa" w:w="3855"/>
            <w:shd w:val="clear" w:color="auto" w:fill="F2F4F7"/>
            <w:tcMar>
              <w:top w:w="60" w:type="dxa"/>
              <w:left w:w="110" w:type="dxa"/>
              <w:bottom w:w="60" w:type="dxa"/>
              <w:right w:w="110" w:type="dxa"/>
            </w:tcMar>
          </w:tcPr>
          <w:p>
            <w:pPr>
              <w:spacing w:before="0" w:after="0"/>
            </w:pPr>
            <w:r>
              <w:rPr>
                <w:rFonts w:ascii="Arial" w:hAnsi="Arial"/>
                <w:sz w:val="17"/>
              </w:rPr>
              <w:t>El golpe que obligó a refundar la empresa sobre un principio.</w:t>
            </w:r>
          </w:p>
        </w:tc>
      </w:tr>
      <w:tr>
        <w:tc>
          <w:tcPr>
            <w:tcW w:type="dxa" w:w="907"/>
            <w:tcMar>
              <w:top w:w="60" w:type="dxa"/>
              <w:left w:w="110" w:type="dxa"/>
              <w:bottom w:w="60" w:type="dxa"/>
              <w:right w:w="110" w:type="dxa"/>
            </w:tcMar>
          </w:tcPr>
          <w:p>
            <w:pPr>
              <w:spacing w:before="0" w:after="0"/>
            </w:pPr>
            <w:r>
              <w:rPr>
                <w:rFonts w:ascii="Arial" w:hAnsi="Arial"/>
                <w:b/>
                <w:sz w:val="17"/>
              </w:rPr>
              <w:t>2022+</w:t>
            </w:r>
          </w:p>
        </w:tc>
        <w:tc>
          <w:tcPr>
            <w:tcW w:type="dxa" w:w="3742"/>
            <w:tcMar>
              <w:top w:w="60" w:type="dxa"/>
              <w:left w:w="110" w:type="dxa"/>
              <w:bottom w:w="60" w:type="dxa"/>
              <w:right w:w="110" w:type="dxa"/>
            </w:tcMar>
          </w:tcPr>
          <w:p>
            <w:pPr>
              <w:spacing w:before="0" w:after="0"/>
            </w:pPr>
            <w:r>
              <w:rPr>
                <w:rFonts w:ascii="Arial" w:hAnsi="Arial"/>
                <w:sz w:val="17"/>
              </w:rPr>
              <w:t>Refundación: nueva sociedad (esposa en rol constitutivo; hijo con código CMF) y nacimiento de la Soberanía de Datos</w:t>
            </w:r>
          </w:p>
        </w:tc>
        <w:tc>
          <w:tcPr>
            <w:tcW w:type="dxa" w:w="3855"/>
            <w:tcMar>
              <w:top w:w="60" w:type="dxa"/>
              <w:left w:w="110" w:type="dxa"/>
              <w:bottom w:w="60" w:type="dxa"/>
              <w:right w:w="110" w:type="dxa"/>
            </w:tcMar>
          </w:tcPr>
          <w:p>
            <w:pPr>
              <w:spacing w:before="0" w:after="0"/>
            </w:pPr>
            <w:r>
              <w:rPr>
                <w:rFonts w:ascii="Arial" w:hAnsi="Arial"/>
                <w:sz w:val="17"/>
              </w:rPr>
              <w:t>Los datos, activo crítico, nunca más fuera del control directo de Aegis.</w:t>
            </w:r>
          </w:p>
        </w:tc>
      </w:tr>
      <w:tr>
        <w:tc>
          <w:tcPr>
            <w:tcW w:type="dxa" w:w="907"/>
            <w:shd w:val="clear" w:color="auto" w:fill="F2F4F7"/>
            <w:tcMar>
              <w:top w:w="60" w:type="dxa"/>
              <w:left w:w="110" w:type="dxa"/>
              <w:bottom w:w="60" w:type="dxa"/>
              <w:right w:w="110" w:type="dxa"/>
            </w:tcMar>
          </w:tcPr>
          <w:p>
            <w:pPr>
              <w:spacing w:before="0" w:after="0"/>
            </w:pPr>
            <w:r>
              <w:rPr>
                <w:rFonts w:ascii="Arial" w:hAnsi="Arial"/>
                <w:b/>
                <w:sz w:val="17"/>
              </w:rPr>
              <w:t>2026</w:t>
            </w:r>
          </w:p>
        </w:tc>
        <w:tc>
          <w:tcPr>
            <w:tcW w:type="dxa" w:w="3742"/>
            <w:shd w:val="clear" w:color="auto" w:fill="F2F4F7"/>
            <w:tcMar>
              <w:top w:w="60" w:type="dxa"/>
              <w:left w:w="110" w:type="dxa"/>
              <w:bottom w:w="60" w:type="dxa"/>
              <w:right w:w="110" w:type="dxa"/>
            </w:tcMar>
          </w:tcPr>
          <w:p>
            <w:pPr>
              <w:spacing w:before="0" w:after="0"/>
            </w:pPr>
            <w:r>
              <w:rPr>
                <w:rFonts w:ascii="Arial" w:hAnsi="Arial"/>
                <w:sz w:val="17"/>
              </w:rPr>
              <w:t>Consolidación documental — Ecosistema Pentacore</w:t>
            </w:r>
          </w:p>
        </w:tc>
        <w:tc>
          <w:tcPr>
            <w:tcW w:type="dxa" w:w="3855"/>
            <w:shd w:val="clear" w:color="auto" w:fill="F2F4F7"/>
            <w:tcMar>
              <w:top w:w="60" w:type="dxa"/>
              <w:left w:w="110" w:type="dxa"/>
              <w:bottom w:w="60" w:type="dxa"/>
              <w:right w:w="110" w:type="dxa"/>
            </w:tcMar>
          </w:tcPr>
          <w:p>
            <w:pPr>
              <w:spacing w:before="0" w:after="0"/>
            </w:pPr>
            <w:r>
              <w:rPr>
                <w:rFonts w:ascii="Arial" w:hAnsi="Arial"/>
                <w:sz w:val="17"/>
              </w:rPr>
              <w:t>La empresa ordena su memoria, su identidad, su estrategia y su tecnología en cinco motores.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2F4F7"/>
            <w:tcMar>
              <w:top w:w="90" w:type="dxa"/>
              <w:left w:w="140" w:type="dxa"/>
              <w:bottom w:w="90" w:type="dxa"/>
              <w:right w:w="140" w:type="dxa"/>
            </w:tcMar>
          </w:tcPr>
          <w:p>
            <w:pPr>
              <w:spacing w:before="0" w:after="0"/>
            </w:pPr>
            <w:r>
              <w:rPr>
                <w:rFonts w:ascii="Arial" w:hAnsi="Arial"/>
                <w:i/>
                <w:color w:val="4A4A4A"/>
                <w:sz w:val="19"/>
              </w:rPr>
              <w:t>⬚  [Insertar Nuevo Hito: nueva fila de la línea de tiempo]</w:t>
            </w:r>
          </w:p>
        </w:tc>
      </w:tr>
    </w:tbl>
    <w:p>
      <w:pPr>
        <w:spacing w:after="40"/>
      </w:pPr>
    </w:p>
    <w:p>
      <w:r>
        <w:br w:type="page"/>
      </w:r>
    </w:p>
    <w:p>
      <w:pPr>
        <w:pStyle w:val="Heading1"/>
      </w:pPr>
      <w:r>
        <w:t>Cómo Crecer Este Libro</w:t>
      </w:r>
    </w:p>
    <w:p>
      <w:r>
        <w:rPr>
          <w:b w:val="0"/>
          <w:i w:val="0"/>
        </w:rPr>
        <w:t>El Libro de Vida está hecho para ampliarse sin perder coherencia. Reglas simples para mantenerlo ordenado a medida que crece:</w:t>
      </w:r>
    </w:p>
    <w:p>
      <w:pPr>
        <w:pStyle w:val="ListBullet"/>
      </w:pPr>
      <w:r>
        <w:rPr>
          <w:b/>
        </w:rPr>
        <w:t xml:space="preserve">Capítulos — </w:t>
      </w:r>
      <w:r>
        <w:t>cada episodio nuevo se incorpora como un capítulo o un apartado, en orden cronológico, respetando el tono claro y directo del resto del documento.</w:t>
      </w:r>
    </w:p>
    <w:p>
      <w:pPr>
        <w:pStyle w:val="ListBullet"/>
      </w:pPr>
      <w:r>
        <w:rPr>
          <w:b/>
        </w:rPr>
        <w:t xml:space="preserve">Fotografías — </w:t>
      </w:r>
      <w:r>
        <w:t>las imágenes se insertan reemplazando un marcador ⬚ [Insertar Fotografía Histórica], conservando una breve descripción y, cuando se sepa, la fecha.</w:t>
      </w:r>
    </w:p>
    <w:p>
      <w:pPr>
        <w:pStyle w:val="ListBullet"/>
      </w:pPr>
      <w:r>
        <w:rPr>
          <w:b/>
        </w:rPr>
        <w:t xml:space="preserve">Hitos — </w:t>
      </w:r>
      <w:r>
        <w:t>los acontecimientos relevantes se registran reemplazando un marcador ⬚ [Insertar Nuevo Hito] y, si corresponde, agregando una fila a la línea de tiempo.</w:t>
      </w:r>
    </w:p>
    <w:p>
      <w:pPr>
        <w:pStyle w:val="ListBullet"/>
      </w:pPr>
      <w:r>
        <w:rPr>
          <w:b/>
        </w:rPr>
        <w:t xml:space="preserve">Sin reglas operativas — </w:t>
      </w:r>
      <w:r>
        <w:t>este documento narra y preserva; no fija reglas operativas. Si un episodio da origen a una norma nueva, la norma vive en el Corporate OS y aquí solo se cuenta su origen.</w:t>
      </w:r>
    </w:p>
    <w:tbl>
      <w:tblPr>
        <w:tblStyle w:val="TableGrid"/>
        <w:tblW w:type="auto" w:w="0"/>
        <w:tblLook w:firstColumn="1" w:firstRow="1" w:lastColumn="0" w:lastRow="0" w:noHBand="0" w:noVBand="1" w:val="04A0"/>
      </w:tblPr>
      <w:tblGrid>
        <w:gridCol w:w="8640"/>
      </w:tblGrid>
      <w:tr>
        <w:tc>
          <w:tcPr>
            <w:tcW w:type="dxa" w:w="8640"/>
            <w:shd w:val="clear" w:color="auto" w:fill="D5E8F5"/>
            <w:tcMar>
              <w:top w:w="120" w:type="dxa"/>
              <w:left w:w="160" w:type="dxa"/>
              <w:bottom w:w="120" w:type="dxa"/>
              <w:right w:w="160" w:type="dxa"/>
            </w:tcMar>
          </w:tcPr>
          <w:p>
            <w:pPr>
              <w:spacing w:before="0" w:after="0"/>
            </w:pPr>
            <w:r>
              <w:rPr>
                <w:rFonts w:ascii="Arial" w:hAnsi="Arial"/>
                <w:b/>
                <w:color w:val="1B3A6B"/>
                <w:sz w:val="21"/>
              </w:rPr>
              <w:t>📖 REGLA DEL ARCHIVO</w:t>
            </w:r>
          </w:p>
          <w:p>
            <w:pPr>
              <w:spacing w:before="60" w:after="0"/>
            </w:pPr>
            <w:r>
              <w:rPr>
                <w:rFonts w:ascii="Arial" w:hAnsi="Arial"/>
                <w:sz w:val="20"/>
              </w:rPr>
              <w:t>El Libro de Vida puede crecer indefinidamente, pero su naturaleza no cambia: es memoria e identidad. No contiene metas, tácticas ni especificaciones técnicas; esas viven en los otros cuatro motores del Pentacore.</w:t>
            </w:r>
          </w:p>
        </w:tc>
      </w:tr>
    </w:tbl>
    <w:p>
      <w:pPr>
        <w:spacing w:after="40"/>
      </w:pPr>
    </w:p>
    <w:p>
      <w:r>
        <w:br w:type="page"/>
      </w:r>
    </w:p>
    <w:p>
      <w:pPr>
        <w:pStyle w:val="Heading1"/>
      </w:pPr>
      <w:r>
        <w:t>Control del Documento</w:t>
      </w:r>
    </w:p>
    <w:p>
      <w:r>
        <w:rPr>
          <w:b w:val="0"/>
          <w:i w:val="0"/>
        </w:rPr>
        <w:t>Documento fundacional (v1.0) del Libro de Vida, primer pilar del ecosistema Aegis Pentacore. Es un archivo vivo: crece con nuevos capítulos, hitos y fotografías, manteniendo intacto su carácter de manifiesto y memoria.</w:t>
      </w:r>
    </w:p>
    <w:tbl>
      <w:tblPr>
        <w:tblStyle w:val="TableGrid"/>
        <w:tblW w:type="auto" w:w="0"/>
        <w:jc w:val="center"/>
        <w:tblLook w:firstColumn="1" w:firstRow="1" w:lastColumn="0" w:lastRow="0" w:noHBand="0" w:noVBand="1" w:val="04A0"/>
      </w:tblPr>
      <w:tblGrid>
        <w:gridCol w:w="2880"/>
        <w:gridCol w:w="2880"/>
        <w:gridCol w:w="2880"/>
      </w:tblGrid>
      <w:tr>
        <w:tc>
          <w:tcPr>
            <w:tcW w:type="dxa" w:w="1247"/>
            <w:shd w:val="clear" w:color="auto" w:fill="1B3A6B"/>
            <w:tcMar>
              <w:top w:w="60" w:type="dxa"/>
              <w:left w:w="110" w:type="dxa"/>
              <w:bottom w:w="60" w:type="dxa"/>
              <w:right w:w="110" w:type="dxa"/>
            </w:tcMar>
          </w:tcPr>
          <w:p>
            <w:pPr>
              <w:spacing w:before="0" w:after="0"/>
            </w:pPr>
            <w:r>
              <w:rPr>
                <w:rFonts w:ascii="Arial" w:hAnsi="Arial"/>
                <w:b/>
                <w:color w:val="FFFFFF"/>
                <w:sz w:val="18"/>
              </w:rPr>
              <w:t>Versión</w:t>
            </w:r>
          </w:p>
        </w:tc>
        <w:tc>
          <w:tcPr>
            <w:tcW w:type="dxa" w:w="1587"/>
            <w:shd w:val="clear" w:color="auto" w:fill="1B3A6B"/>
            <w:tcMar>
              <w:top w:w="60" w:type="dxa"/>
              <w:left w:w="110" w:type="dxa"/>
              <w:bottom w:w="60" w:type="dxa"/>
              <w:right w:w="110" w:type="dxa"/>
            </w:tcMar>
          </w:tcPr>
          <w:p>
            <w:pPr>
              <w:spacing w:before="0" w:after="0"/>
            </w:pPr>
            <w:r>
              <w:rPr>
                <w:rFonts w:ascii="Arial" w:hAnsi="Arial"/>
                <w:b/>
                <w:color w:val="FFFFFF"/>
                <w:sz w:val="18"/>
              </w:rPr>
              <w:t>Fecha</w:t>
            </w:r>
          </w:p>
        </w:tc>
        <w:tc>
          <w:tcPr>
            <w:tcW w:type="dxa" w:w="5783"/>
            <w:shd w:val="clear" w:color="auto" w:fill="1B3A6B"/>
            <w:tcMar>
              <w:top w:w="60" w:type="dxa"/>
              <w:left w:w="110" w:type="dxa"/>
              <w:bottom w:w="60" w:type="dxa"/>
              <w:right w:w="110" w:type="dxa"/>
            </w:tcMar>
          </w:tcPr>
          <w:p>
            <w:pPr>
              <w:spacing w:before="0" w:after="0"/>
            </w:pPr>
            <w:r>
              <w:rPr>
                <w:rFonts w:ascii="Arial" w:hAnsi="Arial"/>
                <w:b/>
                <w:color w:val="FFFFFF"/>
                <w:sz w:val="18"/>
              </w:rPr>
              <w:t>Naturaleza</w:t>
            </w:r>
          </w:p>
        </w:tc>
      </w:tr>
      <w:tr>
        <w:tc>
          <w:tcPr>
            <w:tcW w:type="dxa" w:w="1247"/>
            <w:tcMar>
              <w:top w:w="60" w:type="dxa"/>
              <w:left w:w="110" w:type="dxa"/>
              <w:bottom w:w="60" w:type="dxa"/>
              <w:right w:w="110" w:type="dxa"/>
            </w:tcMar>
          </w:tcPr>
          <w:p>
            <w:pPr>
              <w:spacing w:before="0" w:after="0"/>
            </w:pPr>
            <w:r>
              <w:rPr>
                <w:rFonts w:ascii="Arial" w:hAnsi="Arial"/>
                <w:b/>
                <w:sz w:val="18"/>
              </w:rPr>
              <w:t>1.0</w:t>
            </w:r>
          </w:p>
        </w:tc>
        <w:tc>
          <w:tcPr>
            <w:tcW w:type="dxa" w:w="1587"/>
            <w:tcMar>
              <w:top w:w="60" w:type="dxa"/>
              <w:left w:w="110" w:type="dxa"/>
              <w:bottom w:w="60" w:type="dxa"/>
              <w:right w:w="110" w:type="dxa"/>
            </w:tcMar>
          </w:tcPr>
          <w:p>
            <w:pPr>
              <w:spacing w:before="0" w:after="0"/>
            </w:pPr>
            <w:r>
              <w:rPr>
                <w:rFonts w:ascii="Arial" w:hAnsi="Arial"/>
                <w:sz w:val="18"/>
              </w:rPr>
              <w:t>Mayo 2026</w:t>
            </w:r>
          </w:p>
        </w:tc>
        <w:tc>
          <w:tcPr>
            <w:tcW w:type="dxa" w:w="5783"/>
            <w:tcMar>
              <w:top w:w="60" w:type="dxa"/>
              <w:left w:w="110" w:type="dxa"/>
              <w:bottom w:w="60" w:type="dxa"/>
              <w:right w:w="110" w:type="dxa"/>
            </w:tcMar>
          </w:tcPr>
          <w:p>
            <w:pPr>
              <w:spacing w:before="0" w:after="0"/>
            </w:pPr>
            <w:r>
              <w:rPr>
                <w:rFonts w:ascii="Arial" w:hAnsi="Arial"/>
                <w:sz w:val="18"/>
              </w:rPr>
              <w:t>Creación del Libro de Vida con el Capítulo I (El Origen y la Forja) y la estructura de archivo vivo escalable.</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4A4A"/>
        <w:sz w:val="16"/>
      </w:rPr>
      <w:t>SEGUROS AEGIS · Aegis Libro de Vida · Pentacore · v1.0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B3A6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5F9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B3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