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2E5F9E"/>
          <w:sz w:val="24"/>
        </w:rPr>
        <w:t>DOCUMENTO 4 DE 5 · EL BLUEPRINT DEL SGA (TECNOLÓGICO)</w:t>
      </w:r>
    </w:p>
    <w:p>
      <w:pPr>
        <w:jc w:val="center"/>
      </w:pPr>
      <w:r>
        <w:rPr>
          <w:rFonts w:ascii="Arial" w:hAnsi="Arial"/>
          <w:b/>
          <w:color w:val="1B3A6B"/>
          <w:sz w:val="60"/>
        </w:rPr>
        <w:t>Aegis Operational Plan</w:t>
      </w:r>
    </w:p>
    <w:p>
      <w:pPr>
        <w:jc w:val="center"/>
      </w:pPr>
      <w:r>
        <w:rPr>
          <w:i/>
          <w:color w:val="4A4A4A"/>
          <w:sz w:val="28"/>
        </w:rPr>
        <w:t>Blueprint Técnico del Sistema de Gestión Aegis (SGA)</w:t>
      </w:r>
    </w:p>
    <w:p>
      <w:pPr>
        <w:pBdr>
          <w:bottom w:val="single" w:sz="10" w:space="1" w:color="2E5F9E"/>
        </w:pBdr>
        <w:spacing w:before="0" w:after="0"/>
      </w:pPr>
    </w:p>
    <w:p>
      <w:pPr>
        <w:jc w:val="center"/>
      </w:pPr>
      <w:r>
        <w:rPr>
          <w:b w:val="0"/>
          <w:i w:val="0"/>
          <w:sz w:val="22"/>
        </w:rPr>
        <w:t>Arquitectura y 10 Schemas · Introspección Genérica (system.py) · Paginación · Catastro · Bot de Elegibilidad · Gestión Centralizada de Correos · Acoplamiento</w:t>
      </w:r>
    </w:p>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POSICIÓN EN LA ARQUITECTURA AEGIS</w:t>
            </w:r>
          </w:p>
          <w:p>
            <w:pPr>
              <w:spacing w:before="60" w:after="0"/>
            </w:pPr>
            <w:r>
              <w:rPr>
                <w:rFonts w:ascii="Arial" w:hAnsi="Arial"/>
                <w:sz w:val="20"/>
              </w:rPr>
              <w:t>Cuarto motor del ecosistema Aegis Pentacore. Especifica CÓMO el software —el SGA y el Programa Propio desarrollado con Claude Code— gobierna, automatiza y sostiene las operaciones de negocio descritas en el Commercial Playbook (Documento 3), dentro de los principios de gobernanza y la frontera semántica fijados por el Corporate OS (Documento 2). Es el puente entre la estrategia y el código.</w:t>
            </w:r>
          </w:p>
        </w:tc>
      </w:tr>
    </w:tbl>
    <w:p>
      <w:pPr>
        <w:spacing w:after="40"/>
      </w:pPr>
    </w:p>
    <w:p/>
    <w:p>
      <w:pPr>
        <w:jc w:val="center"/>
      </w:pPr>
      <w:r>
        <w:rPr>
          <w:b/>
          <w:i w:val="0"/>
          <w:color w:val="1B3A6B"/>
        </w:rPr>
        <w:t>SEGUROS AEGIS · Corredora de Seguros · Chile</w:t>
      </w:r>
    </w:p>
    <w:p>
      <w:pPr>
        <w:jc w:val="center"/>
      </w:pPr>
      <w:r>
        <w:rPr>
          <w:b w:val="0"/>
          <w:i w:val="0"/>
          <w:color w:val="4A4A4A"/>
          <w:sz w:val="20"/>
        </w:rPr>
        <w:t>Versión 1.1 · Pentacore · Mayo 2026</w:t>
      </w:r>
    </w:p>
    <w:p>
      <w:pPr>
        <w:jc w:val="center"/>
      </w:pPr>
      <w:r>
        <w:rPr>
          <w:b/>
          <w:i w:val="0"/>
          <w:color w:val="C0392B"/>
          <w:sz w:val="18"/>
        </w:rPr>
        <w:t>CONFIDENCIAL · Documento de uso interno exclusivo</w:t>
      </w:r>
    </w:p>
    <w:p>
      <w:r>
        <w:br w:type="page"/>
      </w:r>
    </w:p>
    <w:p>
      <w:pPr>
        <w:pStyle w:val="Heading1"/>
      </w:pPr>
      <w:r>
        <w:t>Índice de Contenidos</w:t>
      </w:r>
    </w:p>
    <w:p>
      <w:pPr>
        <w:spacing w:before="100" w:after="60"/>
      </w:pPr>
      <w:r>
        <w:rPr>
          <w:rFonts w:ascii="Arial" w:hAnsi="Arial"/>
          <w:b/>
          <w:color w:val="1B3A6B"/>
          <w:sz w:val="22"/>
        </w:rPr>
        <w:t>Cómo Usar Este Blueprint</w:t>
      </w:r>
    </w:p>
    <w:p>
      <w:pPr>
        <w:spacing w:before="100" w:after="60"/>
      </w:pPr>
      <w:r>
        <w:rPr>
          <w:rFonts w:ascii="Arial" w:hAnsi="Arial"/>
          <w:b/>
          <w:color w:val="1B3A6B"/>
          <w:sz w:val="22"/>
        </w:rPr>
        <w:t>1. Arquitectura General del SGA</w:t>
      </w:r>
    </w:p>
    <w:p>
      <w:pPr>
        <w:spacing w:before="0" w:after="60"/>
        <w:ind w:left="454"/>
      </w:pPr>
      <w:r>
        <w:rPr>
          <w:rFonts w:ascii="Arial" w:hAnsi="Arial"/>
          <w:color w:val="4A4A4A"/>
          <w:sz w:val="20"/>
        </w:rPr>
        <w:t>1.1 Principios Rectores</w:t>
      </w:r>
    </w:p>
    <w:p>
      <w:pPr>
        <w:spacing w:before="0" w:after="60"/>
        <w:ind w:left="454"/>
      </w:pPr>
      <w:r>
        <w:rPr>
          <w:rFonts w:ascii="Arial" w:hAnsi="Arial"/>
          <w:color w:val="4A4A4A"/>
          <w:sz w:val="20"/>
        </w:rPr>
        <w:t>1.2 Capas y Stack Tecnológico Oficial</w:t>
      </w:r>
    </w:p>
    <w:p>
      <w:pPr>
        <w:spacing w:before="0" w:after="60"/>
        <w:ind w:left="454"/>
      </w:pPr>
      <w:r>
        <w:rPr>
          <w:rFonts w:ascii="Arial" w:hAnsi="Arial"/>
          <w:color w:val="4A4A4A"/>
          <w:sz w:val="20"/>
        </w:rPr>
        <w:t>1.3 Inventario Semántico: Los 10 Schemas Base</w:t>
      </w:r>
    </w:p>
    <w:p>
      <w:pPr>
        <w:spacing w:before="0" w:after="60"/>
        <w:ind w:left="454"/>
      </w:pPr>
      <w:r>
        <w:rPr>
          <w:rFonts w:ascii="Arial" w:hAnsi="Arial"/>
          <w:color w:val="4A4A4A"/>
          <w:sz w:val="20"/>
        </w:rPr>
        <w:t>1.4 Estatus de Inicialización del Núcleo de Datos</w:t>
      </w:r>
    </w:p>
    <w:p>
      <w:pPr>
        <w:spacing w:before="100" w:after="60"/>
      </w:pPr>
      <w:r>
        <w:rPr>
          <w:rFonts w:ascii="Arial" w:hAnsi="Arial"/>
          <w:b/>
          <w:color w:val="1B3A6B"/>
          <w:sz w:val="22"/>
        </w:rPr>
        <w:t>2. Backend — Endpoint Genérico de Introspección (system.py)</w:t>
      </w:r>
    </w:p>
    <w:p>
      <w:pPr>
        <w:spacing w:before="0" w:after="60"/>
        <w:ind w:left="454"/>
      </w:pPr>
      <w:r>
        <w:rPr>
          <w:rFonts w:ascii="Arial" w:hAnsi="Arial"/>
          <w:color w:val="4A4A4A"/>
          <w:sz w:val="20"/>
        </w:rPr>
        <w:t>2.1 Problema que Resuelve</w:t>
      </w:r>
    </w:p>
    <w:p>
      <w:pPr>
        <w:spacing w:before="0" w:after="60"/>
        <w:ind w:left="454"/>
      </w:pPr>
      <w:r>
        <w:rPr>
          <w:rFonts w:ascii="Arial" w:hAnsi="Arial"/>
          <w:color w:val="4A4A4A"/>
          <w:sz w:val="20"/>
        </w:rPr>
        <w:t>2.2 CRUD Dinámico vía information_schema</w:t>
      </w:r>
    </w:p>
    <w:p>
      <w:pPr>
        <w:spacing w:before="0" w:after="60"/>
        <w:ind w:left="454"/>
      </w:pPr>
      <w:r>
        <w:rPr>
          <w:rFonts w:ascii="Arial" w:hAnsi="Arial"/>
          <w:color w:val="4A4A4A"/>
          <w:sz w:val="20"/>
        </w:rPr>
        <w:t>2.3 Mitigación de SQL Injection</w:t>
      </w:r>
    </w:p>
    <w:p>
      <w:pPr>
        <w:spacing w:before="100" w:after="60"/>
      </w:pPr>
      <w:r>
        <w:rPr>
          <w:rFonts w:ascii="Arial" w:hAnsi="Arial"/>
          <w:b/>
          <w:color w:val="1B3A6B"/>
          <w:sz w:val="22"/>
        </w:rPr>
        <w:t>3. Paginación Server-Side</w:t>
      </w:r>
    </w:p>
    <w:p>
      <w:pPr>
        <w:spacing w:before="0" w:after="60"/>
        <w:ind w:left="454"/>
      </w:pPr>
      <w:r>
        <w:rPr>
          <w:rFonts w:ascii="Arial" w:hAnsi="Arial"/>
          <w:color w:val="4A4A4A"/>
          <w:sz w:val="20"/>
        </w:rPr>
        <w:t>3.1 El Bottleneck de Tablas Masivas</w:t>
      </w:r>
    </w:p>
    <w:p>
      <w:pPr>
        <w:spacing w:before="0" w:after="60"/>
        <w:ind w:left="454"/>
      </w:pPr>
      <w:r>
        <w:rPr>
          <w:rFonts w:ascii="Arial" w:hAnsi="Arial"/>
          <w:color w:val="4A4A4A"/>
          <w:sz w:val="20"/>
        </w:rPr>
        <w:t>3.2 Lógica de limit y offset</w:t>
      </w:r>
    </w:p>
    <w:p>
      <w:pPr>
        <w:spacing w:before="0" w:after="60"/>
        <w:ind w:left="454"/>
      </w:pPr>
      <w:r>
        <w:rPr>
          <w:rFonts w:ascii="Arial" w:hAnsi="Arial"/>
          <w:color w:val="4A4A4A"/>
          <w:sz w:val="20"/>
        </w:rPr>
        <w:t>3.3 Acoplamiento con el Catálogo entities.js</w:t>
      </w:r>
    </w:p>
    <w:p>
      <w:pPr>
        <w:spacing w:before="100" w:after="60"/>
      </w:pPr>
      <w:r>
        <w:rPr>
          <w:rFonts w:ascii="Arial" w:hAnsi="Arial"/>
          <w:b/>
          <w:color w:val="1B3A6B"/>
          <w:sz w:val="22"/>
        </w:rPr>
        <w:t>4. Módulo de Catastro (edificio_lead)</w:t>
      </w:r>
    </w:p>
    <w:p>
      <w:pPr>
        <w:spacing w:before="0" w:after="60"/>
        <w:ind w:left="454"/>
      </w:pPr>
      <w:r>
        <w:rPr>
          <w:rFonts w:ascii="Arial" w:hAnsi="Arial"/>
          <w:color w:val="4A4A4A"/>
          <w:sz w:val="20"/>
        </w:rPr>
        <w:t>4.1 Clasificación de Prospectos</w:t>
      </w:r>
    </w:p>
    <w:p>
      <w:pPr>
        <w:spacing w:before="0" w:after="60"/>
        <w:ind w:left="454"/>
      </w:pPr>
      <w:r>
        <w:rPr>
          <w:rFonts w:ascii="Arial" w:hAnsi="Arial"/>
          <w:color w:val="4A4A4A"/>
          <w:sz w:val="20"/>
        </w:rPr>
        <w:t>4.2 Mapa de Vencimientos y Alertas de 90 Días</w:t>
      </w:r>
    </w:p>
    <w:p>
      <w:pPr>
        <w:spacing w:before="100" w:after="60"/>
      </w:pPr>
      <w:r>
        <w:rPr>
          <w:rFonts w:ascii="Arial" w:hAnsi="Arial"/>
          <w:b/>
          <w:color w:val="1B3A6B"/>
          <w:sz w:val="22"/>
        </w:rPr>
        <w:t>5. Bot de Elegibilidad (Motor de Promociones)</w:t>
      </w:r>
    </w:p>
    <w:p>
      <w:pPr>
        <w:spacing w:before="0" w:after="60"/>
        <w:ind w:left="454"/>
      </w:pPr>
      <w:r>
        <w:rPr>
          <w:rFonts w:ascii="Arial" w:hAnsi="Arial"/>
          <w:color w:val="4A4A4A"/>
          <w:sz w:val="20"/>
        </w:rPr>
        <w:t>5.1 Flujo Técnico entre Schemas</w:t>
      </w:r>
    </w:p>
    <w:p>
      <w:pPr>
        <w:spacing w:before="0" w:after="60"/>
        <w:ind w:left="454"/>
      </w:pPr>
      <w:r>
        <w:rPr>
          <w:rFonts w:ascii="Arial" w:hAnsi="Arial"/>
          <w:color w:val="4A4A4A"/>
          <w:sz w:val="20"/>
        </w:rPr>
        <w:t>5.2 Filtro Precio/Cobertura y Bloqueo de Sesgo</w:t>
      </w:r>
    </w:p>
    <w:p>
      <w:pPr>
        <w:spacing w:before="100" w:after="60"/>
      </w:pPr>
      <w:r>
        <w:rPr>
          <w:rFonts w:ascii="Arial" w:hAnsi="Arial"/>
          <w:b/>
          <w:color w:val="1B3A6B"/>
          <w:sz w:val="22"/>
        </w:rPr>
        <w:t>6. Gestión Centralizada de Correos (schema comunicacion)</w:t>
      </w:r>
    </w:p>
    <w:p>
      <w:pPr>
        <w:spacing w:before="0" w:after="60"/>
        <w:ind w:left="454"/>
      </w:pPr>
      <w:r>
        <w:rPr>
          <w:rFonts w:ascii="Arial" w:hAnsi="Arial"/>
          <w:color w:val="4A4A4A"/>
          <w:sz w:val="20"/>
        </w:rPr>
        <w:t>6.1 Cliente de Correo Centralizado (inbox / outbox)</w:t>
      </w:r>
    </w:p>
    <w:p>
      <w:pPr>
        <w:spacing w:before="0" w:after="60"/>
        <w:ind w:left="454"/>
      </w:pPr>
      <w:r>
        <w:rPr>
          <w:rFonts w:ascii="Arial" w:hAnsi="Arial"/>
          <w:color w:val="4A4A4A"/>
          <w:sz w:val="20"/>
        </w:rPr>
        <w:t>6.2 Relaciones Limpias mediante Tablas Espejo</w:t>
      </w:r>
    </w:p>
    <w:p>
      <w:pPr>
        <w:spacing w:before="0" w:after="60"/>
        <w:ind w:left="454"/>
      </w:pPr>
      <w:r>
        <w:rPr>
          <w:rFonts w:ascii="Arial" w:hAnsi="Arial"/>
          <w:color w:val="4A4A4A"/>
          <w:sz w:val="20"/>
        </w:rPr>
        <w:t>6.3 SLA de 24 Horas: Job de Timestamp y Alerta Visual</w:t>
      </w:r>
    </w:p>
    <w:p>
      <w:pPr>
        <w:spacing w:before="0" w:after="60"/>
        <w:ind w:left="454"/>
      </w:pPr>
      <w:r>
        <w:rPr>
          <w:rFonts w:ascii="Arial" w:hAnsi="Arial"/>
          <w:color w:val="4A4A4A"/>
          <w:sz w:val="20"/>
        </w:rPr>
        <w:t>6.4 Bandeja Relacional y Botonera de Acción Parametrizable</w:t>
      </w:r>
    </w:p>
    <w:p>
      <w:pPr>
        <w:spacing w:before="100" w:after="60"/>
      </w:pPr>
      <w:r>
        <w:rPr>
          <w:rFonts w:ascii="Arial" w:hAnsi="Arial"/>
          <w:b/>
          <w:color w:val="1B3A6B"/>
          <w:sz w:val="22"/>
        </w:rPr>
        <w:t>7. Mecanismo de Acoplamiento Comercial y Desacoplamiento Constitucional</w:t>
      </w:r>
    </w:p>
    <w:p>
      <w:pPr>
        <w:spacing w:before="0" w:after="60"/>
        <w:ind w:left="454"/>
      </w:pPr>
      <w:r>
        <w:rPr>
          <w:rFonts w:ascii="Arial" w:hAnsi="Arial"/>
          <w:color w:val="4A4A4A"/>
          <w:sz w:val="20"/>
        </w:rPr>
        <w:t>7.1 Espejo Funcional del Commercial Playbook</w:t>
      </w:r>
    </w:p>
    <w:p>
      <w:pPr>
        <w:spacing w:before="0" w:after="60"/>
        <w:ind w:left="454"/>
      </w:pPr>
      <w:r>
        <w:rPr>
          <w:rFonts w:ascii="Arial" w:hAnsi="Arial"/>
          <w:color w:val="4A4A4A"/>
          <w:sz w:val="20"/>
        </w:rPr>
        <w:t>7.2 Subordinación Unidireccional al Corporate OS</w:t>
      </w:r>
    </w:p>
    <w:p>
      <w:pPr>
        <w:spacing w:before="100" w:after="60"/>
      </w:pPr>
      <w:r>
        <w:rPr>
          <w:rFonts w:ascii="Arial" w:hAnsi="Arial"/>
          <w:b/>
          <w:color w:val="1B3A6B"/>
          <w:sz w:val="22"/>
        </w:rPr>
        <w:t>8. Gobernanza Técnica y Seguridad</w:t>
      </w:r>
    </w:p>
    <w:p>
      <w:pPr>
        <w:spacing w:before="100" w:after="60"/>
      </w:pPr>
      <w:r>
        <w:rPr>
          <w:rFonts w:ascii="Arial" w:hAnsi="Arial"/>
          <w:b/>
          <w:color w:val="1B3A6B"/>
          <w:sz w:val="22"/>
        </w:rPr>
        <w:t>Control del Documento</w:t>
      </w:r>
    </w:p>
    <w:p>
      <w:r>
        <w:br w:type="page"/>
      </w:r>
    </w:p>
    <w:p>
      <w:pPr>
        <w:pStyle w:val="Heading1"/>
      </w:pPr>
      <w:r>
        <w:t>Cómo Usar Este Blueprint</w:t>
      </w:r>
    </w:p>
    <w:p>
      <w:r>
        <w:rPr>
          <w:b w:val="0"/>
          <w:i w:val="0"/>
        </w:rPr>
        <w:t>El Operational Plan traduce la estrategia en especificación técnica. Es la referencia única para cualquier desarrollo del SGA y del Programa Propio: define cómo se construyen los componentes críticos del backend (FastAPI) y del frontend (React) sin romper la frontera semántica de la empresa. Toda decisión de ingeniería respeta los Principios de Gobernanza del Corporate OS §3.4 y extiende los 10 schemas definidos en §1.3, nunca crea silos.</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REGLA DE SUBORDINACIÓN TÉCNICA</w:t>
            </w:r>
          </w:p>
          <w:p>
            <w:pPr>
              <w:spacing w:before="60" w:after="0"/>
            </w:pPr>
            <w:r>
              <w:rPr>
                <w:rFonts w:ascii="Arial" w:hAnsi="Arial"/>
                <w:sz w:val="20"/>
              </w:rPr>
              <w:t>Este blueprint vive bajo el Corporate OS. Si una solución técnica fuera más cómoda violando la frontera de 10 schemas o el estándar Precio/Cobertura, no se implementa: se rediseña. La arquitectura sirve al negocio y a su ética, no al revés.</w:t>
            </w:r>
          </w:p>
        </w:tc>
      </w:tr>
    </w:tbl>
    <w:p>
      <w:pPr>
        <w:spacing w:after="40"/>
      </w:pPr>
    </w:p>
    <w:p>
      <w:r>
        <w:br w:type="page"/>
      </w:r>
    </w:p>
    <w:p>
      <w:pPr>
        <w:pStyle w:val="Heading1"/>
      </w:pPr>
      <w:r>
        <w:t>1. Arquitectura General del SGA</w:t>
      </w:r>
    </w:p>
    <w:p>
      <w:pPr>
        <w:pStyle w:val="Heading2"/>
      </w:pPr>
      <w:r>
        <w:t>1.1 Principios Rectores</w:t>
      </w:r>
    </w:p>
    <w:p>
      <w:pPr>
        <w:pStyle w:val="ListBullet"/>
      </w:pPr>
      <w:r>
        <w:rPr>
          <w:b/>
        </w:rPr>
        <w:t xml:space="preserve">Frontera semántica — </w:t>
      </w:r>
      <w:r>
        <w:t>todo dato vive en uno de los 10 schemas base (inventariados en §1.3), que constituyen la frontera semántica de la empresa. Una nueva necesidad se modela como extensión de un schema existente, nunca como un silo aparte.</w:t>
      </w:r>
    </w:p>
    <w:p>
      <w:pPr>
        <w:pStyle w:val="ListBullet"/>
      </w:pPr>
      <w:r>
        <w:rPr>
          <w:b/>
        </w:rPr>
        <w:t xml:space="preserve">Soberanía de datos — </w:t>
      </w:r>
      <w:r>
        <w:t>la cartera y el modelo de datos son activos propios; la arquitectura existe para garantizar que no dependan de un proveedor externo (Corporate OS §3.4.1).</w:t>
      </w:r>
    </w:p>
    <w:p>
      <w:pPr>
        <w:pStyle w:val="ListBullet"/>
      </w:pPr>
      <w:r>
        <w:rPr>
          <w:b/>
        </w:rPr>
        <w:t xml:space="preserve">Genericidad — </w:t>
      </w:r>
      <w:r>
        <w:t>se prefiere una capa genérica y reutilizable (introspección, paginación) antes que código repetido tabla por tabla. Menos superficie, menos errores.</w:t>
      </w:r>
    </w:p>
    <w:p>
      <w:pPr>
        <w:pStyle w:val="ListBullet"/>
      </w:pPr>
      <w:r>
        <w:rPr>
          <w:b/>
        </w:rPr>
        <w:t xml:space="preserve">Ética embebida — </w:t>
      </w:r>
      <w:r>
        <w:t>el estándar Precio/Cobertura y el blindaje anti-sesgo se implementan en el código, no quedan a criterio del operador.</w:t>
      </w:r>
    </w:p>
    <w:p>
      <w:pPr>
        <w:pStyle w:val="Heading2"/>
      </w:pPr>
      <w:r>
        <w:t>1.2 Capas y Stack Tecnológico Oficial</w:t>
      </w:r>
    </w:p>
    <w:p>
      <w:r>
        <w:rPr>
          <w:b w:val="0"/>
          <w:i w:val="0"/>
        </w:rPr>
        <w:t>El stack es la infraestructura concreta —y por tanto mutable— sobre la que se construye el SGA y el Programa Propio (desarrollado de forma iterativa con Claude Code). Vive aquí, en el documento tecnológico, y no en la Constitución: puede evolucionar siempre que respete los Principios de Gobernanza del Corporate OS §3.4.</w:t>
      </w:r>
    </w:p>
    <w:tbl>
      <w:tblPr>
        <w:tblStyle w:val="TableGrid"/>
        <w:tblW w:type="auto" w:w="0"/>
        <w:jc w:val="center"/>
        <w:tblLook w:firstColumn="1" w:firstRow="1" w:lastColumn="0" w:lastRow="0" w:noHBand="0" w:noVBand="1" w:val="04A0"/>
      </w:tblPr>
      <w:tblGrid>
        <w:gridCol w:w="2880"/>
        <w:gridCol w:w="2880"/>
        <w:gridCol w:w="2880"/>
      </w:tblGrid>
      <w:tr>
        <w:tc>
          <w:tcPr>
            <w:tcW w:type="dxa" w:w="1587"/>
            <w:shd w:val="clear" w:color="auto" w:fill="1B3A6B"/>
            <w:tcMar>
              <w:top w:w="60" w:type="dxa"/>
              <w:left w:w="110" w:type="dxa"/>
              <w:bottom w:w="60" w:type="dxa"/>
              <w:right w:w="110" w:type="dxa"/>
            </w:tcMar>
          </w:tcPr>
          <w:p>
            <w:pPr>
              <w:spacing w:before="0" w:after="0"/>
            </w:pPr>
            <w:r>
              <w:rPr>
                <w:rFonts w:ascii="Arial" w:hAnsi="Arial"/>
                <w:b/>
                <w:color w:val="FFFFFF"/>
                <w:sz w:val="17"/>
              </w:rPr>
              <w:t>Capa</w:t>
            </w:r>
          </w:p>
        </w:tc>
        <w:tc>
          <w:tcPr>
            <w:tcW w:type="dxa" w:w="2154"/>
            <w:shd w:val="clear" w:color="auto" w:fill="1B3A6B"/>
            <w:tcMar>
              <w:top w:w="60" w:type="dxa"/>
              <w:left w:w="110" w:type="dxa"/>
              <w:bottom w:w="60" w:type="dxa"/>
              <w:right w:w="110" w:type="dxa"/>
            </w:tcMar>
          </w:tcPr>
          <w:p>
            <w:pPr>
              <w:spacing w:before="0" w:after="0"/>
            </w:pPr>
            <w:r>
              <w:rPr>
                <w:rFonts w:ascii="Arial" w:hAnsi="Arial"/>
                <w:b/>
                <w:color w:val="FFFFFF"/>
                <w:sz w:val="17"/>
              </w:rPr>
              <w:t>Tecnología oficial</w:t>
            </w:r>
          </w:p>
        </w:tc>
        <w:tc>
          <w:tcPr>
            <w:tcW w:type="dxa" w:w="4762"/>
            <w:shd w:val="clear" w:color="auto" w:fill="1B3A6B"/>
            <w:tcMar>
              <w:top w:w="60" w:type="dxa"/>
              <w:left w:w="110" w:type="dxa"/>
              <w:bottom w:w="60" w:type="dxa"/>
              <w:right w:w="110" w:type="dxa"/>
            </w:tcMar>
          </w:tcPr>
          <w:p>
            <w:pPr>
              <w:spacing w:before="0" w:after="0"/>
            </w:pPr>
            <w:r>
              <w:rPr>
                <w:rFonts w:ascii="Arial" w:hAnsi="Arial"/>
                <w:b/>
                <w:color w:val="FFFFFF"/>
                <w:sz w:val="17"/>
              </w:rPr>
              <w:t>Responsabilidad</w:t>
            </w:r>
          </w:p>
        </w:tc>
      </w:tr>
      <w:tr>
        <w:tc>
          <w:tcPr>
            <w:tcW w:type="dxa" w:w="1587"/>
            <w:tcMar>
              <w:top w:w="60" w:type="dxa"/>
              <w:left w:w="110" w:type="dxa"/>
              <w:bottom w:w="60" w:type="dxa"/>
              <w:right w:w="110" w:type="dxa"/>
            </w:tcMar>
          </w:tcPr>
          <w:p>
            <w:pPr>
              <w:spacing w:before="0" w:after="0"/>
            </w:pPr>
            <w:r>
              <w:rPr>
                <w:rFonts w:ascii="Arial" w:hAnsi="Arial"/>
                <w:b/>
                <w:sz w:val="17"/>
              </w:rPr>
              <w:t>Base de datos</w:t>
            </w:r>
          </w:p>
        </w:tc>
        <w:tc>
          <w:tcPr>
            <w:tcW w:type="dxa" w:w="2154"/>
            <w:tcMar>
              <w:top w:w="60" w:type="dxa"/>
              <w:left w:w="110" w:type="dxa"/>
              <w:bottom w:w="60" w:type="dxa"/>
              <w:right w:w="110" w:type="dxa"/>
            </w:tcMar>
          </w:tcPr>
          <w:p>
            <w:pPr>
              <w:spacing w:before="0" w:after="0"/>
            </w:pPr>
            <w:r>
              <w:rPr>
                <w:rFonts w:ascii="Arial" w:hAnsi="Arial"/>
                <w:sz w:val="17"/>
              </w:rPr>
              <w:t>PostgreSQL</w:t>
            </w:r>
          </w:p>
        </w:tc>
        <w:tc>
          <w:tcPr>
            <w:tcW w:type="dxa" w:w="4762"/>
            <w:tcMar>
              <w:top w:w="60" w:type="dxa"/>
              <w:left w:w="110" w:type="dxa"/>
              <w:bottom w:w="60" w:type="dxa"/>
              <w:right w:w="110" w:type="dxa"/>
            </w:tcMar>
          </w:tcPr>
          <w:p>
            <w:pPr>
              <w:spacing w:before="0" w:after="0"/>
            </w:pPr>
            <w:r>
              <w:rPr>
                <w:rFonts w:ascii="Arial" w:hAnsi="Arial"/>
                <w:sz w:val="17"/>
              </w:rPr>
              <w:t>Motor relacional. 10 schemas (~78 tablas); fuente única de verdad.</w:t>
            </w:r>
          </w:p>
        </w:tc>
      </w:tr>
      <w:tr>
        <w:tc>
          <w:tcPr>
            <w:tcW w:type="dxa" w:w="1587"/>
            <w:shd w:val="clear" w:color="auto" w:fill="F2F4F7"/>
            <w:tcMar>
              <w:top w:w="60" w:type="dxa"/>
              <w:left w:w="110" w:type="dxa"/>
              <w:bottom w:w="60" w:type="dxa"/>
              <w:right w:w="110" w:type="dxa"/>
            </w:tcMar>
          </w:tcPr>
          <w:p>
            <w:pPr>
              <w:spacing w:before="0" w:after="0"/>
            </w:pPr>
            <w:r>
              <w:rPr>
                <w:rFonts w:ascii="Arial" w:hAnsi="Arial"/>
                <w:b/>
                <w:sz w:val="17"/>
              </w:rPr>
              <w:t>Backend (lógica)</w:t>
            </w:r>
          </w:p>
        </w:tc>
        <w:tc>
          <w:tcPr>
            <w:tcW w:type="dxa" w:w="2154"/>
            <w:shd w:val="clear" w:color="auto" w:fill="F2F4F7"/>
            <w:tcMar>
              <w:top w:w="60" w:type="dxa"/>
              <w:left w:w="110" w:type="dxa"/>
              <w:bottom w:w="60" w:type="dxa"/>
              <w:right w:w="110" w:type="dxa"/>
            </w:tcMar>
          </w:tcPr>
          <w:p>
            <w:pPr>
              <w:spacing w:before="0" w:after="0"/>
            </w:pPr>
            <w:r>
              <w:rPr>
                <w:rFonts w:ascii="Arial" w:hAnsi="Arial"/>
                <w:sz w:val="17"/>
              </w:rPr>
              <w:t>Python + FastAPI</w:t>
            </w:r>
          </w:p>
        </w:tc>
        <w:tc>
          <w:tcPr>
            <w:tcW w:type="dxa" w:w="4762"/>
            <w:shd w:val="clear" w:color="auto" w:fill="F2F4F7"/>
            <w:tcMar>
              <w:top w:w="60" w:type="dxa"/>
              <w:left w:w="110" w:type="dxa"/>
              <w:bottom w:w="60" w:type="dxa"/>
              <w:right w:w="110" w:type="dxa"/>
            </w:tcMar>
          </w:tcPr>
          <w:p>
            <w:pPr>
              <w:spacing w:before="0" w:after="0"/>
            </w:pPr>
            <w:r>
              <w:rPr>
                <w:rFonts w:ascii="Arial" w:hAnsi="Arial"/>
                <w:sz w:val="17"/>
              </w:rPr>
              <w:t>API REST, introspección genérica, paginación, bots y automatizaciones.</w:t>
            </w:r>
          </w:p>
        </w:tc>
      </w:tr>
      <w:tr>
        <w:tc>
          <w:tcPr>
            <w:tcW w:type="dxa" w:w="1587"/>
            <w:tcMar>
              <w:top w:w="60" w:type="dxa"/>
              <w:left w:w="110" w:type="dxa"/>
              <w:bottom w:w="60" w:type="dxa"/>
              <w:right w:w="110" w:type="dxa"/>
            </w:tcMar>
          </w:tcPr>
          <w:p>
            <w:pPr>
              <w:spacing w:before="0" w:after="0"/>
            </w:pPr>
            <w:r>
              <w:rPr>
                <w:rFonts w:ascii="Arial" w:hAnsi="Arial"/>
                <w:b/>
                <w:sz w:val="17"/>
              </w:rPr>
              <w:t>Frontend (interfaz)</w:t>
            </w:r>
          </w:p>
        </w:tc>
        <w:tc>
          <w:tcPr>
            <w:tcW w:type="dxa" w:w="2154"/>
            <w:tcMar>
              <w:top w:w="60" w:type="dxa"/>
              <w:left w:w="110" w:type="dxa"/>
              <w:bottom w:w="60" w:type="dxa"/>
              <w:right w:w="110" w:type="dxa"/>
            </w:tcMar>
          </w:tcPr>
          <w:p>
            <w:pPr>
              <w:spacing w:before="0" w:after="0"/>
            </w:pPr>
            <w:r>
              <w:rPr>
                <w:rFonts w:ascii="Arial" w:hAnsi="Arial"/>
                <w:sz w:val="17"/>
              </w:rPr>
              <w:t>React + Tailwind CSS</w:t>
            </w:r>
          </w:p>
        </w:tc>
        <w:tc>
          <w:tcPr>
            <w:tcW w:type="dxa" w:w="4762"/>
            <w:tcMar>
              <w:top w:w="60" w:type="dxa"/>
              <w:left w:w="110" w:type="dxa"/>
              <w:bottom w:w="60" w:type="dxa"/>
              <w:right w:w="110" w:type="dxa"/>
            </w:tcMar>
          </w:tcPr>
          <w:p>
            <w:pPr>
              <w:spacing w:before="0" w:after="0"/>
            </w:pPr>
            <w:r>
              <w:rPr>
                <w:rFonts w:ascii="Arial" w:hAnsi="Arial"/>
                <w:sz w:val="17"/>
              </w:rPr>
              <w:t>Interfaz por roles; catálogo de entidades en entities.js; grillas paginadas.</w:t>
            </w:r>
          </w:p>
        </w:tc>
      </w:tr>
      <w:tr>
        <w:tc>
          <w:tcPr>
            <w:tcW w:type="dxa" w:w="1587"/>
            <w:shd w:val="clear" w:color="auto" w:fill="F2F4F7"/>
            <w:tcMar>
              <w:top w:w="60" w:type="dxa"/>
              <w:left w:w="110" w:type="dxa"/>
              <w:bottom w:w="60" w:type="dxa"/>
              <w:right w:w="110" w:type="dxa"/>
            </w:tcMar>
          </w:tcPr>
          <w:p>
            <w:pPr>
              <w:spacing w:before="0" w:after="0"/>
            </w:pPr>
            <w:r>
              <w:rPr>
                <w:rFonts w:ascii="Arial" w:hAnsi="Arial"/>
                <w:b/>
                <w:sz w:val="17"/>
              </w:rPr>
              <w:t>Automatizaciones</w:t>
            </w:r>
          </w:p>
        </w:tc>
        <w:tc>
          <w:tcPr>
            <w:tcW w:type="dxa" w:w="2154"/>
            <w:shd w:val="clear" w:color="auto" w:fill="F2F4F7"/>
            <w:tcMar>
              <w:top w:w="60" w:type="dxa"/>
              <w:left w:w="110" w:type="dxa"/>
              <w:bottom w:w="60" w:type="dxa"/>
              <w:right w:w="110" w:type="dxa"/>
            </w:tcMar>
          </w:tcPr>
          <w:p>
            <w:pPr>
              <w:spacing w:before="0" w:after="0"/>
            </w:pPr>
            <w:r>
              <w:rPr>
                <w:rFonts w:ascii="Arial" w:hAnsi="Arial"/>
                <w:sz w:val="17"/>
              </w:rPr>
              <w:t>Python + CRON</w:t>
            </w:r>
          </w:p>
        </w:tc>
        <w:tc>
          <w:tcPr>
            <w:tcW w:type="dxa" w:w="4762"/>
            <w:shd w:val="clear" w:color="auto" w:fill="F2F4F7"/>
            <w:tcMar>
              <w:top w:w="60" w:type="dxa"/>
              <w:left w:w="110" w:type="dxa"/>
              <w:bottom w:w="60" w:type="dxa"/>
              <w:right w:w="110" w:type="dxa"/>
            </w:tcMar>
          </w:tcPr>
          <w:p>
            <w:pPr>
              <w:spacing w:before="0" w:after="0"/>
            </w:pPr>
            <w:r>
              <w:rPr>
                <w:rFonts w:ascii="Arial" w:hAnsi="Arial"/>
                <w:sz w:val="17"/>
              </w:rPr>
              <w:t>Cláusula de permanencia, alertas, cierre mensual, Mapa de Vencimientos.</w:t>
            </w:r>
          </w:p>
        </w:tc>
      </w:tr>
      <w:tr>
        <w:tc>
          <w:tcPr>
            <w:tcW w:type="dxa" w:w="1587"/>
            <w:tcMar>
              <w:top w:w="60" w:type="dxa"/>
              <w:left w:w="110" w:type="dxa"/>
              <w:bottom w:w="60" w:type="dxa"/>
              <w:right w:w="110" w:type="dxa"/>
            </w:tcMar>
          </w:tcPr>
          <w:p>
            <w:pPr>
              <w:spacing w:before="0" w:after="0"/>
            </w:pPr>
            <w:r>
              <w:rPr>
                <w:rFonts w:ascii="Arial" w:hAnsi="Arial"/>
                <w:b/>
                <w:sz w:val="17"/>
              </w:rPr>
              <w:t>Cotización masiva</w:t>
            </w:r>
          </w:p>
        </w:tc>
        <w:tc>
          <w:tcPr>
            <w:tcW w:type="dxa" w:w="2154"/>
            <w:tcMar>
              <w:top w:w="60" w:type="dxa"/>
              <w:left w:w="110" w:type="dxa"/>
              <w:bottom w:w="60" w:type="dxa"/>
              <w:right w:w="110" w:type="dxa"/>
            </w:tcMar>
          </w:tcPr>
          <w:p>
            <w:pPr>
              <w:spacing w:before="0" w:after="0"/>
            </w:pPr>
            <w:r>
              <w:rPr>
                <w:rFonts w:ascii="Arial" w:hAnsi="Arial"/>
                <w:sz w:val="17"/>
              </w:rPr>
              <w:t>Python + Playwright</w:t>
            </w:r>
          </w:p>
        </w:tc>
        <w:tc>
          <w:tcPr>
            <w:tcW w:type="dxa" w:w="4762"/>
            <w:tcMar>
              <w:top w:w="60" w:type="dxa"/>
              <w:left w:w="110" w:type="dxa"/>
              <w:bottom w:w="60" w:type="dxa"/>
              <w:right w:w="110" w:type="dxa"/>
            </w:tcMar>
          </w:tcPr>
          <w:p>
            <w:pPr>
              <w:spacing w:before="0" w:after="0"/>
            </w:pPr>
            <w:r>
              <w:rPr>
                <w:rFonts w:ascii="Arial" w:hAnsi="Arial"/>
                <w:sz w:val="17"/>
              </w:rPr>
              <w:t>Scraper de la red ANS (única vía sin API) y APIs oficiales de las compañías.</w:t>
            </w:r>
          </w:p>
        </w:tc>
      </w:tr>
      <w:tr>
        <w:tc>
          <w:tcPr>
            <w:tcW w:type="dxa" w:w="1587"/>
            <w:shd w:val="clear" w:color="auto" w:fill="F2F4F7"/>
            <w:tcMar>
              <w:top w:w="60" w:type="dxa"/>
              <w:left w:w="110" w:type="dxa"/>
              <w:bottom w:w="60" w:type="dxa"/>
              <w:right w:w="110" w:type="dxa"/>
            </w:tcMar>
          </w:tcPr>
          <w:p>
            <w:pPr>
              <w:spacing w:before="0" w:after="0"/>
            </w:pPr>
            <w:r>
              <w:rPr>
                <w:rFonts w:ascii="Arial" w:hAnsi="Arial"/>
                <w:b/>
                <w:sz w:val="17"/>
              </w:rPr>
              <w:t>Generación de PDFs</w:t>
            </w:r>
          </w:p>
        </w:tc>
        <w:tc>
          <w:tcPr>
            <w:tcW w:type="dxa" w:w="2154"/>
            <w:shd w:val="clear" w:color="auto" w:fill="F2F4F7"/>
            <w:tcMar>
              <w:top w:w="60" w:type="dxa"/>
              <w:left w:w="110" w:type="dxa"/>
              <w:bottom w:w="60" w:type="dxa"/>
              <w:right w:w="110" w:type="dxa"/>
            </w:tcMar>
          </w:tcPr>
          <w:p>
            <w:pPr>
              <w:spacing w:before="0" w:after="0"/>
            </w:pPr>
            <w:r>
              <w:rPr>
                <w:rFonts w:ascii="Arial" w:hAnsi="Arial"/>
                <w:sz w:val="17"/>
              </w:rPr>
              <w:t>WeasyPrint / Puppeteer</w:t>
            </w:r>
          </w:p>
        </w:tc>
        <w:tc>
          <w:tcPr>
            <w:tcW w:type="dxa" w:w="4762"/>
            <w:shd w:val="clear" w:color="auto" w:fill="F2F4F7"/>
            <w:tcMar>
              <w:top w:w="60" w:type="dxa"/>
              <w:left w:w="110" w:type="dxa"/>
              <w:bottom w:w="60" w:type="dxa"/>
              <w:right w:w="110" w:type="dxa"/>
            </w:tcMar>
          </w:tcPr>
          <w:p>
            <w:pPr>
              <w:spacing w:before="0" w:after="0"/>
            </w:pPr>
            <w:r>
              <w:rPr>
                <w:rFonts w:ascii="Arial" w:hAnsi="Arial"/>
                <w:sz w:val="17"/>
              </w:rPr>
              <w:t>Documentos con plantillas HTML/CSS de marca.</w:t>
            </w:r>
          </w:p>
        </w:tc>
      </w:tr>
      <w:tr>
        <w:tc>
          <w:tcPr>
            <w:tcW w:type="dxa" w:w="1587"/>
            <w:tcMar>
              <w:top w:w="60" w:type="dxa"/>
              <w:left w:w="110" w:type="dxa"/>
              <w:bottom w:w="60" w:type="dxa"/>
              <w:right w:w="110" w:type="dxa"/>
            </w:tcMar>
          </w:tcPr>
          <w:p>
            <w:pPr>
              <w:spacing w:before="0" w:after="0"/>
            </w:pPr>
            <w:r>
              <w:rPr>
                <w:rFonts w:ascii="Arial" w:hAnsi="Arial"/>
                <w:b/>
                <w:sz w:val="17"/>
              </w:rPr>
              <w:t>Autenticación</w:t>
            </w:r>
          </w:p>
        </w:tc>
        <w:tc>
          <w:tcPr>
            <w:tcW w:type="dxa" w:w="2154"/>
            <w:tcMar>
              <w:top w:w="60" w:type="dxa"/>
              <w:left w:w="110" w:type="dxa"/>
              <w:bottom w:w="60" w:type="dxa"/>
              <w:right w:w="110" w:type="dxa"/>
            </w:tcMar>
          </w:tcPr>
          <w:p>
            <w:pPr>
              <w:spacing w:before="0" w:after="0"/>
            </w:pPr>
            <w:r>
              <w:rPr>
                <w:rFonts w:ascii="Arial" w:hAnsi="Arial"/>
                <w:sz w:val="17"/>
              </w:rPr>
              <w:t>JWT propio / Auth0</w:t>
            </w:r>
          </w:p>
        </w:tc>
        <w:tc>
          <w:tcPr>
            <w:tcW w:type="dxa" w:w="4762"/>
            <w:tcMar>
              <w:top w:w="60" w:type="dxa"/>
              <w:left w:w="110" w:type="dxa"/>
              <w:bottom w:w="60" w:type="dxa"/>
              <w:right w:w="110" w:type="dxa"/>
            </w:tcMar>
          </w:tcPr>
          <w:p>
            <w:pPr>
              <w:spacing w:before="0" w:after="0"/>
            </w:pPr>
            <w:r>
              <w:rPr>
                <w:rFonts w:ascii="Arial" w:hAnsi="Arial"/>
                <w:sz w:val="17"/>
              </w:rPr>
              <w:t>Acceso por rol: Dirección, Operaciones, Comercial, Tecnología.</w:t>
            </w:r>
          </w:p>
        </w:tc>
      </w:tr>
      <w:tr>
        <w:tc>
          <w:tcPr>
            <w:tcW w:type="dxa" w:w="1587"/>
            <w:shd w:val="clear" w:color="auto" w:fill="F2F4F7"/>
            <w:tcMar>
              <w:top w:w="60" w:type="dxa"/>
              <w:left w:w="110" w:type="dxa"/>
              <w:bottom w:w="60" w:type="dxa"/>
              <w:right w:w="110" w:type="dxa"/>
            </w:tcMar>
          </w:tcPr>
          <w:p>
            <w:pPr>
              <w:spacing w:before="0" w:after="0"/>
            </w:pPr>
            <w:r>
              <w:rPr>
                <w:rFonts w:ascii="Arial" w:hAnsi="Arial"/>
                <w:b/>
                <w:sz w:val="17"/>
              </w:rPr>
              <w:t>Respaldos</w:t>
            </w:r>
          </w:p>
        </w:tc>
        <w:tc>
          <w:tcPr>
            <w:tcW w:type="dxa" w:w="2154"/>
            <w:shd w:val="clear" w:color="auto" w:fill="F2F4F7"/>
            <w:tcMar>
              <w:top w:w="60" w:type="dxa"/>
              <w:left w:w="110" w:type="dxa"/>
              <w:bottom w:w="60" w:type="dxa"/>
              <w:right w:w="110" w:type="dxa"/>
            </w:tcMar>
          </w:tcPr>
          <w:p>
            <w:pPr>
              <w:spacing w:before="0" w:after="0"/>
            </w:pPr>
            <w:r>
              <w:rPr>
                <w:rFonts w:ascii="Arial" w:hAnsi="Arial"/>
                <w:sz w:val="17"/>
              </w:rPr>
              <w:t>Backup diario a almacenamiento externo</w:t>
            </w:r>
          </w:p>
        </w:tc>
        <w:tc>
          <w:tcPr>
            <w:tcW w:type="dxa" w:w="4762"/>
            <w:shd w:val="clear" w:color="auto" w:fill="F2F4F7"/>
            <w:tcMar>
              <w:top w:w="60" w:type="dxa"/>
              <w:left w:w="110" w:type="dxa"/>
              <w:bottom w:w="60" w:type="dxa"/>
              <w:right w:w="110" w:type="dxa"/>
            </w:tcMar>
          </w:tcPr>
          <w:p>
            <w:pPr>
              <w:spacing w:before="0" w:after="0"/>
            </w:pPr>
            <w:r>
              <w:rPr>
                <w:rFonts w:ascii="Arial" w:hAnsi="Arial"/>
                <w:sz w:val="17"/>
              </w:rPr>
              <w:t>Protección de la cartera y de los datos financieros.</w:t>
            </w:r>
          </w:p>
        </w:tc>
      </w:tr>
    </w:tbl>
    <w:p>
      <w:pPr>
        <w:spacing w:after="40"/>
      </w:pPr>
    </w:p>
    <w:p>
      <w:r>
        <w:rPr>
          <w:b w:val="0"/>
          <w:i w:val="0"/>
        </w:rPr>
        <w:t>El entorno de desarrollo es Claude Code, que permite construir el software de forma iterativa y conversacional, sin requerir un equipo de ingeniería tradicional para arrancar.</w:t>
      </w:r>
    </w:p>
    <w:p>
      <w:pPr>
        <w:pStyle w:val="Heading2"/>
      </w:pPr>
      <w:r>
        <w:t>1.3 Inventario Semántico: Los 10 Schemas Base</w:t>
      </w:r>
    </w:p>
    <w:p>
      <w:r>
        <w:rPr>
          <w:b w:val="0"/>
          <w:i w:val="0"/>
        </w:rPr>
        <w:t>El SGA no es una base de datos plana. Se estructura en schemas temáticos que constituyen el contorno semántico de la empresa: el universo de entidades sobre el cual se modela todo el negocio. La frontera semántica se amplía de 9 a 10 schemas con la incorporación de audiencia, que da soporte a los canales digitales activos y a la fidelización. Esta ampliación se hace extendiendo el ecosistema de forma ordenada —un nuevo dominio dentro de la misma arquitectura—, nunca creando silos independientes.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1B3A6B"/>
            <w:tcMar>
              <w:top w:w="60" w:type="dxa"/>
              <w:left w:w="110" w:type="dxa"/>
              <w:bottom w:w="60" w:type="dxa"/>
              <w:right w:w="110" w:type="dxa"/>
            </w:tcMar>
          </w:tcPr>
          <w:p>
            <w:pPr>
              <w:spacing w:before="0" w:after="0"/>
            </w:pPr>
            <w:r>
              <w:rPr>
                <w:rFonts w:ascii="Arial" w:hAnsi="Arial"/>
                <w:b/>
                <w:color w:val="FFFFFF"/>
                <w:sz w:val="17"/>
              </w:rPr>
              <w:t>Schema</w:t>
            </w:r>
          </w:p>
        </w:tc>
        <w:tc>
          <w:tcPr>
            <w:tcW w:type="dxa" w:w="1077"/>
            <w:shd w:val="clear" w:color="auto" w:fill="1B3A6B"/>
            <w:tcMar>
              <w:top w:w="60" w:type="dxa"/>
              <w:left w:w="110" w:type="dxa"/>
              <w:bottom w:w="60" w:type="dxa"/>
              <w:right w:w="110" w:type="dxa"/>
            </w:tcMar>
          </w:tcPr>
          <w:p>
            <w:pPr>
              <w:spacing w:before="0" w:after="0"/>
            </w:pPr>
            <w:r>
              <w:rPr>
                <w:rFonts w:ascii="Arial" w:hAnsi="Arial"/>
                <w:b/>
                <w:color w:val="FFFFFF"/>
                <w:sz w:val="17"/>
              </w:rPr>
              <w:t>Tablas aprox.</w:t>
            </w:r>
          </w:p>
        </w:tc>
        <w:tc>
          <w:tcPr>
            <w:tcW w:type="dxa" w:w="5839"/>
            <w:shd w:val="clear" w:color="auto" w:fill="1B3A6B"/>
            <w:tcMar>
              <w:top w:w="60" w:type="dxa"/>
              <w:left w:w="110" w:type="dxa"/>
              <w:bottom w:w="60" w:type="dxa"/>
              <w:right w:w="110" w:type="dxa"/>
            </w:tcMar>
          </w:tcPr>
          <w:p>
            <w:pPr>
              <w:spacing w:before="0" w:after="0"/>
            </w:pPr>
            <w:r>
              <w:rPr>
                <w:rFonts w:ascii="Arial" w:hAnsi="Arial"/>
                <w:b/>
                <w:color w:val="FFFFFF"/>
                <w:sz w:val="17"/>
              </w:rPr>
              <w:t>Función nuclear</w:t>
            </w:r>
          </w:p>
        </w:tc>
      </w:tr>
      <w:tr>
        <w:tc>
          <w:tcPr>
            <w:tcW w:type="dxa" w:w="1701"/>
            <w:tcMar>
              <w:top w:w="60" w:type="dxa"/>
              <w:left w:w="110" w:type="dxa"/>
              <w:bottom w:w="60" w:type="dxa"/>
              <w:right w:w="110" w:type="dxa"/>
            </w:tcMar>
          </w:tcPr>
          <w:p>
            <w:pPr>
              <w:spacing w:before="0" w:after="0"/>
            </w:pPr>
            <w:r>
              <w:rPr>
                <w:rFonts w:ascii="Arial" w:hAnsi="Arial"/>
                <w:b/>
                <w:sz w:val="17"/>
              </w:rPr>
              <w:t>agenda</w:t>
            </w:r>
          </w:p>
        </w:tc>
        <w:tc>
          <w:tcPr>
            <w:tcW w:type="dxa" w:w="1077"/>
            <w:tcMar>
              <w:top w:w="60" w:type="dxa"/>
              <w:left w:w="110" w:type="dxa"/>
              <w:bottom w:w="60" w:type="dxa"/>
              <w:right w:w="110" w:type="dxa"/>
            </w:tcMar>
          </w:tcPr>
          <w:p>
            <w:pPr>
              <w:spacing w:before="0" w:after="0"/>
            </w:pPr>
            <w:r>
              <w:rPr>
                <w:rFonts w:ascii="Arial" w:hAnsi="Arial"/>
                <w:sz w:val="17"/>
              </w:rPr>
              <w:t>3</w:t>
            </w:r>
          </w:p>
        </w:tc>
        <w:tc>
          <w:tcPr>
            <w:tcW w:type="dxa" w:w="5839"/>
            <w:tcMar>
              <w:top w:w="60" w:type="dxa"/>
              <w:left w:w="110" w:type="dxa"/>
              <w:bottom w:w="60" w:type="dxa"/>
              <w:right w:w="110" w:type="dxa"/>
            </w:tcMar>
          </w:tcPr>
          <w:p>
            <w:pPr>
              <w:spacing w:before="0" w:after="0"/>
            </w:pPr>
            <w:r>
              <w:rPr>
                <w:rFonts w:ascii="Arial" w:hAnsi="Arial"/>
                <w:sz w:val="17"/>
              </w:rPr>
              <w:t>Calendarización de obligaciones, tareas y categorías que ordenan el tiempo del equipo.</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comunicacion</w:t>
            </w:r>
          </w:p>
        </w:tc>
        <w:tc>
          <w:tcPr>
            <w:tcW w:type="dxa" w:w="1077"/>
            <w:shd w:val="clear" w:color="auto" w:fill="F2F4F7"/>
            <w:tcMar>
              <w:top w:w="60" w:type="dxa"/>
              <w:left w:w="110" w:type="dxa"/>
              <w:bottom w:w="60" w:type="dxa"/>
              <w:right w:w="110" w:type="dxa"/>
            </w:tcMar>
          </w:tcPr>
          <w:p>
            <w:pPr>
              <w:spacing w:before="0" w:after="0"/>
            </w:pPr>
            <w:r>
              <w:rPr>
                <w:rFonts w:ascii="Arial" w:hAnsi="Arial"/>
                <w:sz w:val="17"/>
              </w:rPr>
              <w:t>9+</w:t>
            </w:r>
          </w:p>
        </w:tc>
        <w:tc>
          <w:tcPr>
            <w:tcW w:type="dxa" w:w="5839"/>
            <w:shd w:val="clear" w:color="auto" w:fill="F2F4F7"/>
            <w:tcMar>
              <w:top w:w="60" w:type="dxa"/>
              <w:left w:w="110" w:type="dxa"/>
              <w:bottom w:w="60" w:type="dxa"/>
              <w:right w:w="110" w:type="dxa"/>
            </w:tcMar>
          </w:tcPr>
          <w:p>
            <w:pPr>
              <w:spacing w:before="0" w:after="0"/>
            </w:pPr>
            <w:r>
              <w:rPr>
                <w:rFonts w:ascii="Arial" w:hAnsi="Arial"/>
                <w:sz w:val="17"/>
              </w:rPr>
              <w:t>Trazabilidad de envíos a clientes, compañías y autoridad (tabla espejo por cada tabla comunicada). Ampliado como cliente de correo centralizado (ver §6).</w:t>
            </w:r>
          </w:p>
        </w:tc>
      </w:tr>
      <w:tr>
        <w:tc>
          <w:tcPr>
            <w:tcW w:type="dxa" w:w="1701"/>
            <w:tcMar>
              <w:top w:w="60" w:type="dxa"/>
              <w:left w:w="110" w:type="dxa"/>
              <w:bottom w:w="60" w:type="dxa"/>
              <w:right w:w="110" w:type="dxa"/>
            </w:tcMar>
          </w:tcPr>
          <w:p>
            <w:pPr>
              <w:spacing w:before="0" w:after="0"/>
            </w:pPr>
            <w:r>
              <w:rPr>
                <w:rFonts w:ascii="Arial" w:hAnsi="Arial"/>
                <w:b/>
                <w:sz w:val="17"/>
              </w:rPr>
              <w:t>configuracion</w:t>
            </w:r>
          </w:p>
        </w:tc>
        <w:tc>
          <w:tcPr>
            <w:tcW w:type="dxa" w:w="1077"/>
            <w:tcMar>
              <w:top w:w="60" w:type="dxa"/>
              <w:left w:w="110" w:type="dxa"/>
              <w:bottom w:w="60" w:type="dxa"/>
              <w:right w:w="110" w:type="dxa"/>
            </w:tcMar>
          </w:tcPr>
          <w:p>
            <w:pPr>
              <w:spacing w:before="0" w:after="0"/>
            </w:pPr>
            <w:r>
              <w:rPr>
                <w:rFonts w:ascii="Arial" w:hAnsi="Arial"/>
                <w:sz w:val="17"/>
              </w:rPr>
              <w:t>11</w:t>
            </w:r>
          </w:p>
        </w:tc>
        <w:tc>
          <w:tcPr>
            <w:tcW w:type="dxa" w:w="5839"/>
            <w:tcMar>
              <w:top w:w="60" w:type="dxa"/>
              <w:left w:w="110" w:type="dxa"/>
              <w:bottom w:w="60" w:type="dxa"/>
              <w:right w:w="110" w:type="dxa"/>
            </w:tcMar>
          </w:tcPr>
          <w:p>
            <w:pPr>
              <w:spacing w:before="0" w:after="0"/>
            </w:pPr>
            <w:r>
              <w:rPr>
                <w:rFonts w:ascii="Arial" w:hAnsi="Arial"/>
                <w:sz w:val="17"/>
              </w:rPr>
              <w:t>Cerebro técnico: parámetros, filtros, indicadores UF/USD, usuarios, automatizaciones y parametrización de botoneras de acción (ver §6.4).</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contabilidad</w:t>
            </w:r>
          </w:p>
        </w:tc>
        <w:tc>
          <w:tcPr>
            <w:tcW w:type="dxa" w:w="1077"/>
            <w:shd w:val="clear" w:color="auto" w:fill="F2F4F7"/>
            <w:tcMar>
              <w:top w:w="60" w:type="dxa"/>
              <w:left w:w="110" w:type="dxa"/>
              <w:bottom w:w="60" w:type="dxa"/>
              <w:right w:w="110" w:type="dxa"/>
            </w:tcMar>
          </w:tcPr>
          <w:p>
            <w:pPr>
              <w:spacing w:before="0" w:after="0"/>
            </w:pPr>
            <w:r>
              <w:rPr>
                <w:rFonts w:ascii="Arial" w:hAnsi="Arial"/>
                <w:sz w:val="17"/>
              </w:rPr>
              <w:t>10</w:t>
            </w:r>
          </w:p>
        </w:tc>
        <w:tc>
          <w:tcPr>
            <w:tcW w:type="dxa" w:w="5839"/>
            <w:shd w:val="clear" w:color="auto" w:fill="F2F4F7"/>
            <w:tcMar>
              <w:top w:w="60" w:type="dxa"/>
              <w:left w:w="110" w:type="dxa"/>
              <w:bottom w:w="60" w:type="dxa"/>
              <w:right w:w="110" w:type="dxa"/>
            </w:tcMar>
          </w:tcPr>
          <w:p>
            <w:pPr>
              <w:spacing w:before="0" w:after="0"/>
            </w:pPr>
            <w:r>
              <w:rPr>
                <w:rFonts w:ascii="Arial" w:hAnsi="Arial"/>
                <w:sz w:val="17"/>
              </w:rPr>
              <w:t>Cuentas corrientes, pagos de clientes, documentos contables, liquidaciones a partners, fondos, FECU, PPM.</w:t>
            </w:r>
          </w:p>
        </w:tc>
      </w:tr>
      <w:tr>
        <w:tc>
          <w:tcPr>
            <w:tcW w:type="dxa" w:w="1701"/>
            <w:tcMar>
              <w:top w:w="60" w:type="dxa"/>
              <w:left w:w="110" w:type="dxa"/>
              <w:bottom w:w="60" w:type="dxa"/>
              <w:right w:w="110" w:type="dxa"/>
            </w:tcMar>
          </w:tcPr>
          <w:p>
            <w:pPr>
              <w:spacing w:before="0" w:after="0"/>
            </w:pPr>
            <w:r>
              <w:rPr>
                <w:rFonts w:ascii="Arial" w:hAnsi="Arial"/>
                <w:b/>
                <w:sz w:val="17"/>
              </w:rPr>
              <w:t>cruce_tablas</w:t>
            </w:r>
          </w:p>
        </w:tc>
        <w:tc>
          <w:tcPr>
            <w:tcW w:type="dxa" w:w="1077"/>
            <w:tcMar>
              <w:top w:w="60" w:type="dxa"/>
              <w:left w:w="110" w:type="dxa"/>
              <w:bottom w:w="60" w:type="dxa"/>
              <w:right w:w="110" w:type="dxa"/>
            </w:tcMar>
          </w:tcPr>
          <w:p>
            <w:pPr>
              <w:spacing w:before="0" w:after="0"/>
            </w:pPr>
            <w:r>
              <w:rPr>
                <w:rFonts w:ascii="Arial" w:hAnsi="Arial"/>
                <w:sz w:val="17"/>
              </w:rPr>
              <w:t>10+</w:t>
            </w:r>
          </w:p>
        </w:tc>
        <w:tc>
          <w:tcPr>
            <w:tcW w:type="dxa" w:w="5839"/>
            <w:tcMar>
              <w:top w:w="60" w:type="dxa"/>
              <w:left w:w="110" w:type="dxa"/>
              <w:bottom w:w="60" w:type="dxa"/>
              <w:right w:w="110" w:type="dxa"/>
            </w:tcMar>
          </w:tcPr>
          <w:p>
            <w:pPr>
              <w:spacing w:before="0" w:after="0"/>
            </w:pPr>
            <w:r>
              <w:rPr>
                <w:rFonts w:ascii="Arial" w:hAnsi="Arial"/>
                <w:sz w:val="17"/>
              </w:rPr>
              <w:t>Tablas puente para relaciones muchos-a-muchos entre entidades; incluye los puentes de vinculación de correos (ver §6.2).</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datos</w:t>
            </w:r>
          </w:p>
        </w:tc>
        <w:tc>
          <w:tcPr>
            <w:tcW w:type="dxa" w:w="1077"/>
            <w:shd w:val="clear" w:color="auto" w:fill="F2F4F7"/>
            <w:tcMar>
              <w:top w:w="60" w:type="dxa"/>
              <w:left w:w="110" w:type="dxa"/>
              <w:bottom w:w="60" w:type="dxa"/>
              <w:right w:w="110" w:type="dxa"/>
            </w:tcMar>
          </w:tcPr>
          <w:p>
            <w:pPr>
              <w:spacing w:before="0" w:after="0"/>
            </w:pPr>
            <w:r>
              <w:rPr>
                <w:rFonts w:ascii="Arial" w:hAnsi="Arial"/>
                <w:sz w:val="17"/>
              </w:rPr>
              <w:t>6</w:t>
            </w:r>
          </w:p>
        </w:tc>
        <w:tc>
          <w:tcPr>
            <w:tcW w:type="dxa" w:w="5839"/>
            <w:shd w:val="clear" w:color="auto" w:fill="F2F4F7"/>
            <w:tcMar>
              <w:top w:w="60" w:type="dxa"/>
              <w:left w:w="110" w:type="dxa"/>
              <w:bottom w:w="60" w:type="dxa"/>
              <w:right w:w="110" w:type="dxa"/>
            </w:tcMar>
          </w:tcPr>
          <w:p>
            <w:pPr>
              <w:spacing w:before="0" w:after="0"/>
            </w:pPr>
            <w:r>
              <w:rPr>
                <w:rFonts w:ascii="Arial" w:hAnsi="Arial"/>
                <w:sz w:val="17"/>
              </w:rPr>
              <w:t>Base maestra: RUTs, vehículos, inmuebles, otras materias, vida y salud con cargas.</w:t>
            </w:r>
          </w:p>
        </w:tc>
      </w:tr>
      <w:tr>
        <w:tc>
          <w:tcPr>
            <w:tcW w:type="dxa" w:w="1701"/>
            <w:tcMar>
              <w:top w:w="60" w:type="dxa"/>
              <w:left w:w="110" w:type="dxa"/>
              <w:bottom w:w="60" w:type="dxa"/>
              <w:right w:w="110" w:type="dxa"/>
            </w:tcMar>
          </w:tcPr>
          <w:p>
            <w:pPr>
              <w:spacing w:before="0" w:after="0"/>
            </w:pPr>
            <w:r>
              <w:rPr>
                <w:rFonts w:ascii="Arial" w:hAnsi="Arial"/>
                <w:b/>
                <w:sz w:val="17"/>
              </w:rPr>
              <w:t>grupos</w:t>
            </w:r>
          </w:p>
        </w:tc>
        <w:tc>
          <w:tcPr>
            <w:tcW w:type="dxa" w:w="1077"/>
            <w:tcMar>
              <w:top w:w="60" w:type="dxa"/>
              <w:left w:w="110" w:type="dxa"/>
              <w:bottom w:w="60" w:type="dxa"/>
              <w:right w:w="110" w:type="dxa"/>
            </w:tcMar>
          </w:tcPr>
          <w:p>
            <w:pPr>
              <w:spacing w:before="0" w:after="0"/>
            </w:pPr>
            <w:r>
              <w:rPr>
                <w:rFonts w:ascii="Arial" w:hAnsi="Arial"/>
                <w:sz w:val="17"/>
              </w:rPr>
              <w:t>3</w:t>
            </w:r>
          </w:p>
        </w:tc>
        <w:tc>
          <w:tcPr>
            <w:tcW w:type="dxa" w:w="5839"/>
            <w:tcMar>
              <w:top w:w="60" w:type="dxa"/>
              <w:left w:w="110" w:type="dxa"/>
              <w:bottom w:w="60" w:type="dxa"/>
              <w:right w:w="110" w:type="dxa"/>
            </w:tcMar>
          </w:tcPr>
          <w:p>
            <w:pPr>
              <w:spacing w:before="0" w:after="0"/>
            </w:pPr>
            <w:r>
              <w:rPr>
                <w:rFonts w:ascii="Arial" w:hAnsi="Arial"/>
                <w:sz w:val="17"/>
              </w:rPr>
              <w:t>Agregación lógica: clientes (agrupa RUTs), materias y entidades.</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operaciones</w:t>
            </w:r>
          </w:p>
        </w:tc>
        <w:tc>
          <w:tcPr>
            <w:tcW w:type="dxa" w:w="1077"/>
            <w:shd w:val="clear" w:color="auto" w:fill="F2F4F7"/>
            <w:tcMar>
              <w:top w:w="60" w:type="dxa"/>
              <w:left w:w="110" w:type="dxa"/>
              <w:bottom w:w="60" w:type="dxa"/>
              <w:right w:w="110" w:type="dxa"/>
            </w:tcMar>
          </w:tcPr>
          <w:p>
            <w:pPr>
              <w:spacing w:before="0" w:after="0"/>
            </w:pPr>
            <w:r>
              <w:rPr>
                <w:rFonts w:ascii="Arial" w:hAnsi="Arial"/>
                <w:sz w:val="17"/>
              </w:rPr>
              <w:t>15</w:t>
            </w:r>
          </w:p>
        </w:tc>
        <w:tc>
          <w:tcPr>
            <w:tcW w:type="dxa" w:w="5839"/>
            <w:shd w:val="clear" w:color="auto" w:fill="F2F4F7"/>
            <w:tcMar>
              <w:top w:w="60" w:type="dxa"/>
              <w:left w:w="110" w:type="dxa"/>
              <w:bottom w:w="60" w:type="dxa"/>
              <w:right w:w="110" w:type="dxa"/>
            </w:tcMar>
          </w:tcPr>
          <w:p>
            <w:pPr>
              <w:spacing w:before="0" w:after="0"/>
            </w:pPr>
            <w:r>
              <w:rPr>
                <w:rFonts w:ascii="Arial" w:hAnsi="Arial"/>
                <w:sz w:val="17"/>
              </w:rPr>
              <w:t>Catálogo técnico del mercado: compañías, ANS, ramos, seguros, productos, planes, coberturas, POLs, ejecutivos, partners, proveedores, bancos.</w:t>
            </w:r>
          </w:p>
        </w:tc>
      </w:tr>
      <w:tr>
        <w:tc>
          <w:tcPr>
            <w:tcW w:type="dxa" w:w="1701"/>
            <w:tcMar>
              <w:top w:w="60" w:type="dxa"/>
              <w:left w:w="110" w:type="dxa"/>
              <w:bottom w:w="60" w:type="dxa"/>
              <w:right w:w="110" w:type="dxa"/>
            </w:tcMar>
          </w:tcPr>
          <w:p>
            <w:pPr>
              <w:spacing w:before="0" w:after="0"/>
            </w:pPr>
            <w:r>
              <w:rPr>
                <w:rFonts w:ascii="Arial" w:hAnsi="Arial"/>
                <w:b/>
                <w:sz w:val="17"/>
              </w:rPr>
              <w:t>gestion</w:t>
            </w:r>
          </w:p>
        </w:tc>
        <w:tc>
          <w:tcPr>
            <w:tcW w:type="dxa" w:w="1077"/>
            <w:tcMar>
              <w:top w:w="60" w:type="dxa"/>
              <w:left w:w="110" w:type="dxa"/>
              <w:bottom w:w="60" w:type="dxa"/>
              <w:right w:w="110" w:type="dxa"/>
            </w:tcMar>
          </w:tcPr>
          <w:p>
            <w:pPr>
              <w:spacing w:before="0" w:after="0"/>
            </w:pPr>
            <w:r>
              <w:rPr>
                <w:rFonts w:ascii="Arial" w:hAnsi="Arial"/>
                <w:sz w:val="17"/>
              </w:rPr>
              <w:t>11</w:t>
            </w:r>
          </w:p>
        </w:tc>
        <w:tc>
          <w:tcPr>
            <w:tcW w:type="dxa" w:w="5839"/>
            <w:tcMar>
              <w:top w:w="60" w:type="dxa"/>
              <w:left w:w="110" w:type="dxa"/>
              <w:bottom w:w="60" w:type="dxa"/>
              <w:right w:w="110" w:type="dxa"/>
            </w:tcMar>
          </w:tcPr>
          <w:p>
            <w:pPr>
              <w:spacing w:before="0" w:after="0"/>
            </w:pPr>
            <w:r>
              <w:rPr>
                <w:rFonts w:ascii="Arial" w:hAnsi="Arial"/>
                <w:sz w:val="17"/>
              </w:rPr>
              <w:t>Core del negocio: registros, cotizaciones, pólizas, documentos, materias, planes de pago, cuotas, cobranza, solicitudes, siniestros, comisiones.</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audiencia</w:t>
            </w:r>
          </w:p>
        </w:tc>
        <w:tc>
          <w:tcPr>
            <w:tcW w:type="dxa" w:w="1077"/>
            <w:shd w:val="clear" w:color="auto" w:fill="F2F4F7"/>
            <w:tcMar>
              <w:top w:w="60" w:type="dxa"/>
              <w:left w:w="110" w:type="dxa"/>
              <w:bottom w:w="60" w:type="dxa"/>
              <w:right w:w="110" w:type="dxa"/>
            </w:tcMar>
          </w:tcPr>
          <w:p>
            <w:pPr>
              <w:spacing w:before="0" w:after="0"/>
            </w:pPr>
            <w:r>
              <w:rPr>
                <w:rFonts w:ascii="Arial" w:hAnsi="Arial"/>
                <w:sz w:val="17"/>
              </w:rPr>
              <w:t>nuevo</w:t>
            </w:r>
          </w:p>
        </w:tc>
        <w:tc>
          <w:tcPr>
            <w:tcW w:type="dxa" w:w="5839"/>
            <w:shd w:val="clear" w:color="auto" w:fill="F2F4F7"/>
            <w:tcMar>
              <w:top w:w="60" w:type="dxa"/>
              <w:left w:w="110" w:type="dxa"/>
              <w:bottom w:w="60" w:type="dxa"/>
              <w:right w:w="110" w:type="dxa"/>
            </w:tcMar>
          </w:tcPr>
          <w:p>
            <w:pPr>
              <w:spacing w:before="0" w:after="0"/>
            </w:pPr>
            <w:r>
              <w:rPr>
                <w:rFonts w:ascii="Arial" w:hAnsi="Arial"/>
                <w:sz w:val="17"/>
              </w:rPr>
              <w:t>10.º schema. Gestión de plataformas públicas (Web, RRSS), embudo de leads digitales (Inbound) y programas de fidelización del cliente (cumpleaños, concursos, cuidado).</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REGLA DE EVOLUCIÓN TECNOLÓGICA</w:t>
            </w:r>
          </w:p>
          <w:p>
            <w:pPr>
              <w:spacing w:before="60" w:after="0"/>
            </w:pPr>
            <w:r>
              <w:rPr>
                <w:rFonts w:ascii="Arial" w:hAnsi="Arial"/>
                <w:sz w:val="20"/>
              </w:rPr>
              <w:t>Estos 10 schemas son los límites semánticos del sistema. Toda evolución o adición de tablas se hace EXTENDIENDO el schema correspondiente de forma ordenada, NUNCA creando silos independientes. El propio schema audiencia es un ejemplo de la regla: una necesidad nueva (canales digitales y fidelización) se incorpora como un dominio dentro de la arquitectura, no como un sistema paralelo. Si una necesidad no encaja en ninguno, la creación de un nuevo dominio la deciden la Tecnología (CTO) y la Dirección General en conjunto, no de forma aislada.</w:t>
            </w:r>
          </w:p>
        </w:tc>
      </w:tr>
    </w:tbl>
    <w:p>
      <w:pPr>
        <w:spacing w:after="40"/>
      </w:pPr>
    </w:p>
    <w:p>
      <w:pPr>
        <w:pStyle w:val="Heading2"/>
      </w:pPr>
      <w:r>
        <w:t>1.4 Estatus de Inicialización del Núcleo de Datos</w:t>
      </w:r>
    </w:p>
    <w:p>
      <w:r>
        <w:rPr>
          <w:b w:val="0"/>
          <w:i w:val="0"/>
        </w:rPr>
        <w:t>El stack relacional no es una aspiración: es infraestructura productiva. La base de datos PostgreSQL está inicializada y operativa con sus 9 schemas base creados. Sobre esa base se ejecutó y completó la primera fase del desarrollo técnico (Fase 1 del Execution Roadmap).</w:t>
      </w:r>
    </w:p>
    <w:tbl>
      <w:tblPr>
        <w:tblStyle w:val="TableGrid"/>
        <w:tblW w:type="auto" w:w="0"/>
        <w:jc w:val="center"/>
        <w:tblLook w:firstColumn="1" w:firstRow="1" w:lastColumn="0" w:lastRow="0" w:noHBand="0" w:noVBand="1" w:val="04A0"/>
      </w:tblPr>
      <w:tblGrid>
        <w:gridCol w:w="2880"/>
        <w:gridCol w:w="2880"/>
        <w:gridCol w:w="2880"/>
      </w:tblGrid>
      <w:tr>
        <w:tc>
          <w:tcPr>
            <w:tcW w:type="dxa" w:w="2608"/>
            <w:shd w:val="clear" w:color="auto" w:fill="1B3A6B"/>
            <w:tcMar>
              <w:top w:w="60" w:type="dxa"/>
              <w:left w:w="110" w:type="dxa"/>
              <w:bottom w:w="60" w:type="dxa"/>
              <w:right w:w="110" w:type="dxa"/>
            </w:tcMar>
          </w:tcPr>
          <w:p>
            <w:pPr>
              <w:spacing w:before="0" w:after="0"/>
            </w:pPr>
            <w:r>
              <w:rPr>
                <w:rFonts w:ascii="Arial" w:hAnsi="Arial"/>
                <w:b/>
                <w:color w:val="FFFFFF"/>
                <w:sz w:val="17"/>
              </w:rPr>
              <w:t>Hito técnico</w:t>
            </w:r>
          </w:p>
        </w:tc>
        <w:tc>
          <w:tcPr>
            <w:tcW w:type="dxa" w:w="1474"/>
            <w:shd w:val="clear" w:color="auto" w:fill="1B3A6B"/>
            <w:tcMar>
              <w:top w:w="60" w:type="dxa"/>
              <w:left w:w="110" w:type="dxa"/>
              <w:bottom w:w="60" w:type="dxa"/>
              <w:right w:w="110" w:type="dxa"/>
            </w:tcMar>
          </w:tcPr>
          <w:p>
            <w:pPr>
              <w:spacing w:before="0" w:after="0"/>
            </w:pPr>
            <w:r>
              <w:rPr>
                <w:rFonts w:ascii="Arial" w:hAnsi="Arial"/>
                <w:b/>
                <w:color w:val="FFFFFF"/>
                <w:sz w:val="17"/>
              </w:rPr>
              <w:t>Estatus</w:t>
            </w:r>
          </w:p>
        </w:tc>
        <w:tc>
          <w:tcPr>
            <w:tcW w:type="dxa" w:w="4422"/>
            <w:shd w:val="clear" w:color="auto" w:fill="1B3A6B"/>
            <w:tcMar>
              <w:top w:w="60" w:type="dxa"/>
              <w:left w:w="110" w:type="dxa"/>
              <w:bottom w:w="60" w:type="dxa"/>
              <w:right w:w="110" w:type="dxa"/>
            </w:tcMar>
          </w:tcPr>
          <w:p>
            <w:pPr>
              <w:spacing w:before="0" w:after="0"/>
            </w:pPr>
            <w:r>
              <w:rPr>
                <w:rFonts w:ascii="Arial" w:hAnsi="Arial"/>
                <w:b/>
                <w:color w:val="FFFFFF"/>
                <w:sz w:val="17"/>
              </w:rPr>
              <w:t>Detalle</w:t>
            </w:r>
          </w:p>
        </w:tc>
      </w:tr>
      <w:tr>
        <w:tc>
          <w:tcPr>
            <w:tcW w:type="dxa" w:w="2608"/>
            <w:tcMar>
              <w:top w:w="60" w:type="dxa"/>
              <w:left w:w="110" w:type="dxa"/>
              <w:bottom w:w="60" w:type="dxa"/>
              <w:right w:w="110" w:type="dxa"/>
            </w:tcMar>
          </w:tcPr>
          <w:p>
            <w:pPr>
              <w:spacing w:before="0" w:after="0"/>
            </w:pPr>
            <w:r>
              <w:rPr>
                <w:rFonts w:ascii="Arial" w:hAnsi="Arial"/>
                <w:b/>
                <w:sz w:val="17"/>
              </w:rPr>
              <w:t>Inicialización del stack PostgreSQL</w:t>
            </w:r>
          </w:p>
        </w:tc>
        <w:tc>
          <w:tcPr>
            <w:tcW w:type="dxa" w:w="1474"/>
            <w:tcMar>
              <w:top w:w="60" w:type="dxa"/>
              <w:left w:w="110" w:type="dxa"/>
              <w:bottom w:w="60" w:type="dxa"/>
              <w:right w:w="110" w:type="dxa"/>
            </w:tcMar>
          </w:tcPr>
          <w:p>
            <w:pPr>
              <w:spacing w:before="0" w:after="0"/>
            </w:pPr>
            <w:r>
              <w:rPr>
                <w:rFonts w:ascii="Arial" w:hAnsi="Arial"/>
                <w:sz w:val="17"/>
              </w:rPr>
              <w:t>Operativo</w:t>
            </w:r>
          </w:p>
        </w:tc>
        <w:tc>
          <w:tcPr>
            <w:tcW w:type="dxa" w:w="4422"/>
            <w:tcMar>
              <w:top w:w="60" w:type="dxa"/>
              <w:left w:w="110" w:type="dxa"/>
              <w:bottom w:w="60" w:type="dxa"/>
              <w:right w:w="110" w:type="dxa"/>
            </w:tcMar>
          </w:tcPr>
          <w:p>
            <w:pPr>
              <w:spacing w:before="0" w:after="0"/>
            </w:pPr>
            <w:r>
              <w:rPr>
                <w:rFonts w:ascii="Arial" w:hAnsi="Arial"/>
                <w:sz w:val="17"/>
              </w:rPr>
              <w:t>9 schemas base creados y disponibles como frontera semántica.</w:t>
            </w:r>
          </w:p>
        </w:tc>
      </w:tr>
      <w:tr>
        <w:tc>
          <w:tcPr>
            <w:tcW w:type="dxa" w:w="2608"/>
            <w:shd w:val="clear" w:color="auto" w:fill="F2F4F7"/>
            <w:tcMar>
              <w:top w:w="60" w:type="dxa"/>
              <w:left w:w="110" w:type="dxa"/>
              <w:bottom w:w="60" w:type="dxa"/>
              <w:right w:w="110" w:type="dxa"/>
            </w:tcMar>
          </w:tcPr>
          <w:p>
            <w:pPr>
              <w:spacing w:before="0" w:after="0"/>
            </w:pPr>
            <w:r>
              <w:rPr>
                <w:rFonts w:ascii="Arial" w:hAnsi="Arial"/>
                <w:b/>
                <w:sz w:val="17"/>
              </w:rPr>
              <w:t>Migración masiva a datos.rut</w:t>
            </w:r>
          </w:p>
        </w:tc>
        <w:tc>
          <w:tcPr>
            <w:tcW w:type="dxa" w:w="1474"/>
            <w:shd w:val="clear" w:color="auto" w:fill="F2F4F7"/>
            <w:tcMar>
              <w:top w:w="60" w:type="dxa"/>
              <w:left w:w="110" w:type="dxa"/>
              <w:bottom w:w="60" w:type="dxa"/>
              <w:right w:w="110" w:type="dxa"/>
            </w:tcMar>
          </w:tcPr>
          <w:p>
            <w:pPr>
              <w:spacing w:before="0" w:after="0"/>
            </w:pPr>
            <w:r>
              <w:rPr>
                <w:rFonts w:ascii="Arial" w:hAnsi="Arial"/>
                <w:sz w:val="17"/>
              </w:rPr>
              <w:t>COMPLETADA</w:t>
            </w:r>
          </w:p>
        </w:tc>
        <w:tc>
          <w:tcPr>
            <w:tcW w:type="dxa" w:w="4422"/>
            <w:shd w:val="clear" w:color="auto" w:fill="F2F4F7"/>
            <w:tcMar>
              <w:top w:w="60" w:type="dxa"/>
              <w:left w:w="110" w:type="dxa"/>
              <w:bottom w:w="60" w:type="dxa"/>
              <w:right w:w="110" w:type="dxa"/>
            </w:tcMar>
          </w:tcPr>
          <w:p>
            <w:pPr>
              <w:spacing w:before="0" w:after="0"/>
            </w:pPr>
            <w:r>
              <w:rPr>
                <w:rFonts w:ascii="Arial" w:hAnsi="Arial"/>
                <w:sz w:val="17"/>
              </w:rPr>
              <w:t>Verificación y migración de la cartera base hacia la tabla definitiva datos.rut, finalizada con éxito absoluto.</w:t>
            </w:r>
          </w:p>
        </w:tc>
      </w:tr>
      <w:tr>
        <w:tc>
          <w:tcPr>
            <w:tcW w:type="dxa" w:w="2608"/>
            <w:tcMar>
              <w:top w:w="60" w:type="dxa"/>
              <w:left w:w="110" w:type="dxa"/>
              <w:bottom w:w="60" w:type="dxa"/>
              <w:right w:w="110" w:type="dxa"/>
            </w:tcMar>
          </w:tcPr>
          <w:p>
            <w:pPr>
              <w:spacing w:before="0" w:after="0"/>
            </w:pPr>
            <w:r>
              <w:rPr>
                <w:rFonts w:ascii="Arial" w:hAnsi="Arial"/>
                <w:b/>
                <w:sz w:val="17"/>
              </w:rPr>
              <w:t>Script de migración por chunks</w:t>
            </w:r>
          </w:p>
        </w:tc>
        <w:tc>
          <w:tcPr>
            <w:tcW w:type="dxa" w:w="1474"/>
            <w:tcMar>
              <w:top w:w="60" w:type="dxa"/>
              <w:left w:w="110" w:type="dxa"/>
              <w:bottom w:w="60" w:type="dxa"/>
              <w:right w:w="110" w:type="dxa"/>
            </w:tcMar>
          </w:tcPr>
          <w:p>
            <w:pPr>
              <w:spacing w:before="0" w:after="0"/>
            </w:pPr>
            <w:r>
              <w:rPr>
                <w:rFonts w:ascii="Arial" w:hAnsi="Arial"/>
                <w:sz w:val="17"/>
              </w:rPr>
              <w:t>Operacional</w:t>
            </w:r>
          </w:p>
        </w:tc>
        <w:tc>
          <w:tcPr>
            <w:tcW w:type="dxa" w:w="4422"/>
            <w:tcMar>
              <w:top w:w="60" w:type="dxa"/>
              <w:left w:w="110" w:type="dxa"/>
              <w:bottom w:w="60" w:type="dxa"/>
              <w:right w:w="110" w:type="dxa"/>
            </w:tcMar>
          </w:tcPr>
          <w:p>
            <w:pPr>
              <w:spacing w:before="0" w:after="0"/>
            </w:pPr>
            <w:r>
              <w:rPr>
                <w:rFonts w:ascii="Arial" w:hAnsi="Arial"/>
                <w:sz w:val="17"/>
              </w:rPr>
              <w:t>Procesamiento por lotes (chunks) e idempotencia: reejecutable sin duplicar ni corromper registros.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AF4EC"/>
            <w:tcMar>
              <w:top w:w="120" w:type="dxa"/>
              <w:left w:w="160" w:type="dxa"/>
              <w:bottom w:w="120" w:type="dxa"/>
              <w:right w:w="160" w:type="dxa"/>
            </w:tcMar>
          </w:tcPr>
          <w:p>
            <w:pPr>
              <w:spacing w:before="0" w:after="0"/>
            </w:pPr>
            <w:r>
              <w:rPr>
                <w:rFonts w:ascii="Arial" w:hAnsi="Arial"/>
                <w:b/>
                <w:color w:val="145A32"/>
                <w:sz w:val="21"/>
              </w:rPr>
              <w:t>✅ FASE 1 — COMPLETADA</w:t>
            </w:r>
          </w:p>
          <w:p>
            <w:pPr>
              <w:spacing w:before="60" w:after="0"/>
            </w:pPr>
            <w:r>
              <w:rPr>
                <w:rFonts w:ascii="Arial" w:hAnsi="Arial"/>
                <w:sz w:val="20"/>
              </w:rPr>
              <w:t>La Verificación y Migración Masiva de la cartera hacia datos.rut está finalizada y operativa. El script por chunks es idempotente (reejecutable sin efectos colaterales). datos.rut queda consagrada como la fuente única de verdad de la identidad de clientes, sobre la cual se construye toda la lógica de negocio del SGA.</w:t>
            </w:r>
          </w:p>
        </w:tc>
      </w:tr>
    </w:tbl>
    <w:p>
      <w:pPr>
        <w:spacing w:after="40"/>
      </w:pPr>
    </w:p>
    <w:p>
      <w:r>
        <w:br w:type="page"/>
      </w:r>
    </w:p>
    <w:p>
      <w:pPr>
        <w:pStyle w:val="Heading1"/>
      </w:pPr>
      <w:r>
        <w:t>2. Backend — Endpoint Genérico de Introspección (system.py)</w:t>
      </w:r>
    </w:p>
    <w:p>
      <w:pPr>
        <w:pStyle w:val="Heading2"/>
      </w:pPr>
      <w:r>
        <w:t>2.1 Problema que Resuelve</w:t>
      </w:r>
    </w:p>
    <w:p>
      <w:r>
        <w:rPr>
          <w:b w:val="0"/>
          <w:i w:val="0"/>
        </w:rPr>
        <w:t>Con cerca de 78 tablas distribuidas en 10 schemas, escribir y mantener un conjunto de endpoints CRUD por cada tabla sería inviable para un equipo reducido y multiplicaría la superficie de error. El módulo system.py expone una capa de introspección genérica: un solo conjunto de endpoints capaz de servir operaciones de lectura y escritura sobre cualquier tabla del catálogo, descubriendo su estructura en tiempo real desde el diccionario de datos de PostgreSQL (information_schema).</w:t>
      </w:r>
    </w:p>
    <w:p>
      <w:pPr>
        <w:pStyle w:val="Heading2"/>
      </w:pPr>
      <w:r>
        <w:t>2.2 CRUD Dinámico vía information_schema</w:t>
      </w:r>
    </w:p>
    <w:p>
      <w:r>
        <w:rPr>
          <w:b w:val="0"/>
          <w:i w:val="0"/>
        </w:rPr>
        <w:t>El endpoint resuelve la forma de cada tabla consultando information_schema.columns: nombres de columnas, tipos y obligatoriedad. Con esa metadata construye dinámicamente las consultas de listado, detalle, inserción, actualización y borrado, sin código específico por tabla.</w:t>
      </w:r>
    </w:p>
    <w:p>
      <w:pPr>
        <w:spacing w:before="80" w:after="0"/>
      </w:pPr>
      <w:r>
        <w:rPr>
          <w:rFonts w:ascii="Arial" w:hAnsi="Arial"/>
          <w:i/>
          <w:color w:val="4A4A4A"/>
          <w:sz w:val="17"/>
        </w:rPr>
        <w:t>Contrato de endpoints genéricos servidos por system.py</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GET    /api/{schema}/{table}        -&gt; listado paginado (ver Sección 3)</w:t>
            </w:r>
          </w:p>
          <w:p>
            <w:pPr>
              <w:spacing w:before="0" w:after="0"/>
            </w:pPr>
            <w:r>
              <w:rPr>
                <w:rFonts w:ascii="Consolas" w:hAnsi="Consolas"/>
                <w:color w:val="1B2B40"/>
                <w:sz w:val="17"/>
              </w:rPr>
              <w:t>GET    /api/{schema}/{table}/{id}   -&gt; detalle de un registro</w:t>
            </w:r>
          </w:p>
          <w:p>
            <w:pPr>
              <w:spacing w:before="0" w:after="0"/>
            </w:pPr>
            <w:r>
              <w:rPr>
                <w:rFonts w:ascii="Consolas" w:hAnsi="Consolas"/>
                <w:color w:val="1B2B40"/>
                <w:sz w:val="17"/>
              </w:rPr>
              <w:t>POST   /api/{schema}/{table}        -&gt; inserción (cuerpo validado contra columnas reales)</w:t>
            </w:r>
          </w:p>
          <w:p>
            <w:pPr>
              <w:spacing w:before="0" w:after="0"/>
            </w:pPr>
            <w:r>
              <w:rPr>
                <w:rFonts w:ascii="Consolas" w:hAnsi="Consolas"/>
                <w:color w:val="1B2B40"/>
                <w:sz w:val="17"/>
              </w:rPr>
              <w:t>PUT    /api/{schema}/{table}/{id}   -&gt; actualización parcial/total</w:t>
            </w:r>
          </w:p>
          <w:p>
            <w:pPr>
              <w:spacing w:before="0" w:after="0"/>
            </w:pPr>
            <w:r>
              <w:rPr>
                <w:rFonts w:ascii="Consolas" w:hAnsi="Consolas"/>
                <w:color w:val="1B2B40"/>
                <w:sz w:val="17"/>
              </w:rPr>
              <w:t>DELETE /api/{schema}/{table}/{id}   -&gt; borrado lógico o físico según política</w:t>
            </w:r>
          </w:p>
        </w:tc>
      </w:tr>
    </w:tbl>
    <w:p>
      <w:pPr>
        <w:spacing w:after="40"/>
      </w:pPr>
    </w:p>
    <w:p>
      <w:pPr>
        <w:spacing w:before="80" w:after="0"/>
      </w:pPr>
      <w:r>
        <w:rPr>
          <w:rFonts w:ascii="Arial" w:hAnsi="Arial"/>
          <w:i/>
          <w:color w:val="4A4A4A"/>
          <w:sz w:val="17"/>
        </w:rPr>
        <w:t>Introspección de la estructura desde el diccionario de datos</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 Descubrimiento de columnas reales de la tabla destino</w:t>
            </w:r>
          </w:p>
          <w:p>
            <w:pPr>
              <w:spacing w:before="0" w:after="0"/>
            </w:pPr>
            <w:r>
              <w:rPr>
                <w:rFonts w:ascii="Consolas" w:hAnsi="Consolas"/>
                <w:color w:val="1B2B40"/>
                <w:sz w:val="17"/>
              </w:rPr>
              <w:t>SELECT column_name, data_type, is_nullable</w:t>
            </w:r>
          </w:p>
          <w:p>
            <w:pPr>
              <w:spacing w:before="0" w:after="0"/>
            </w:pPr>
            <w:r>
              <w:rPr>
                <w:rFonts w:ascii="Consolas" w:hAnsi="Consolas"/>
                <w:color w:val="1B2B40"/>
                <w:sz w:val="17"/>
              </w:rPr>
              <w:t>FROM information_schema.columns</w:t>
            </w:r>
          </w:p>
          <w:p>
            <w:pPr>
              <w:spacing w:before="0" w:after="0"/>
            </w:pPr>
            <w:r>
              <w:rPr>
                <w:rFonts w:ascii="Consolas" w:hAnsi="Consolas"/>
                <w:color w:val="1B2B40"/>
                <w:sz w:val="17"/>
              </w:rPr>
              <w:t>WHERE table_schema = %(schema)s AND table_name = %(table)s;</w:t>
            </w:r>
          </w:p>
        </w:tc>
      </w:tr>
    </w:tbl>
    <w:p>
      <w:pPr>
        <w:spacing w:after="40"/>
      </w:pPr>
    </w:p>
    <w:p>
      <w:pPr>
        <w:pStyle w:val="Heading2"/>
      </w:pPr>
      <w:r>
        <w:t>2.3 Mitigación de SQL Injection</w:t>
      </w:r>
    </w:p>
    <w:p>
      <w:r>
        <w:rPr>
          <w:b w:val="0"/>
          <w:i w:val="0"/>
        </w:rPr>
        <w:t>Una capa genérica que recibe nombres de schema, tabla y columnas desde el exterior es un vector clásico de inyección SQL. La mitigación es estricta y se aplica en cada solicitud:</w:t>
      </w:r>
    </w:p>
    <w:p>
      <w:pPr>
        <w:pStyle w:val="ListNumber"/>
      </w:pPr>
      <w:r>
        <w:t>lista blanca dinámica: el schema y la tabla solicitados deben existir en information_schema; cualquier identificador ausente del catálogo se rechaza con error 404/400 antes de tocar la base de datos.</w:t>
      </w:r>
    </w:p>
    <w:p>
      <w:pPr>
        <w:pStyle w:val="ListNumber"/>
      </w:pPr>
      <w:r>
        <w:t>validación de columnas: solo se aceptan columnas que la introspección confirmó para esa tabla; los campos del cuerpo que no existan se descartan.</w:t>
      </w:r>
    </w:p>
    <w:p>
      <w:pPr>
        <w:pStyle w:val="ListNumber"/>
      </w:pPr>
      <w:r>
        <w:t>citado seguro de identificadores: los nombres validados se interpolan con el mecanismo de identificadores de la librería (p. ej. psycopg.sql.Identifier), nunca por concatenación de strings.</w:t>
      </w:r>
    </w:p>
    <w:p>
      <w:pPr>
        <w:pStyle w:val="ListNumber"/>
      </w:pPr>
      <w:r>
        <w:t>consultas parametrizadas: todos los VALORES viajan como parámetros enlazados (placeholders), jamás dentro del texto de la consulta.</w:t>
      </w:r>
    </w:p>
    <w:p>
      <w:pPr>
        <w:pStyle w:val="ListNumber"/>
      </w:pPr>
      <w:r>
        <w:t>alcance por rol: el JWT del usuario limita a qué schemas y operaciones puede acceder.</w:t>
      </w:r>
    </w:p>
    <w:p>
      <w:pPr>
        <w:spacing w:before="80" w:after="0"/>
      </w:pPr>
      <w:r>
        <w:rPr>
          <w:rFonts w:ascii="Arial" w:hAnsi="Arial"/>
          <w:i/>
          <w:color w:val="4A4A4A"/>
          <w:sz w:val="17"/>
        </w:rPr>
        <w:t>Patrón de construcción segura de consultas dinámicas</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from psycopg import sql</w:t>
            </w:r>
          </w:p>
          <w:p>
            <w:pPr>
              <w:spacing w:before="0" w:after="0"/>
            </w:pPr>
            <w:r>
              <w:rPr>
                <w:rFonts w:ascii="Consolas" w:hAnsi="Consolas"/>
                <w:color w:val="1B2B40"/>
                <w:sz w:val="17"/>
              </w:rPr>
              <w:t xml:space="preserve"> </w:t>
            </w:r>
          </w:p>
          <w:p>
            <w:pPr>
              <w:spacing w:before="0" w:after="0"/>
            </w:pPr>
            <w:r>
              <w:rPr>
                <w:rFonts w:ascii="Consolas" w:hAnsi="Consolas"/>
                <w:color w:val="1B2B40"/>
                <w:sz w:val="17"/>
              </w:rPr>
              <w:t># 'schema' y 'table' ya validados contra information_schema (lista blanca)</w:t>
            </w:r>
          </w:p>
          <w:p>
            <w:pPr>
              <w:spacing w:before="0" w:after="0"/>
            </w:pPr>
            <w:r>
              <w:rPr>
                <w:rFonts w:ascii="Consolas" w:hAnsi="Consolas"/>
                <w:color w:val="1B2B40"/>
                <w:sz w:val="17"/>
              </w:rPr>
              <w:t>if (schema, table) not in catalogo_introspeccionado:</w:t>
            </w:r>
          </w:p>
          <w:p>
            <w:pPr>
              <w:spacing w:before="0" w:after="0"/>
            </w:pPr>
            <w:r>
              <w:rPr>
                <w:rFonts w:ascii="Consolas" w:hAnsi="Consolas"/>
                <w:color w:val="1B2B40"/>
                <w:sz w:val="17"/>
              </w:rPr>
              <w:t xml:space="preserve">    raise HTTPException(status_code=404, detail='Entidad inexistente')</w:t>
            </w:r>
          </w:p>
          <w:p>
            <w:pPr>
              <w:spacing w:before="0" w:after="0"/>
            </w:pPr>
            <w:r>
              <w:rPr>
                <w:rFonts w:ascii="Consolas" w:hAnsi="Consolas"/>
                <w:color w:val="1B2B40"/>
                <w:sz w:val="17"/>
              </w:rPr>
              <w:t xml:space="preserve"> </w:t>
            </w:r>
          </w:p>
          <w:p>
            <w:pPr>
              <w:spacing w:before="0" w:after="0"/>
            </w:pPr>
            <w:r>
              <w:rPr>
                <w:rFonts w:ascii="Consolas" w:hAnsi="Consolas"/>
                <w:color w:val="1B2B40"/>
                <w:sz w:val="17"/>
              </w:rPr>
              <w:t>query = sql.SQL('SELECT * FROM {}.{} LIMIT %s OFFSET %s').format(</w:t>
            </w:r>
          </w:p>
          <w:p>
            <w:pPr>
              <w:spacing w:before="0" w:after="0"/>
            </w:pPr>
            <w:r>
              <w:rPr>
                <w:rFonts w:ascii="Consolas" w:hAnsi="Consolas"/>
                <w:color w:val="1B2B40"/>
                <w:sz w:val="17"/>
              </w:rPr>
              <w:t xml:space="preserve">    sql.Identifier(schema), sql.Identifier(table))   # identificadores citados</w:t>
            </w:r>
          </w:p>
          <w:p>
            <w:pPr>
              <w:spacing w:before="0" w:after="0"/>
            </w:pPr>
            <w:r>
              <w:rPr>
                <w:rFonts w:ascii="Consolas" w:hAnsi="Consolas"/>
                <w:color w:val="1B2B40"/>
                <w:sz w:val="17"/>
              </w:rPr>
              <w:t>cur.execute(query, (limit, offset))                  # valores parametrizados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EF9E7"/>
            <w:tcMar>
              <w:top w:w="120" w:type="dxa"/>
              <w:left w:w="160" w:type="dxa"/>
              <w:bottom w:w="120" w:type="dxa"/>
              <w:right w:w="160" w:type="dxa"/>
            </w:tcMar>
          </w:tcPr>
          <w:p>
            <w:pPr>
              <w:spacing w:before="0" w:after="0"/>
            </w:pPr>
            <w:r>
              <w:rPr>
                <w:rFonts w:ascii="Arial" w:hAnsi="Arial"/>
                <w:b/>
                <w:color w:val="C0392B"/>
                <w:sz w:val="21"/>
              </w:rPr>
              <w:t>🛡 REGLA DE ORO DE SEGURIDAD</w:t>
            </w:r>
          </w:p>
          <w:p>
            <w:pPr>
              <w:spacing w:before="60" w:after="0"/>
            </w:pPr>
            <w:r>
              <w:rPr>
                <w:rFonts w:ascii="Arial" w:hAnsi="Arial"/>
                <w:sz w:val="20"/>
              </w:rPr>
              <w:t>Identificadores validados contra el catálogo y citados; valores siempre parametrizados. Ninguna entrada del usuario se concatena jamás en el texto de una consulta. Sin excepción.</w:t>
            </w:r>
          </w:p>
        </w:tc>
      </w:tr>
    </w:tbl>
    <w:p>
      <w:pPr>
        <w:spacing w:after="40"/>
      </w:pPr>
    </w:p>
    <w:p>
      <w:r>
        <w:br w:type="page"/>
      </w:r>
    </w:p>
    <w:p>
      <w:pPr>
        <w:pStyle w:val="Heading1"/>
      </w:pPr>
      <w:r>
        <w:t>3. Paginación Server-Side</w:t>
      </w:r>
    </w:p>
    <w:p>
      <w:pPr>
        <w:pStyle w:val="Heading2"/>
      </w:pPr>
      <w:r>
        <w:t>3.1 El Bottleneck de Tablas Masivas</w:t>
      </w:r>
    </w:p>
    <w:p>
      <w:r>
        <w:rPr>
          <w:b w:val="0"/>
          <w:i w:val="0"/>
        </w:rPr>
        <w:t>Tras la migración de la cartera a datos.rut, varias tablas superan con holgura las 500 filas. Servir y renderizar la tabla completa en el frontend satura la red y bloquea la grilla de React. La solución es paginar en el servidor: la base de datos entrega solo la porción visible, no el universo completo.</w:t>
      </w:r>
    </w:p>
    <w:p>
      <w:pPr>
        <w:pStyle w:val="Heading2"/>
      </w:pPr>
      <w:r>
        <w:t>3.2 Lógica de limit y offset</w:t>
      </w:r>
    </w:p>
    <w:p>
      <w:r>
        <w:rPr>
          <w:b w:val="0"/>
          <w:i w:val="0"/>
        </w:rPr>
        <w:t>Cada endpoint de listado acepta dos parámetros de paginación y devuelve, además de la página de datos, el total de registros para que el frontend dibuje el control de páginas:</w:t>
      </w:r>
    </w:p>
    <w:p>
      <w:pPr>
        <w:spacing w:before="80" w:after="0"/>
      </w:pPr>
      <w:r>
        <w:rPr>
          <w:rFonts w:ascii="Arial" w:hAnsi="Arial"/>
          <w:i/>
          <w:color w:val="4A4A4A"/>
          <w:sz w:val="17"/>
        </w:rPr>
        <w:t>Listado paginado con limit/offset y conteo total</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GET /api/gestion/polizas?limit=50&amp;offset=100</w:t>
            </w:r>
          </w:p>
          <w:p>
            <w:pPr>
              <w:spacing w:before="0" w:after="0"/>
            </w:pPr>
            <w:r>
              <w:rPr>
                <w:rFonts w:ascii="Consolas" w:hAnsi="Consolas"/>
                <w:color w:val="1B2B40"/>
                <w:sz w:val="17"/>
              </w:rPr>
              <w:t xml:space="preserve"> </w:t>
            </w:r>
          </w:p>
          <w:p>
            <w:pPr>
              <w:spacing w:before="0" w:after="0"/>
            </w:pPr>
            <w:r>
              <w:rPr>
                <w:rFonts w:ascii="Consolas" w:hAnsi="Consolas"/>
                <w:color w:val="1B2B40"/>
                <w:sz w:val="17"/>
              </w:rPr>
              <w:t>-- Página de datos</w:t>
            </w:r>
          </w:p>
          <w:p>
            <w:pPr>
              <w:spacing w:before="0" w:after="0"/>
            </w:pPr>
            <w:r>
              <w:rPr>
                <w:rFonts w:ascii="Consolas" w:hAnsi="Consolas"/>
                <w:color w:val="1B2B40"/>
                <w:sz w:val="17"/>
              </w:rPr>
              <w:t>SELECT * FROM gestion.polizas ORDER BY id LIMIT %s OFFSET %s;</w:t>
            </w:r>
          </w:p>
          <w:p>
            <w:pPr>
              <w:spacing w:before="0" w:after="0"/>
            </w:pPr>
            <w:r>
              <w:rPr>
                <w:rFonts w:ascii="Consolas" w:hAnsi="Consolas"/>
                <w:color w:val="1B2B40"/>
                <w:sz w:val="17"/>
              </w:rPr>
              <w:t>-- Conteo total para el paginador</w:t>
            </w:r>
          </w:p>
          <w:p>
            <w:pPr>
              <w:spacing w:before="0" w:after="0"/>
            </w:pPr>
            <w:r>
              <w:rPr>
                <w:rFonts w:ascii="Consolas" w:hAnsi="Consolas"/>
                <w:color w:val="1B2B40"/>
                <w:sz w:val="17"/>
              </w:rPr>
              <w:t>SELECT count(*) FROM gestion.polizas;</w:t>
            </w:r>
          </w:p>
          <w:p>
            <w:pPr>
              <w:spacing w:before="0" w:after="0"/>
            </w:pPr>
            <w:r>
              <w:rPr>
                <w:rFonts w:ascii="Consolas" w:hAnsi="Consolas"/>
                <w:color w:val="1B2B40"/>
                <w:sz w:val="17"/>
              </w:rPr>
              <w:t xml:space="preserve"> </w:t>
            </w:r>
          </w:p>
          <w:p>
            <w:pPr>
              <w:spacing w:before="0" w:after="0"/>
            </w:pPr>
            <w:r>
              <w:rPr>
                <w:rFonts w:ascii="Consolas" w:hAnsi="Consolas"/>
                <w:color w:val="1B2B40"/>
                <w:sz w:val="17"/>
              </w:rPr>
              <w:t>Respuesta: { "items": [...], "total": 3120, "limit": 50, "offset": 100 }</w:t>
            </w:r>
          </w:p>
        </w:tc>
      </w:tr>
    </w:tbl>
    <w:p>
      <w:pPr>
        <w:spacing w:after="40"/>
      </w:pPr>
    </w:p>
    <w:p>
      <w:pPr>
        <w:pStyle w:val="ListBullet"/>
      </w:pPr>
      <w:r>
        <w:t>limit acota el tamaño de página (con un máximo defensivo para evitar abusos);</w:t>
      </w:r>
    </w:p>
    <w:p>
      <w:pPr>
        <w:pStyle w:val="ListBullet"/>
      </w:pPr>
      <w:r>
        <w:t>offset desplaza el inicio de la página (página N = offset N×limit);</w:t>
      </w:r>
    </w:p>
    <w:p>
      <w:pPr>
        <w:pStyle w:val="ListBullet"/>
      </w:pPr>
      <w:r>
        <w:t>el ORDER BY estable garantiza que la paginación sea consistente entre peticiones.</w:t>
      </w:r>
    </w:p>
    <w:p>
      <w:pPr>
        <w:pStyle w:val="Heading2"/>
      </w:pPr>
      <w:r>
        <w:t>3.3 Acoplamiento con el Catálogo entities.js</w:t>
      </w:r>
    </w:p>
    <w:p>
      <w:r>
        <w:rPr>
          <w:b w:val="0"/>
          <w:i w:val="0"/>
        </w:rPr>
        <w:t>En el frontend, entities.js es el catálogo que mapea cada entidad de negocio (tabla) a su configuración de presentación: columnas visibles, etiquetas, filtros y permisos. La paginación se diseñó para NO romper este catálogo: la grilla genérica consume la respuesta paginada de forma uniforme para todas las entidades, sin necesidad de tocar entities.js al agregar una tabla nueva.</w:t>
      </w:r>
    </w:p>
    <w:p>
      <w:pPr>
        <w:spacing w:before="80" w:after="0"/>
      </w:pPr>
      <w:r>
        <w:rPr>
          <w:rFonts w:ascii="Arial" w:hAnsi="Arial"/>
          <w:i/>
          <w:color w:val="4A4A4A"/>
          <w:sz w:val="17"/>
        </w:rPr>
        <w:t>El catálogo de entidades reutiliza la grilla paginada genérica</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 entities.js — el contrato de paginación es transversal a toda entidad</w:t>
            </w:r>
          </w:p>
          <w:p>
            <w:pPr>
              <w:spacing w:before="0" w:after="0"/>
            </w:pPr>
            <w:r>
              <w:rPr>
                <w:rFonts w:ascii="Consolas" w:hAnsi="Consolas"/>
                <w:color w:val="1B2B40"/>
                <w:sz w:val="17"/>
              </w:rPr>
              <w:t>export const entities = {</w:t>
            </w:r>
          </w:p>
          <w:p>
            <w:pPr>
              <w:spacing w:before="0" w:after="0"/>
            </w:pPr>
            <w:r>
              <w:rPr>
                <w:rFonts w:ascii="Consolas" w:hAnsi="Consolas"/>
                <w:color w:val="1B2B40"/>
                <w:sz w:val="17"/>
              </w:rPr>
              <w:t xml:space="preserve">  'gestion.polizas': { label: 'Pólizas', pageSize: 50, columns: [...] },</w:t>
            </w:r>
          </w:p>
          <w:p>
            <w:pPr>
              <w:spacing w:before="0" w:after="0"/>
            </w:pPr>
            <w:r>
              <w:rPr>
                <w:rFonts w:ascii="Consolas" w:hAnsi="Consolas"/>
                <w:color w:val="1B2B40"/>
                <w:sz w:val="17"/>
              </w:rPr>
              <w:t xml:space="preserve">  'datos.rut':       { label: 'Clientes (RUT)', pageSize: 50, columns: [...] },</w:t>
            </w:r>
          </w:p>
          <w:p>
            <w:pPr>
              <w:spacing w:before="0" w:after="0"/>
            </w:pPr>
            <w:r>
              <w:rPr>
                <w:rFonts w:ascii="Consolas" w:hAnsi="Consolas"/>
                <w:color w:val="1B2B40"/>
                <w:sz w:val="17"/>
              </w:rPr>
              <w:t xml:space="preserve">  // ...nuevas entidades heredan la grilla paginada sin código extra</w:t>
            </w:r>
          </w:p>
          <w:p>
            <w:pPr>
              <w:spacing w:before="0" w:after="0"/>
            </w:pPr>
            <w:r>
              <w:rPr>
                <w:rFonts w:ascii="Consolas" w:hAnsi="Consolas"/>
                <w:color w:val="1B2B40"/>
                <w:sz w:val="17"/>
              </w:rPr>
              <w:t>};</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ESCALAR SIN REESCRIBIR</w:t>
            </w:r>
          </w:p>
          <w:p>
            <w:pPr>
              <w:spacing w:before="60" w:after="0"/>
            </w:pPr>
            <w:r>
              <w:rPr>
                <w:rFonts w:ascii="Arial" w:hAnsi="Arial"/>
                <w:sz w:val="20"/>
              </w:rPr>
              <w:t>Introspección genérica (Sección 2) + paginación transversal (Sección 3) + catálogo entities.js permiten incorporar nuevas tablas dentro de los 10 schemas sin escribir endpoints ni grillas a medida. Es la materialización técnica de la regla «extender, no crear silos».</w:t>
            </w:r>
          </w:p>
        </w:tc>
      </w:tr>
    </w:tbl>
    <w:p>
      <w:pPr>
        <w:spacing w:after="40"/>
      </w:pPr>
    </w:p>
    <w:p>
      <w:r>
        <w:br w:type="page"/>
      </w:r>
    </w:p>
    <w:p>
      <w:pPr>
        <w:pStyle w:val="Heading1"/>
      </w:pPr>
      <w:r>
        <w:t>4. Módulo de Catastro (edificio_lead)</w:t>
      </w:r>
    </w:p>
    <w:p>
      <w:pPr>
        <w:pStyle w:val="Heading2"/>
      </w:pPr>
      <w:r>
        <w:t>4.1 Clasificación de Prospectos</w:t>
      </w:r>
    </w:p>
    <w:p>
      <w:r>
        <w:rPr>
          <w:b w:val="0"/>
          <w:i w:val="0"/>
        </w:rPr>
        <w:t>El Catastro es el soporte técnico del Motor de Comunidades. Clasifica prospectos de edificios con la etiqueta edificio_lead y centraliza la información necesaria para abordarlos en el momento correcto. Se modela extendiendo los schemas existentes (datos/gestion), nunca como un sistema aparte.</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1B3A6B"/>
            <w:tcMar>
              <w:top w:w="60" w:type="dxa"/>
              <w:left w:w="110" w:type="dxa"/>
              <w:bottom w:w="60" w:type="dxa"/>
              <w:right w:w="110" w:type="dxa"/>
            </w:tcMar>
          </w:tcPr>
          <w:p>
            <w:pPr>
              <w:spacing w:before="0" w:after="0"/>
            </w:pPr>
            <w:r>
              <w:rPr>
                <w:rFonts w:ascii="Arial" w:hAnsi="Arial"/>
                <w:b/>
                <w:color w:val="FFFFFF"/>
                <w:sz w:val="17"/>
              </w:rPr>
              <w:t>Campo</w:t>
            </w:r>
          </w:p>
        </w:tc>
        <w:tc>
          <w:tcPr>
            <w:tcW w:type="dxa" w:w="1020"/>
            <w:shd w:val="clear" w:color="auto" w:fill="1B3A6B"/>
            <w:tcMar>
              <w:top w:w="60" w:type="dxa"/>
              <w:left w:w="110" w:type="dxa"/>
              <w:bottom w:w="60" w:type="dxa"/>
              <w:right w:w="110" w:type="dxa"/>
            </w:tcMar>
          </w:tcPr>
          <w:p>
            <w:pPr>
              <w:spacing w:before="0" w:after="0"/>
            </w:pPr>
            <w:r>
              <w:rPr>
                <w:rFonts w:ascii="Arial" w:hAnsi="Arial"/>
                <w:b/>
                <w:color w:val="FFFFFF"/>
                <w:sz w:val="17"/>
              </w:rPr>
              <w:t>Tipo</w:t>
            </w:r>
          </w:p>
        </w:tc>
        <w:tc>
          <w:tcPr>
            <w:tcW w:type="dxa" w:w="5783"/>
            <w:shd w:val="clear" w:color="auto" w:fill="1B3A6B"/>
            <w:tcMar>
              <w:top w:w="60" w:type="dxa"/>
              <w:left w:w="110" w:type="dxa"/>
              <w:bottom w:w="60" w:type="dxa"/>
              <w:right w:w="110" w:type="dxa"/>
            </w:tcMar>
          </w:tcPr>
          <w:p>
            <w:pPr>
              <w:spacing w:before="0" w:after="0"/>
            </w:pPr>
            <w:r>
              <w:rPr>
                <w:rFonts w:ascii="Arial" w:hAnsi="Arial"/>
                <w:b/>
                <w:color w:val="FFFFFF"/>
                <w:sz w:val="17"/>
              </w:rPr>
              <w:t>Función</w:t>
            </w:r>
          </w:p>
        </w:tc>
      </w:tr>
      <w:tr>
        <w:tc>
          <w:tcPr>
            <w:tcW w:type="dxa" w:w="1701"/>
            <w:tcMar>
              <w:top w:w="60" w:type="dxa"/>
              <w:left w:w="110" w:type="dxa"/>
              <w:bottom w:w="60" w:type="dxa"/>
              <w:right w:w="110" w:type="dxa"/>
            </w:tcMar>
          </w:tcPr>
          <w:p>
            <w:pPr>
              <w:spacing w:before="0" w:after="0"/>
            </w:pPr>
            <w:r>
              <w:rPr>
                <w:rFonts w:ascii="Arial" w:hAnsi="Arial"/>
                <w:b/>
                <w:sz w:val="17"/>
              </w:rPr>
              <w:t>id</w:t>
            </w:r>
          </w:p>
        </w:tc>
        <w:tc>
          <w:tcPr>
            <w:tcW w:type="dxa" w:w="1020"/>
            <w:tcMar>
              <w:top w:w="60" w:type="dxa"/>
              <w:left w:w="110" w:type="dxa"/>
              <w:bottom w:w="60" w:type="dxa"/>
              <w:right w:w="110" w:type="dxa"/>
            </w:tcMar>
          </w:tcPr>
          <w:p>
            <w:pPr>
              <w:spacing w:before="0" w:after="0"/>
            </w:pPr>
            <w:r>
              <w:rPr>
                <w:rFonts w:ascii="Arial" w:hAnsi="Arial"/>
                <w:sz w:val="17"/>
              </w:rPr>
              <w:t>serial</w:t>
            </w:r>
          </w:p>
        </w:tc>
        <w:tc>
          <w:tcPr>
            <w:tcW w:type="dxa" w:w="5783"/>
            <w:tcMar>
              <w:top w:w="60" w:type="dxa"/>
              <w:left w:w="110" w:type="dxa"/>
              <w:bottom w:w="60" w:type="dxa"/>
              <w:right w:w="110" w:type="dxa"/>
            </w:tcMar>
          </w:tcPr>
          <w:p>
            <w:pPr>
              <w:spacing w:before="0" w:after="0"/>
            </w:pPr>
            <w:r>
              <w:rPr>
                <w:rFonts w:ascii="Arial" w:hAnsi="Arial"/>
                <w:sz w:val="17"/>
              </w:rPr>
              <w:t>Identificador del prospecto de edificio.</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nombre_comunidad</w:t>
            </w:r>
          </w:p>
        </w:tc>
        <w:tc>
          <w:tcPr>
            <w:tcW w:type="dxa" w:w="1020"/>
            <w:shd w:val="clear" w:color="auto" w:fill="F2F4F7"/>
            <w:tcMar>
              <w:top w:w="60" w:type="dxa"/>
              <w:left w:w="110" w:type="dxa"/>
              <w:bottom w:w="60" w:type="dxa"/>
              <w:right w:w="110" w:type="dxa"/>
            </w:tcMar>
          </w:tcPr>
          <w:p>
            <w:pPr>
              <w:spacing w:before="0" w:after="0"/>
            </w:pPr>
            <w:r>
              <w:rPr>
                <w:rFonts w:ascii="Arial" w:hAnsi="Arial"/>
                <w:sz w:val="17"/>
              </w:rPr>
              <w:t>text</w:t>
            </w:r>
          </w:p>
        </w:tc>
        <w:tc>
          <w:tcPr>
            <w:tcW w:type="dxa" w:w="5783"/>
            <w:shd w:val="clear" w:color="auto" w:fill="F2F4F7"/>
            <w:tcMar>
              <w:top w:w="60" w:type="dxa"/>
              <w:left w:w="110" w:type="dxa"/>
              <w:bottom w:w="60" w:type="dxa"/>
              <w:right w:w="110" w:type="dxa"/>
            </w:tcMar>
          </w:tcPr>
          <w:p>
            <w:pPr>
              <w:spacing w:before="0" w:after="0"/>
            </w:pPr>
            <w:r>
              <w:rPr>
                <w:rFonts w:ascii="Arial" w:hAnsi="Arial"/>
                <w:sz w:val="17"/>
              </w:rPr>
              <w:t>Nombre del edificio o condominio (p. ej. «Studio III»).</w:t>
            </w:r>
          </w:p>
        </w:tc>
      </w:tr>
      <w:tr>
        <w:tc>
          <w:tcPr>
            <w:tcW w:type="dxa" w:w="1701"/>
            <w:tcMar>
              <w:top w:w="60" w:type="dxa"/>
              <w:left w:w="110" w:type="dxa"/>
              <w:bottom w:w="60" w:type="dxa"/>
              <w:right w:w="110" w:type="dxa"/>
            </w:tcMar>
          </w:tcPr>
          <w:p>
            <w:pPr>
              <w:spacing w:before="0" w:after="0"/>
            </w:pPr>
            <w:r>
              <w:rPr>
                <w:rFonts w:ascii="Arial" w:hAnsi="Arial"/>
                <w:b/>
                <w:sz w:val="17"/>
              </w:rPr>
              <w:t>direccion</w:t>
            </w:r>
          </w:p>
        </w:tc>
        <w:tc>
          <w:tcPr>
            <w:tcW w:type="dxa" w:w="1020"/>
            <w:tcMar>
              <w:top w:w="60" w:type="dxa"/>
              <w:left w:w="110" w:type="dxa"/>
              <w:bottom w:w="60" w:type="dxa"/>
              <w:right w:w="110" w:type="dxa"/>
            </w:tcMar>
          </w:tcPr>
          <w:p>
            <w:pPr>
              <w:spacing w:before="0" w:after="0"/>
            </w:pPr>
            <w:r>
              <w:rPr>
                <w:rFonts w:ascii="Arial" w:hAnsi="Arial"/>
                <w:sz w:val="17"/>
              </w:rPr>
              <w:t>text</w:t>
            </w:r>
          </w:p>
        </w:tc>
        <w:tc>
          <w:tcPr>
            <w:tcW w:type="dxa" w:w="5783"/>
            <w:tcMar>
              <w:top w:w="60" w:type="dxa"/>
              <w:left w:w="110" w:type="dxa"/>
              <w:bottom w:w="60" w:type="dxa"/>
              <w:right w:w="110" w:type="dxa"/>
            </w:tcMar>
          </w:tcPr>
          <w:p>
            <w:pPr>
              <w:spacing w:before="0" w:after="0"/>
            </w:pPr>
            <w:r>
              <w:rPr>
                <w:rFonts w:ascii="Arial" w:hAnsi="Arial"/>
                <w:sz w:val="17"/>
              </w:rPr>
              <w:t>Ubicación para análisis hiperlocal y rutas de abordaje.</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contacto_admin</w:t>
            </w:r>
          </w:p>
        </w:tc>
        <w:tc>
          <w:tcPr>
            <w:tcW w:type="dxa" w:w="1020"/>
            <w:shd w:val="clear" w:color="auto" w:fill="F2F4F7"/>
            <w:tcMar>
              <w:top w:w="60" w:type="dxa"/>
              <w:left w:w="110" w:type="dxa"/>
              <w:bottom w:w="60" w:type="dxa"/>
              <w:right w:w="110" w:type="dxa"/>
            </w:tcMar>
          </w:tcPr>
          <w:p>
            <w:pPr>
              <w:spacing w:before="0" w:after="0"/>
            </w:pPr>
            <w:r>
              <w:rPr>
                <w:rFonts w:ascii="Arial" w:hAnsi="Arial"/>
                <w:sz w:val="17"/>
              </w:rPr>
              <w:t>text</w:t>
            </w:r>
          </w:p>
        </w:tc>
        <w:tc>
          <w:tcPr>
            <w:tcW w:type="dxa" w:w="5783"/>
            <w:shd w:val="clear" w:color="auto" w:fill="F2F4F7"/>
            <w:tcMar>
              <w:top w:w="60" w:type="dxa"/>
              <w:left w:w="110" w:type="dxa"/>
              <w:bottom w:w="60" w:type="dxa"/>
              <w:right w:w="110" w:type="dxa"/>
            </w:tcMar>
          </w:tcPr>
          <w:p>
            <w:pPr>
              <w:spacing w:before="0" w:after="0"/>
            </w:pPr>
            <w:r>
              <w:rPr>
                <w:rFonts w:ascii="Arial" w:hAnsi="Arial"/>
                <w:sz w:val="17"/>
              </w:rPr>
              <w:t>Administrador o comité y su vía de contacto.</w:t>
            </w:r>
          </w:p>
        </w:tc>
      </w:tr>
      <w:tr>
        <w:tc>
          <w:tcPr>
            <w:tcW w:type="dxa" w:w="1701"/>
            <w:tcMar>
              <w:top w:w="60" w:type="dxa"/>
              <w:left w:w="110" w:type="dxa"/>
              <w:bottom w:w="60" w:type="dxa"/>
              <w:right w:w="110" w:type="dxa"/>
            </w:tcMar>
          </w:tcPr>
          <w:p>
            <w:pPr>
              <w:spacing w:before="0" w:after="0"/>
            </w:pPr>
            <w:r>
              <w:rPr>
                <w:rFonts w:ascii="Arial" w:hAnsi="Arial"/>
                <w:b/>
                <w:sz w:val="17"/>
              </w:rPr>
              <w:t>compania_actual</w:t>
            </w:r>
          </w:p>
        </w:tc>
        <w:tc>
          <w:tcPr>
            <w:tcW w:type="dxa" w:w="1020"/>
            <w:tcMar>
              <w:top w:w="60" w:type="dxa"/>
              <w:left w:w="110" w:type="dxa"/>
              <w:bottom w:w="60" w:type="dxa"/>
              <w:right w:w="110" w:type="dxa"/>
            </w:tcMar>
          </w:tcPr>
          <w:p>
            <w:pPr>
              <w:spacing w:before="0" w:after="0"/>
            </w:pPr>
            <w:r>
              <w:rPr>
                <w:rFonts w:ascii="Arial" w:hAnsi="Arial"/>
                <w:sz w:val="17"/>
              </w:rPr>
              <w:t>text</w:t>
            </w:r>
          </w:p>
        </w:tc>
        <w:tc>
          <w:tcPr>
            <w:tcW w:type="dxa" w:w="5783"/>
            <w:tcMar>
              <w:top w:w="60" w:type="dxa"/>
              <w:left w:w="110" w:type="dxa"/>
              <w:bottom w:w="60" w:type="dxa"/>
              <w:right w:w="110" w:type="dxa"/>
            </w:tcMar>
          </w:tcPr>
          <w:p>
            <w:pPr>
              <w:spacing w:before="0" w:after="0"/>
            </w:pPr>
            <w:r>
              <w:rPr>
                <w:rFonts w:ascii="Arial" w:hAnsi="Arial"/>
                <w:sz w:val="17"/>
              </w:rPr>
              <w:t>Aseguradora vigente del seguro de incendio obligatorio.</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fecha_vencimiento</w:t>
            </w:r>
          </w:p>
        </w:tc>
        <w:tc>
          <w:tcPr>
            <w:tcW w:type="dxa" w:w="1020"/>
            <w:shd w:val="clear" w:color="auto" w:fill="F2F4F7"/>
            <w:tcMar>
              <w:top w:w="60" w:type="dxa"/>
              <w:left w:w="110" w:type="dxa"/>
              <w:bottom w:w="60" w:type="dxa"/>
              <w:right w:w="110" w:type="dxa"/>
            </w:tcMar>
          </w:tcPr>
          <w:p>
            <w:pPr>
              <w:spacing w:before="0" w:after="0"/>
            </w:pPr>
            <w:r>
              <w:rPr>
                <w:rFonts w:ascii="Arial" w:hAnsi="Arial"/>
                <w:sz w:val="17"/>
              </w:rPr>
              <w:t>date</w:t>
            </w:r>
          </w:p>
        </w:tc>
        <w:tc>
          <w:tcPr>
            <w:tcW w:type="dxa" w:w="5783"/>
            <w:shd w:val="clear" w:color="auto" w:fill="F2F4F7"/>
            <w:tcMar>
              <w:top w:w="60" w:type="dxa"/>
              <w:left w:w="110" w:type="dxa"/>
              <w:bottom w:w="60" w:type="dxa"/>
              <w:right w:w="110" w:type="dxa"/>
            </w:tcMar>
          </w:tcPr>
          <w:p>
            <w:pPr>
              <w:spacing w:before="0" w:after="0"/>
            </w:pPr>
            <w:r>
              <w:rPr>
                <w:rFonts w:ascii="Arial" w:hAnsi="Arial"/>
                <w:sz w:val="17"/>
              </w:rPr>
              <w:t>Vencimiento de la póliza vigente. Eje del Mapa de Vencimientos.</w:t>
            </w:r>
          </w:p>
        </w:tc>
      </w:tr>
      <w:tr>
        <w:tc>
          <w:tcPr>
            <w:tcW w:type="dxa" w:w="1701"/>
            <w:tcMar>
              <w:top w:w="60" w:type="dxa"/>
              <w:left w:w="110" w:type="dxa"/>
              <w:bottom w:w="60" w:type="dxa"/>
              <w:right w:w="110" w:type="dxa"/>
            </w:tcMar>
          </w:tcPr>
          <w:p>
            <w:pPr>
              <w:spacing w:before="0" w:after="0"/>
            </w:pPr>
            <w:r>
              <w:rPr>
                <w:rFonts w:ascii="Arial" w:hAnsi="Arial"/>
                <w:b/>
                <w:sz w:val="17"/>
              </w:rPr>
              <w:t>siniestralidad</w:t>
            </w:r>
          </w:p>
        </w:tc>
        <w:tc>
          <w:tcPr>
            <w:tcW w:type="dxa" w:w="1020"/>
            <w:tcMar>
              <w:top w:w="60" w:type="dxa"/>
              <w:left w:w="110" w:type="dxa"/>
              <w:bottom w:w="60" w:type="dxa"/>
              <w:right w:w="110" w:type="dxa"/>
            </w:tcMar>
          </w:tcPr>
          <w:p>
            <w:pPr>
              <w:spacing w:before="0" w:after="0"/>
            </w:pPr>
            <w:r>
              <w:rPr>
                <w:rFonts w:ascii="Arial" w:hAnsi="Arial"/>
                <w:sz w:val="17"/>
              </w:rPr>
              <w:t>text</w:t>
            </w:r>
          </w:p>
        </w:tc>
        <w:tc>
          <w:tcPr>
            <w:tcW w:type="dxa" w:w="5783"/>
            <w:tcMar>
              <w:top w:w="60" w:type="dxa"/>
              <w:left w:w="110" w:type="dxa"/>
              <w:bottom w:w="60" w:type="dxa"/>
              <w:right w:w="110" w:type="dxa"/>
            </w:tcMar>
          </w:tcPr>
          <w:p>
            <w:pPr>
              <w:spacing w:before="0" w:after="0"/>
            </w:pPr>
            <w:r>
              <w:rPr>
                <w:rFonts w:ascii="Arial" w:hAnsi="Arial"/>
                <w:sz w:val="17"/>
              </w:rPr>
              <w:t>Antecedente conocido, para preparar la licitación masiva.</w:t>
            </w:r>
          </w:p>
        </w:tc>
      </w:tr>
      <w:tr>
        <w:tc>
          <w:tcPr>
            <w:tcW w:type="dxa" w:w="1701"/>
            <w:shd w:val="clear" w:color="auto" w:fill="F2F4F7"/>
            <w:tcMar>
              <w:top w:w="60" w:type="dxa"/>
              <w:left w:w="110" w:type="dxa"/>
              <w:bottom w:w="60" w:type="dxa"/>
              <w:right w:w="110" w:type="dxa"/>
            </w:tcMar>
          </w:tcPr>
          <w:p>
            <w:pPr>
              <w:spacing w:before="0" w:after="0"/>
            </w:pPr>
            <w:r>
              <w:rPr>
                <w:rFonts w:ascii="Arial" w:hAnsi="Arial"/>
                <w:b/>
                <w:sz w:val="17"/>
              </w:rPr>
              <w:t>estado</w:t>
            </w:r>
          </w:p>
        </w:tc>
        <w:tc>
          <w:tcPr>
            <w:tcW w:type="dxa" w:w="1020"/>
            <w:shd w:val="clear" w:color="auto" w:fill="F2F4F7"/>
            <w:tcMar>
              <w:top w:w="60" w:type="dxa"/>
              <w:left w:w="110" w:type="dxa"/>
              <w:bottom w:w="60" w:type="dxa"/>
              <w:right w:w="110" w:type="dxa"/>
            </w:tcMar>
          </w:tcPr>
          <w:p>
            <w:pPr>
              <w:spacing w:before="0" w:after="0"/>
            </w:pPr>
            <w:r>
              <w:rPr>
                <w:rFonts w:ascii="Arial" w:hAnsi="Arial"/>
                <w:sz w:val="17"/>
              </w:rPr>
              <w:t>enum</w:t>
            </w:r>
          </w:p>
        </w:tc>
        <w:tc>
          <w:tcPr>
            <w:tcW w:type="dxa" w:w="5783"/>
            <w:shd w:val="clear" w:color="auto" w:fill="F2F4F7"/>
            <w:tcMar>
              <w:top w:w="60" w:type="dxa"/>
              <w:left w:w="110" w:type="dxa"/>
              <w:bottom w:w="60" w:type="dxa"/>
              <w:right w:w="110" w:type="dxa"/>
            </w:tcMar>
          </w:tcPr>
          <w:p>
            <w:pPr>
              <w:spacing w:before="0" w:after="0"/>
            </w:pPr>
            <w:r>
              <w:rPr>
                <w:rFonts w:ascii="Arial" w:hAnsi="Arial"/>
                <w:sz w:val="17"/>
              </w:rPr>
              <w:t>edificio_lead → en_gestion → ganado / perdido.</w:t>
            </w:r>
          </w:p>
        </w:tc>
      </w:tr>
      <w:tr>
        <w:tc>
          <w:tcPr>
            <w:tcW w:type="dxa" w:w="1701"/>
            <w:tcMar>
              <w:top w:w="60" w:type="dxa"/>
              <w:left w:w="110" w:type="dxa"/>
              <w:bottom w:w="60" w:type="dxa"/>
              <w:right w:w="110" w:type="dxa"/>
            </w:tcMar>
          </w:tcPr>
          <w:p>
            <w:pPr>
              <w:spacing w:before="0" w:after="0"/>
            </w:pPr>
            <w:r>
              <w:rPr>
                <w:rFonts w:ascii="Arial" w:hAnsi="Arial"/>
                <w:b/>
                <w:sz w:val="17"/>
              </w:rPr>
              <w:t>alerta_90d</w:t>
            </w:r>
          </w:p>
        </w:tc>
        <w:tc>
          <w:tcPr>
            <w:tcW w:type="dxa" w:w="1020"/>
            <w:tcMar>
              <w:top w:w="60" w:type="dxa"/>
              <w:left w:w="110" w:type="dxa"/>
              <w:bottom w:w="60" w:type="dxa"/>
              <w:right w:w="110" w:type="dxa"/>
            </w:tcMar>
          </w:tcPr>
          <w:p>
            <w:pPr>
              <w:spacing w:before="0" w:after="0"/>
            </w:pPr>
            <w:r>
              <w:rPr>
                <w:rFonts w:ascii="Arial" w:hAnsi="Arial"/>
                <w:sz w:val="17"/>
              </w:rPr>
              <w:t>bool</w:t>
            </w:r>
          </w:p>
        </w:tc>
        <w:tc>
          <w:tcPr>
            <w:tcW w:type="dxa" w:w="5783"/>
            <w:tcMar>
              <w:top w:w="60" w:type="dxa"/>
              <w:left w:w="110" w:type="dxa"/>
              <w:bottom w:w="60" w:type="dxa"/>
              <w:right w:w="110" w:type="dxa"/>
            </w:tcMar>
          </w:tcPr>
          <w:p>
            <w:pPr>
              <w:spacing w:before="0" w:after="0"/>
            </w:pPr>
            <w:r>
              <w:rPr>
                <w:rFonts w:ascii="Arial" w:hAnsi="Arial"/>
                <w:sz w:val="17"/>
              </w:rPr>
              <w:t>Calculado: verdadero cuando el vencimiento entra en la ventana de 90 días.</w:t>
            </w:r>
          </w:p>
        </w:tc>
      </w:tr>
    </w:tbl>
    <w:p>
      <w:pPr>
        <w:spacing w:after="40"/>
      </w:pPr>
    </w:p>
    <w:p>
      <w:pPr>
        <w:pStyle w:val="Heading2"/>
      </w:pPr>
      <w:r>
        <w:t>4.2 Mapa de Vencimientos y Alertas de 90 Días</w:t>
      </w:r>
    </w:p>
    <w:p>
      <w:r>
        <w:rPr>
          <w:b w:val="0"/>
          <w:i w:val="0"/>
        </w:rPr>
        <w:t>Una tarea programada (CRON) recorre el catastro a diario y marca los edificios cuyo vencimiento entra en la ventana de 90 días —el momento en que el comité está dispuesto a escuchar. Cada activación genera una alerta y, opcionalmente, una tarea en el schema agenda para el responsable comercial.</w:t>
      </w:r>
    </w:p>
    <w:p>
      <w:pPr>
        <w:spacing w:before="80" w:after="0"/>
      </w:pPr>
      <w:r>
        <w:rPr>
          <w:rFonts w:ascii="Arial" w:hAnsi="Arial"/>
          <w:i/>
          <w:color w:val="4A4A4A"/>
          <w:sz w:val="17"/>
        </w:rPr>
        <w:t>Job diario que alimenta el Mapa de Vencimientos</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 Edificios que entran en la ventana de oportunidad de 90 días</w:t>
            </w:r>
          </w:p>
          <w:p>
            <w:pPr>
              <w:spacing w:before="0" w:after="0"/>
            </w:pPr>
            <w:r>
              <w:rPr>
                <w:rFonts w:ascii="Consolas" w:hAnsi="Consolas"/>
                <w:color w:val="1B2B40"/>
                <w:sz w:val="17"/>
              </w:rPr>
              <w:t>UPDATE datos.edificio_lead</w:t>
            </w:r>
          </w:p>
          <w:p>
            <w:pPr>
              <w:spacing w:before="0" w:after="0"/>
            </w:pPr>
            <w:r>
              <w:rPr>
                <w:rFonts w:ascii="Consolas" w:hAnsi="Consolas"/>
                <w:color w:val="1B2B40"/>
                <w:sz w:val="17"/>
              </w:rPr>
              <w:t>SET alerta_90d = true</w:t>
            </w:r>
          </w:p>
          <w:p>
            <w:pPr>
              <w:spacing w:before="0" w:after="0"/>
            </w:pPr>
            <w:r>
              <w:rPr>
                <w:rFonts w:ascii="Consolas" w:hAnsi="Consolas"/>
                <w:color w:val="1B2B40"/>
                <w:sz w:val="17"/>
              </w:rPr>
              <w:t>WHERE estado = 'edificio_lead'</w:t>
            </w:r>
          </w:p>
          <w:p>
            <w:pPr>
              <w:spacing w:before="0" w:after="0"/>
            </w:pPr>
            <w:r>
              <w:rPr>
                <w:rFonts w:ascii="Consolas" w:hAnsi="Consolas"/>
                <w:color w:val="1B2B40"/>
                <w:sz w:val="17"/>
              </w:rPr>
              <w:t xml:space="preserve">  AND fecha_vencimiento BETWEEN current_date AND current_date + INTERVAL '90 days';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LA VENTANA DE 90 DÍAS ES EL DISPARADOR</w:t>
            </w:r>
          </w:p>
          <w:p>
            <w:pPr>
              <w:spacing w:before="60" w:after="0"/>
            </w:pPr>
            <w:r>
              <w:rPr>
                <w:rFonts w:ascii="Arial" w:hAnsi="Arial"/>
                <w:sz w:val="20"/>
              </w:rPr>
              <w:t>El Catastro no es una lista estática: es un radar. La alerta de 90 días convierte un dato (fecha de vencimiento) en una acción comercial priorizada, conectando el dato técnico con la táctica del Commercial Playbook §5.</w:t>
            </w:r>
          </w:p>
        </w:tc>
      </w:tr>
    </w:tbl>
    <w:p>
      <w:pPr>
        <w:spacing w:after="40"/>
      </w:pPr>
    </w:p>
    <w:p>
      <w:r>
        <w:br w:type="page"/>
      </w:r>
    </w:p>
    <w:p>
      <w:pPr>
        <w:pStyle w:val="Heading1"/>
      </w:pPr>
      <w:r>
        <w:t>5. Bot de Elegibilidad (Motor de Promociones)</w:t>
      </w:r>
    </w:p>
    <w:p>
      <w:pPr>
        <w:pStyle w:val="Heading2"/>
      </w:pPr>
      <w:r>
        <w:t>5.1 Flujo Técnico entre Schemas</w:t>
      </w:r>
    </w:p>
    <w:p>
      <w:r>
        <w:rPr>
          <w:b w:val="0"/>
          <w:i w:val="0"/>
        </w:rPr>
        <w:t>El Bot de Elegibilidad automatiza el cross-selling de promociones transitorias (Commercial Playbook §6.4). Es un proceso programado que recorre tres schemas en secuencia, sin intervención manual:</w:t>
      </w:r>
    </w:p>
    <w:p>
      <w:pPr>
        <w:pStyle w:val="ListNumber"/>
      </w:pPr>
      <w:r>
        <w:t>lee las promociones vigentes registradas en el schema operaciones (descuentos, cuotas gratis, rebajas de deducible, con su vigencia y condiciones).</w:t>
      </w:r>
    </w:p>
    <w:p>
      <w:pPr>
        <w:pStyle w:val="ListNumber"/>
      </w:pPr>
      <w:r>
        <w:t>las cruza contra la cartera activa del schema gestion (pólizas, materias, primas y coberturas vigentes de cada cliente).</w:t>
      </w:r>
    </w:p>
    <w:p>
      <w:pPr>
        <w:pStyle w:val="ListNumber"/>
      </w:pPr>
      <w:r>
        <w:t>filtra los clientes potencialmente elegibles: aquellos cuya cobertura actual es inferior o más cara que la que la promoción permitiría.</w:t>
      </w:r>
    </w:p>
    <w:p>
      <w:pPr>
        <w:pStyle w:val="ListNumber"/>
      </w:pPr>
      <w:r>
        <w:t>aplica el filtro Precio/Cobertura (ver 5.2) y solo entonces gatilla la campaña en el schema comunicacion, con alerta al ejecutivo y mensaje trazable al cliente.</w:t>
      </w:r>
    </w:p>
    <w:p>
      <w:pPr>
        <w:spacing w:before="80" w:after="0"/>
      </w:pPr>
      <w:r>
        <w:rPr>
          <w:rFonts w:ascii="Arial" w:hAnsi="Arial"/>
          <w:i/>
          <w:color w:val="4A4A4A"/>
          <w:sz w:val="17"/>
        </w:rPr>
        <w:t>Orquestación operaciones → gestion → comunicacion</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 Pseudocódigo del job (CRON) del Bot de Elegibilidad</w:t>
            </w:r>
          </w:p>
          <w:p>
            <w:pPr>
              <w:spacing w:before="0" w:after="0"/>
            </w:pPr>
            <w:r>
              <w:rPr>
                <w:rFonts w:ascii="Consolas" w:hAnsi="Consolas"/>
                <w:color w:val="1B2B40"/>
                <w:sz w:val="17"/>
              </w:rPr>
              <w:t>promos = operaciones.promociones_vigentes()</w:t>
            </w:r>
          </w:p>
          <w:p>
            <w:pPr>
              <w:spacing w:before="0" w:after="0"/>
            </w:pPr>
            <w:r>
              <w:rPr>
                <w:rFonts w:ascii="Consolas" w:hAnsi="Consolas"/>
                <w:color w:val="1B2B40"/>
                <w:sz w:val="17"/>
              </w:rPr>
              <w:t>for promo in promos:</w:t>
            </w:r>
          </w:p>
          <w:p>
            <w:pPr>
              <w:spacing w:before="0" w:after="0"/>
            </w:pPr>
            <w:r>
              <w:rPr>
                <w:rFonts w:ascii="Consolas" w:hAnsi="Consolas"/>
                <w:color w:val="1B2B40"/>
                <w:sz w:val="17"/>
              </w:rPr>
              <w:t xml:space="preserve">    candidatos = gestion.cartera_con_cobertura_inferior_o_mas_cara(promo)</w:t>
            </w:r>
          </w:p>
          <w:p>
            <w:pPr>
              <w:spacing w:before="0" w:after="0"/>
            </w:pPr>
            <w:r>
              <w:rPr>
                <w:rFonts w:ascii="Consolas" w:hAnsi="Consolas"/>
                <w:color w:val="1B2B40"/>
                <w:sz w:val="17"/>
              </w:rPr>
              <w:t xml:space="preserve">    for cliente in candidatos:</w:t>
            </w:r>
          </w:p>
          <w:p>
            <w:pPr>
              <w:spacing w:before="0" w:after="0"/>
            </w:pPr>
            <w:r>
              <w:rPr>
                <w:rFonts w:ascii="Consolas" w:hAnsi="Consolas"/>
                <w:color w:val="1B2B40"/>
                <w:sz w:val="17"/>
              </w:rPr>
              <w:t xml:space="preserve">        if mejora_precio_cobertura(cliente, promo):     # filtro fiduciario</w:t>
            </w:r>
          </w:p>
          <w:p>
            <w:pPr>
              <w:spacing w:before="0" w:after="0"/>
            </w:pPr>
            <w:r>
              <w:rPr>
                <w:rFonts w:ascii="Consolas" w:hAnsi="Consolas"/>
                <w:color w:val="1B2B40"/>
                <w:sz w:val="17"/>
              </w:rPr>
              <w:t xml:space="preserve">            comunicacion.gatillar_campania(cliente, promo)</w:t>
            </w:r>
          </w:p>
          <w:p>
            <w:pPr>
              <w:spacing w:before="0" w:after="0"/>
            </w:pPr>
            <w:r>
              <w:rPr>
                <w:rFonts w:ascii="Consolas" w:hAnsi="Consolas"/>
                <w:color w:val="1B2B40"/>
                <w:sz w:val="17"/>
              </w:rPr>
              <w:t xml:space="preserve">        # si NO mejora, el cliente NO se contacta</w:t>
            </w:r>
          </w:p>
        </w:tc>
      </w:tr>
    </w:tbl>
    <w:p>
      <w:pPr>
        <w:spacing w:after="40"/>
      </w:pPr>
    </w:p>
    <w:p>
      <w:pPr>
        <w:pStyle w:val="Heading2"/>
      </w:pPr>
      <w:r>
        <w:t>5.2 Filtro Precio/Cobertura y Bloqueo de Sesgo</w:t>
      </w:r>
    </w:p>
    <w:p>
      <w:r>
        <w:rPr>
          <w:b w:val="0"/>
          <w:i w:val="0"/>
        </w:rPr>
        <w:t>El corazón ético del bot es un filtro que se ejecuta SIEMPRE antes de contactar a un cliente. Una promoción solo genera campaña si mejora objetivamente la situación del cliente: más cobertura, menor precio, o ambas, respecto de lo que tiene hoy.</w:t>
      </w:r>
    </w:p>
    <w:p>
      <w:pPr>
        <w:spacing w:before="80" w:after="0"/>
      </w:pPr>
      <w:r>
        <w:rPr>
          <w:rFonts w:ascii="Arial" w:hAnsi="Arial"/>
          <w:i/>
          <w:color w:val="4A4A4A"/>
          <w:sz w:val="17"/>
        </w:rPr>
        <w:t>El cliente solo se contacta si la promoción lo beneficia de verdad</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def mejora_precio_cobertura(cliente, promo):</w:t>
            </w:r>
          </w:p>
          <w:p>
            <w:pPr>
              <w:spacing w:before="0" w:after="0"/>
            </w:pPr>
            <w:r>
              <w:rPr>
                <w:rFonts w:ascii="Consolas" w:hAnsi="Consolas"/>
                <w:color w:val="1B2B40"/>
                <w:sz w:val="17"/>
              </w:rPr>
              <w:t xml:space="preserve">    nueva = cotizar_con_promo(cliente, promo)</w:t>
            </w:r>
          </w:p>
          <w:p>
            <w:pPr>
              <w:spacing w:before="0" w:after="0"/>
            </w:pPr>
            <w:r>
              <w:rPr>
                <w:rFonts w:ascii="Consolas" w:hAnsi="Consolas"/>
                <w:color w:val="1B2B40"/>
                <w:sz w:val="17"/>
              </w:rPr>
              <w:t xml:space="preserve">    # Debe cumplir el mínimo obligatorio del nicho Y mejorar precio/cobertura</w:t>
            </w:r>
          </w:p>
          <w:p>
            <w:pPr>
              <w:spacing w:before="0" w:after="0"/>
            </w:pPr>
            <w:r>
              <w:rPr>
                <w:rFonts w:ascii="Consolas" w:hAnsi="Consolas"/>
                <w:color w:val="1B2B40"/>
                <w:sz w:val="17"/>
              </w:rPr>
              <w:t xml:space="preserve">    if not cumple_minimos_obligatorios(nueva, cliente.nicho):</w:t>
            </w:r>
          </w:p>
          <w:p>
            <w:pPr>
              <w:spacing w:before="0" w:after="0"/>
            </w:pPr>
            <w:r>
              <w:rPr>
                <w:rFonts w:ascii="Consolas" w:hAnsi="Consolas"/>
                <w:color w:val="1B2B40"/>
                <w:sz w:val="17"/>
              </w:rPr>
              <w:t xml:space="preserve">        return False</w:t>
            </w:r>
          </w:p>
          <w:p>
            <w:pPr>
              <w:spacing w:before="0" w:after="0"/>
            </w:pPr>
            <w:r>
              <w:rPr>
                <w:rFonts w:ascii="Consolas" w:hAnsi="Consolas"/>
                <w:color w:val="1B2B40"/>
                <w:sz w:val="17"/>
              </w:rPr>
              <w:t xml:space="preserve">    return (nueva.cobertura &gt;= cliente.cobertura_actual</w:t>
            </w:r>
          </w:p>
          <w:p>
            <w:pPr>
              <w:spacing w:before="0" w:after="0"/>
            </w:pPr>
            <w:r>
              <w:rPr>
                <w:rFonts w:ascii="Consolas" w:hAnsi="Consolas"/>
                <w:color w:val="1B2B40"/>
                <w:sz w:val="17"/>
              </w:rPr>
              <w:t xml:space="preserve">            and nueva.precio   &lt;= cliente.precio_actual)</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EF9E7"/>
            <w:tcMar>
              <w:top w:w="120" w:type="dxa"/>
              <w:left w:w="160" w:type="dxa"/>
              <w:bottom w:w="120" w:type="dxa"/>
              <w:right w:w="160" w:type="dxa"/>
            </w:tcMar>
          </w:tcPr>
          <w:p>
            <w:pPr>
              <w:spacing w:before="0" w:after="0"/>
            </w:pPr>
            <w:r>
              <w:rPr>
                <w:rFonts w:ascii="Arial" w:hAnsi="Arial"/>
                <w:b/>
                <w:color w:val="C0392B"/>
                <w:sz w:val="21"/>
              </w:rPr>
              <w:t>⛔ BLOQUEO DE SESGO POR INCENTIVOS (COMPLIANCE CRÍTICO)</w:t>
            </w:r>
          </w:p>
          <w:p>
            <w:pPr>
              <w:spacing w:before="60" w:after="0"/>
            </w:pPr>
            <w:r>
              <w:rPr>
                <w:rFonts w:ascii="Arial" w:hAnsi="Arial"/>
                <w:sz w:val="20"/>
              </w:rPr>
              <w:t>El bot ignora por completo las comisiones de Aegis y las metas de incentivo de las compañías al decidir a quién contactar. El termómetro de metas (Commercial Playbook §7.3) es pasivo y NO es input de este proceso. Está prohibido que una promoción se escale a un cliente porque conviene a la corredora o ayuda a alcanzar una meta de la aseguradora; solo se escala si mejora la relación Precio/Cobertura del cliente. Este bloqueo materializa en código el estándar fiduciario del Corporate OS §1.4 y §3.4.2.</w:t>
            </w:r>
          </w:p>
        </w:tc>
      </w:tr>
    </w:tbl>
    <w:p>
      <w:pPr>
        <w:spacing w:after="40"/>
      </w:pPr>
    </w:p>
    <w:p>
      <w:r>
        <w:br w:type="page"/>
      </w:r>
    </w:p>
    <w:p>
      <w:pPr>
        <w:pStyle w:val="Heading1"/>
      </w:pPr>
      <w:r>
        <w:t>6. Gestión Centralizada de Correos (schema comunicacion)</w:t>
      </w:r>
    </w:p>
    <w:p>
      <w:r>
        <w:rPr>
          <w:b w:val="0"/>
          <w:i w:val="0"/>
        </w:rPr>
        <w:t>El correo electrónico deja de vivir fuera del sistema. El schema comunicacion —que ya trazaba los envíos de documentos a clientes, compañías y autoridad— se extiende para ser el cliente de correo centralizado de Aegis. Toda la correspondencia entra y sale desde el sistema, queda trazada y se vincula a las entidades del negocio. Es una extensión del schema existente, no un silo nuevo.</w:t>
      </w:r>
    </w:p>
    <w:p>
      <w:pPr>
        <w:pStyle w:val="Heading2"/>
      </w:pPr>
      <w:r>
        <w:t>6.1 Cliente de Correo Centralizado (inbox / outbox)</w:t>
      </w:r>
    </w:p>
    <w:p>
      <w:r>
        <w:rPr>
          <w:b w:val="0"/>
          <w:i w:val="0"/>
        </w:rPr>
        <w:t>Se conectan las APIs de correo (por ejemplo, Gmail) a dos tablas agnósticas dentro de comunicacion, que no conocen la lógica de negocio: solo almacenan correo entrante y saliente de forma uniforme.</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color="auto" w:fill="1B3A6B"/>
            <w:tcMar>
              <w:top w:w="60" w:type="dxa"/>
              <w:left w:w="110" w:type="dxa"/>
              <w:bottom w:w="60" w:type="dxa"/>
              <w:right w:w="110" w:type="dxa"/>
            </w:tcMar>
          </w:tcPr>
          <w:p>
            <w:pPr>
              <w:spacing w:before="0" w:after="0"/>
            </w:pPr>
            <w:r>
              <w:rPr>
                <w:rFonts w:ascii="Arial" w:hAnsi="Arial"/>
                <w:b/>
                <w:color w:val="FFFFFF"/>
                <w:sz w:val="18"/>
              </w:rPr>
              <w:t>Tabla</w:t>
            </w:r>
          </w:p>
        </w:tc>
        <w:tc>
          <w:tcPr>
            <w:tcW w:type="dxa" w:w="1701"/>
            <w:shd w:val="clear" w:color="auto" w:fill="1B3A6B"/>
            <w:tcMar>
              <w:top w:w="60" w:type="dxa"/>
              <w:left w:w="110" w:type="dxa"/>
              <w:bottom w:w="60" w:type="dxa"/>
              <w:right w:w="110" w:type="dxa"/>
            </w:tcMar>
          </w:tcPr>
          <w:p>
            <w:pPr>
              <w:spacing w:before="0" w:after="0"/>
            </w:pPr>
            <w:r>
              <w:rPr>
                <w:rFonts w:ascii="Arial" w:hAnsi="Arial"/>
                <w:b/>
                <w:color w:val="FFFFFF"/>
                <w:sz w:val="18"/>
              </w:rPr>
              <w:t>Rol</w:t>
            </w:r>
          </w:p>
        </w:tc>
        <w:tc>
          <w:tcPr>
            <w:tcW w:type="dxa" w:w="4762"/>
            <w:shd w:val="clear" w:color="auto" w:fill="1B3A6B"/>
            <w:tcMar>
              <w:top w:w="60" w:type="dxa"/>
              <w:left w:w="110" w:type="dxa"/>
              <w:bottom w:w="60" w:type="dxa"/>
              <w:right w:w="110" w:type="dxa"/>
            </w:tcMar>
          </w:tcPr>
          <w:p>
            <w:pPr>
              <w:spacing w:before="0" w:after="0"/>
            </w:pPr>
            <w:r>
              <w:rPr>
                <w:rFonts w:ascii="Arial" w:hAnsi="Arial"/>
                <w:b/>
                <w:color w:val="FFFFFF"/>
                <w:sz w:val="18"/>
              </w:rPr>
              <w:t>Contenido esencial</w:t>
            </w:r>
          </w:p>
        </w:tc>
      </w:tr>
      <w:tr>
        <w:tc>
          <w:tcPr>
            <w:tcW w:type="dxa" w:w="2041"/>
            <w:tcMar>
              <w:top w:w="60" w:type="dxa"/>
              <w:left w:w="110" w:type="dxa"/>
              <w:bottom w:w="60" w:type="dxa"/>
              <w:right w:w="110" w:type="dxa"/>
            </w:tcMar>
          </w:tcPr>
          <w:p>
            <w:pPr>
              <w:spacing w:before="0" w:after="0"/>
            </w:pPr>
            <w:r>
              <w:rPr>
                <w:rFonts w:ascii="Arial" w:hAnsi="Arial"/>
                <w:b/>
                <w:sz w:val="18"/>
              </w:rPr>
              <w:t>comunicacion.inbox</w:t>
            </w:r>
          </w:p>
        </w:tc>
        <w:tc>
          <w:tcPr>
            <w:tcW w:type="dxa" w:w="1701"/>
            <w:tcMar>
              <w:top w:w="60" w:type="dxa"/>
              <w:left w:w="110" w:type="dxa"/>
              <w:bottom w:w="60" w:type="dxa"/>
              <w:right w:w="110" w:type="dxa"/>
            </w:tcMar>
          </w:tcPr>
          <w:p>
            <w:pPr>
              <w:spacing w:before="0" w:after="0"/>
            </w:pPr>
            <w:r>
              <w:rPr>
                <w:rFonts w:ascii="Arial" w:hAnsi="Arial"/>
                <w:sz w:val="18"/>
              </w:rPr>
              <w:t>Correo entrante</w:t>
            </w:r>
          </w:p>
        </w:tc>
        <w:tc>
          <w:tcPr>
            <w:tcW w:type="dxa" w:w="4762"/>
            <w:tcMar>
              <w:top w:w="60" w:type="dxa"/>
              <w:left w:w="110" w:type="dxa"/>
              <w:bottom w:w="60" w:type="dxa"/>
              <w:right w:w="110" w:type="dxa"/>
            </w:tcMar>
          </w:tcPr>
          <w:p>
            <w:pPr>
              <w:spacing w:before="0" w:after="0"/>
            </w:pPr>
            <w:r>
              <w:rPr>
                <w:rFonts w:ascii="Arial" w:hAnsi="Arial"/>
                <w:sz w:val="18"/>
              </w:rPr>
              <w:t>Remitente, destinatario, asunto, cuerpo, adjuntos, timestamp de recepción, identificador del proveedor.</w:t>
            </w:r>
          </w:p>
        </w:tc>
      </w:tr>
      <w:tr>
        <w:tc>
          <w:tcPr>
            <w:tcW w:type="dxa" w:w="2041"/>
            <w:shd w:val="clear" w:color="auto" w:fill="F2F4F7"/>
            <w:tcMar>
              <w:top w:w="60" w:type="dxa"/>
              <w:left w:w="110" w:type="dxa"/>
              <w:bottom w:w="60" w:type="dxa"/>
              <w:right w:w="110" w:type="dxa"/>
            </w:tcMar>
          </w:tcPr>
          <w:p>
            <w:pPr>
              <w:spacing w:before="0" w:after="0"/>
            </w:pPr>
            <w:r>
              <w:rPr>
                <w:rFonts w:ascii="Arial" w:hAnsi="Arial"/>
                <w:b/>
                <w:sz w:val="18"/>
              </w:rPr>
              <w:t>comunicacion.outbox</w:t>
            </w:r>
          </w:p>
        </w:tc>
        <w:tc>
          <w:tcPr>
            <w:tcW w:type="dxa" w:w="1701"/>
            <w:shd w:val="clear" w:color="auto" w:fill="F2F4F7"/>
            <w:tcMar>
              <w:top w:w="60" w:type="dxa"/>
              <w:left w:w="110" w:type="dxa"/>
              <w:bottom w:w="60" w:type="dxa"/>
              <w:right w:w="110" w:type="dxa"/>
            </w:tcMar>
          </w:tcPr>
          <w:p>
            <w:pPr>
              <w:spacing w:before="0" w:after="0"/>
            </w:pPr>
            <w:r>
              <w:rPr>
                <w:rFonts w:ascii="Arial" w:hAnsi="Arial"/>
                <w:sz w:val="18"/>
              </w:rPr>
              <w:t>Correo saliente</w:t>
            </w:r>
          </w:p>
        </w:tc>
        <w:tc>
          <w:tcPr>
            <w:tcW w:type="dxa" w:w="4762"/>
            <w:shd w:val="clear" w:color="auto" w:fill="F2F4F7"/>
            <w:tcMar>
              <w:top w:w="60" w:type="dxa"/>
              <w:left w:w="110" w:type="dxa"/>
              <w:bottom w:w="60" w:type="dxa"/>
              <w:right w:w="110" w:type="dxa"/>
            </w:tcMar>
          </w:tcPr>
          <w:p>
            <w:pPr>
              <w:spacing w:before="0" w:after="0"/>
            </w:pPr>
            <w:r>
              <w:rPr>
                <w:rFonts w:ascii="Arial" w:hAnsi="Arial"/>
                <w:sz w:val="18"/>
              </w:rPr>
              <w:t>Remitente, destinatario, asunto, cuerpo, adjuntos, timestamp de envío, estado.</w:t>
            </w:r>
          </w:p>
        </w:tc>
      </w:tr>
    </w:tbl>
    <w:p>
      <w:pPr>
        <w:spacing w:after="40"/>
      </w:pPr>
    </w:p>
    <w:p>
      <w:r>
        <w:rPr>
          <w:b w:val="0"/>
          <w:i w:val="0"/>
        </w:rPr>
        <w:t>El diseño es agnóstico al proveedor: la integración con la API (Gmail u otra) llena inbox y outbox sin acoplar el resto del sistema a un servicio concreto, preservando la independencia de proveedores externos que exige el Corporate OS §3.4.1.</w:t>
      </w:r>
    </w:p>
    <w:p>
      <w:pPr>
        <w:pStyle w:val="Heading2"/>
      </w:pPr>
      <w:r>
        <w:t>6.2 Relaciones Limpias mediante Tablas Espejo</w:t>
      </w:r>
    </w:p>
    <w:p>
      <w:r>
        <w:rPr>
          <w:b w:val="0"/>
          <w:i w:val="0"/>
        </w:rPr>
        <w:t>Los correos NO usan llaves foráneas directas hacia pólizas, siniestros o clientes. Vincularlos con FKs rígidas ensuciaría el modelo y rompería la introspección genérica. En su lugar, se reutiliza el patrón de tablas espejo/puente ya existente en cruce_tablas (por ejemplo, cruce_tablas.correo_poliza), que relaciona un correo con la entidad que corresponda.</w:t>
      </w:r>
    </w:p>
    <w:p>
      <w:r>
        <w:rPr>
          <w:b w:val="0"/>
          <w:i w:val="0"/>
        </w:rPr>
        <w:t>A estas tablas puente se les añade una columna de tipo ENUM con los valores ('Entrante', 'Saliente'), que permite al backend (system.py) introspeccionar automáticamente la dirección del correo y construir las vistas sin código a medida.</w:t>
      </w:r>
    </w:p>
    <w:p>
      <w:pPr>
        <w:spacing w:before="80" w:after="0"/>
      </w:pPr>
      <w:r>
        <w:rPr>
          <w:rFonts w:ascii="Arial" w:hAnsi="Arial"/>
          <w:i/>
          <w:color w:val="4A4A4A"/>
          <w:sz w:val="17"/>
        </w:rPr>
        <w:t>Tabla espejo con ENUM de dirección para introspección automática</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 Vínculo correo &lt;-&gt; póliza mediante tabla espejo (sin FK directa al correo)</w:t>
            </w:r>
          </w:p>
          <w:p>
            <w:pPr>
              <w:spacing w:before="0" w:after="0"/>
            </w:pPr>
            <w:r>
              <w:rPr>
                <w:rFonts w:ascii="Consolas" w:hAnsi="Consolas"/>
                <w:color w:val="1B2B40"/>
                <w:sz w:val="17"/>
              </w:rPr>
              <w:t>cruce_tablas.correo_poliza (</w:t>
            </w:r>
          </w:p>
          <w:p>
            <w:pPr>
              <w:spacing w:before="0" w:after="0"/>
            </w:pPr>
            <w:r>
              <w:rPr>
                <w:rFonts w:ascii="Consolas" w:hAnsi="Consolas"/>
                <w:color w:val="1B2B40"/>
                <w:sz w:val="17"/>
              </w:rPr>
              <w:t xml:space="preserve">    id            serial PRIMARY KEY,</w:t>
            </w:r>
          </w:p>
          <w:p>
            <w:pPr>
              <w:spacing w:before="0" w:after="0"/>
            </w:pPr>
            <w:r>
              <w:rPr>
                <w:rFonts w:ascii="Consolas" w:hAnsi="Consolas"/>
                <w:color w:val="1B2B40"/>
                <w:sz w:val="17"/>
              </w:rPr>
              <w:t xml:space="preserve">    correo_id     integer,     -- referencia lógica a comunicacion.inbox/outbox</w:t>
            </w:r>
          </w:p>
          <w:p>
            <w:pPr>
              <w:spacing w:before="0" w:after="0"/>
            </w:pPr>
            <w:r>
              <w:rPr>
                <w:rFonts w:ascii="Consolas" w:hAnsi="Consolas"/>
                <w:color w:val="1B2B40"/>
                <w:sz w:val="17"/>
              </w:rPr>
              <w:t xml:space="preserve">    poliza_id     integer,     -- referencia lógica a gestion.polizas</w:t>
            </w:r>
          </w:p>
          <w:p>
            <w:pPr>
              <w:spacing w:before="0" w:after="0"/>
            </w:pPr>
            <w:r>
              <w:rPr>
                <w:rFonts w:ascii="Consolas" w:hAnsi="Consolas"/>
                <w:color w:val="1B2B40"/>
                <w:sz w:val="17"/>
              </w:rPr>
              <w:t xml:space="preserve">    direccion     enum('Entrante','Saliente')   -- introspectable por system.py</w:t>
            </w:r>
          </w:p>
          <w:p>
            <w:pPr>
              <w:spacing w:before="0" w:after="0"/>
            </w:pPr>
            <w:r>
              <w:rPr>
                <w:rFonts w:ascii="Consolas" w:hAnsi="Consolas"/>
                <w:color w:val="1B2B40"/>
                <w:sz w:val="17"/>
              </w:rPr>
              <w:t>);</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POR QUÉ TABLAS ESPEJO Y NO LLAVES FORÁNEAS</w:t>
            </w:r>
          </w:p>
          <w:p>
            <w:pPr>
              <w:spacing w:before="60" w:after="0"/>
            </w:pPr>
            <w:r>
              <w:rPr>
                <w:rFonts w:ascii="Arial" w:hAnsi="Arial"/>
                <w:sz w:val="20"/>
              </w:rPr>
              <w:t>El correo se relaciona con muchas entidades distintas (pólizas, siniestros, clientes, edificios). Las tablas espejo mantienen esas relaciones muchos-a-muchos limpias y uniformes, y el ENUM de dirección permite que system.py (§2) las descubra y opere sin endpoints específicos. Es la regla «extender, no crear silos» aplicada al correo.</w:t>
            </w:r>
          </w:p>
        </w:tc>
      </w:tr>
    </w:tbl>
    <w:p>
      <w:pPr>
        <w:spacing w:after="40"/>
      </w:pPr>
    </w:p>
    <w:p>
      <w:pPr>
        <w:pStyle w:val="Heading2"/>
      </w:pPr>
      <w:r>
        <w:t>6.3 SLA de 24 Horas: Job de Timestamp y Alerta Visual</w:t>
      </w:r>
    </w:p>
    <w:p>
      <w:r>
        <w:rPr>
          <w:b w:val="0"/>
          <w:i w:val="0"/>
        </w:rPr>
        <w:t>El SLA de respuesta de 24 horas hábiles (definido en el Commercial Playbook §5.5) deja de depender de la vigilancia manual y pasa a medirse desde la aplicación. Un job programado (CRON) gobierna el ciclo de vida del correo entrante:</w:t>
      </w:r>
    </w:p>
    <w:p>
      <w:pPr>
        <w:pStyle w:val="ListNumber"/>
      </w:pPr>
      <w:r>
        <w:t>al ingresar un correo a comunicacion.inbox, se estampa su timestamp de recepción.</w:t>
      </w:r>
    </w:p>
    <w:p>
      <w:pPr>
        <w:pStyle w:val="ListNumber"/>
      </w:pPr>
      <w:r>
        <w:t>el job recalcula el tiempo transcurrido en horas hábiles contra el límite de 24 horas.</w:t>
      </w:r>
    </w:p>
    <w:p>
      <w:pPr>
        <w:pStyle w:val="ListNumber"/>
      </w:pPr>
      <w:r>
        <w:t>cuando faltan menos de 4 horas para quebrar el SLA, el sistema levanta una alerta visual roja en el frontend sobre ese correo, escalando su prioridad.</w:t>
      </w:r>
    </w:p>
    <w:p>
      <w:pPr>
        <w:pStyle w:val="ListNumber"/>
      </w:pPr>
      <w:r>
        <w:t>una vez respondido (registro en outbox vinculado), el correo sale del conteo de SLA.</w:t>
      </w:r>
    </w:p>
    <w:p>
      <w:pPr>
        <w:spacing w:before="80" w:after="0"/>
      </w:pPr>
      <w:r>
        <w:rPr>
          <w:rFonts w:ascii="Arial" w:hAnsi="Arial"/>
          <w:i/>
          <w:color w:val="4A4A4A"/>
          <w:sz w:val="17"/>
        </w:rPr>
        <w:t>Estampado de tiempo y disparo de alerta a menos de 4 horas del límite</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 Job CRON de control de SLA (horas hábiles)</w:t>
            </w:r>
          </w:p>
          <w:p>
            <w:pPr>
              <w:spacing w:before="0" w:after="0"/>
            </w:pPr>
            <w:r>
              <w:rPr>
                <w:rFonts w:ascii="Consolas" w:hAnsi="Consolas"/>
                <w:color w:val="1B2B40"/>
                <w:sz w:val="17"/>
              </w:rPr>
              <w:t>for correo in inbox.sin_responder():</w:t>
            </w:r>
          </w:p>
          <w:p>
            <w:pPr>
              <w:spacing w:before="0" w:after="0"/>
            </w:pPr>
            <w:r>
              <w:rPr>
                <w:rFonts w:ascii="Consolas" w:hAnsi="Consolas"/>
                <w:color w:val="1B2B40"/>
                <w:sz w:val="17"/>
              </w:rPr>
              <w:t xml:space="preserve">    horas = horas_habiles_desde(correo.timestamp_recepcion)</w:t>
            </w:r>
          </w:p>
          <w:p>
            <w:pPr>
              <w:spacing w:before="0" w:after="0"/>
            </w:pPr>
            <w:r>
              <w:rPr>
                <w:rFonts w:ascii="Consolas" w:hAnsi="Consolas"/>
                <w:color w:val="1B2B40"/>
                <w:sz w:val="17"/>
              </w:rPr>
              <w:t xml:space="preserve">    if horas &gt;= 24:        correo.sla = 'QUEBRADO'      # rojo fijo</w:t>
            </w:r>
          </w:p>
          <w:p>
            <w:pPr>
              <w:spacing w:before="0" w:after="0"/>
            </w:pPr>
            <w:r>
              <w:rPr>
                <w:rFonts w:ascii="Consolas" w:hAnsi="Consolas"/>
                <w:color w:val="1B2B40"/>
                <w:sz w:val="17"/>
              </w:rPr>
              <w:t xml:space="preserve">    elif horas &gt;= 20:      correo.sla = 'EN_RIESGO'     # &lt;4h -&gt; alerta roja</w:t>
            </w:r>
          </w:p>
          <w:p>
            <w:pPr>
              <w:spacing w:before="0" w:after="0"/>
            </w:pPr>
            <w:r>
              <w:rPr>
                <w:rFonts w:ascii="Consolas" w:hAnsi="Consolas"/>
                <w:color w:val="1B2B40"/>
                <w:sz w:val="17"/>
              </w:rPr>
              <w:t xml:space="preserve">    else:                  correo.sla = 'EN_PLAZO'</w:t>
            </w:r>
          </w:p>
        </w:tc>
      </w:tr>
    </w:tbl>
    <w:p>
      <w:pPr>
        <w:spacing w:after="40"/>
      </w:pPr>
    </w:p>
    <w:p>
      <w:pPr>
        <w:pStyle w:val="Heading2"/>
      </w:pPr>
      <w:r>
        <w:t>6.4 Bandeja Relacional y Botonera de Acción Parametrizable</w:t>
      </w:r>
    </w:p>
    <w:p>
      <w:r>
        <w:rPr>
          <w:b w:val="0"/>
          <w:i w:val="0"/>
        </w:rPr>
        <w:t>La interfaz de correos ofrece dos vistas complementarias sobre las mismas tablas:</w:t>
      </w:r>
    </w:p>
    <w:p>
      <w:pPr>
        <w:pStyle w:val="ListBullet"/>
      </w:pPr>
      <w:r>
        <w:rPr>
          <w:b/>
        </w:rPr>
        <w:t xml:space="preserve">Vista global (Triaje) — </w:t>
      </w:r>
      <w:r>
        <w:t>una bandeja global de triaje, donde se priorizan todos los correos entrantes por SLA y etiqueta.</w:t>
      </w:r>
    </w:p>
    <w:p>
      <w:pPr>
        <w:pStyle w:val="ListBullet"/>
      </w:pPr>
      <w:r>
        <w:rPr>
          <w:b/>
        </w:rPr>
        <w:t xml:space="preserve">Vista contextual — </w:t>
      </w:r>
      <w:r>
        <w:t>una vista contextual por cliente o por edificio, que muestra solo la correspondencia vinculada (vía tablas espejo) a esa entidad, junto a sus pólizas y siniestros.</w:t>
      </w:r>
    </w:p>
    <w:p>
      <w:r>
        <w:rPr>
          <w:b w:val="0"/>
          <w:i w:val="0"/>
        </w:rPr>
        <w:t>Sobre cada correo se despliega una Botonera de Acción Dinámica. Los botones NO están hardcodeados: la arquitectura permite parametrizar desde el schema configuracion qué acciones se ofrecen, en función de las etiquetas y campos identificados en el correo. Así, un correo reconocido como solicitud de emisión puede mostrar el botón [Emitir Póliza], y uno reconocido como aviso de siniestro, el botón [Abrir Siniestro], sin tocar el código.</w:t>
      </w:r>
    </w:p>
    <w:p>
      <w:pPr>
        <w:spacing w:before="80" w:after="0"/>
      </w:pPr>
      <w:r>
        <w:rPr>
          <w:rFonts w:ascii="Arial" w:hAnsi="Arial"/>
          <w:i/>
          <w:color w:val="4A4A4A"/>
          <w:sz w:val="17"/>
        </w:rPr>
        <w:t>Botonera dinámica parametrizada desde configuracion</w:t>
      </w:r>
    </w:p>
    <w:tbl>
      <w:tblPr>
        <w:tblStyle w:val="TableGrid"/>
        <w:tblW w:type="auto" w:w="0"/>
        <w:tblLook w:firstColumn="1" w:firstRow="1" w:lastColumn="0" w:lastRow="0" w:noHBand="0" w:noVBand="1" w:val="04A0"/>
      </w:tblPr>
      <w:tblGrid>
        <w:gridCol w:w="8640"/>
      </w:tblGrid>
      <w:tr>
        <w:tc>
          <w:tcPr>
            <w:tcW w:type="dxa" w:w="8640"/>
            <w:shd w:val="clear" w:color="auto" w:fill="EDEFF3"/>
            <w:tcMar>
              <w:top w:w="90" w:type="dxa"/>
              <w:left w:w="140" w:type="dxa"/>
              <w:bottom w:w="90" w:type="dxa"/>
              <w:right w:w="140" w:type="dxa"/>
            </w:tcMar>
          </w:tcPr>
          <w:p>
            <w:pPr>
              <w:spacing w:before="0" w:after="0"/>
            </w:pPr>
            <w:r>
              <w:rPr>
                <w:rFonts w:ascii="Consolas" w:hAnsi="Consolas"/>
                <w:color w:val="1B2B40"/>
                <w:sz w:val="17"/>
              </w:rPr>
              <w:t>// configuracion.botones_accion — parametrización (no hardcode)</w:t>
            </w:r>
          </w:p>
          <w:p>
            <w:pPr>
              <w:spacing w:before="0" w:after="0"/>
            </w:pPr>
            <w:r>
              <w:rPr>
                <w:rFonts w:ascii="Consolas" w:hAnsi="Consolas"/>
                <w:color w:val="1B2B40"/>
                <w:sz w:val="17"/>
              </w:rPr>
              <w:t>{ etiqueta: 'solicitud_emision',  boton: 'Emitir Póliza',  accion: 'gestion.crear_poliza'  },</w:t>
            </w:r>
          </w:p>
          <w:p>
            <w:pPr>
              <w:spacing w:before="0" w:after="0"/>
            </w:pPr>
            <w:r>
              <w:rPr>
                <w:rFonts w:ascii="Consolas" w:hAnsi="Consolas"/>
                <w:color w:val="1B2B40"/>
                <w:sz w:val="17"/>
              </w:rPr>
              <w:t>{ etiqueta: 'aviso_siniestro',    boton: 'Abrir Siniestro', accion: 'gestion.crear_siniestro' },</w:t>
            </w:r>
          </w:p>
          <w:p>
            <w:pPr>
              <w:spacing w:before="0" w:after="0"/>
            </w:pPr>
            <w:r>
              <w:rPr>
                <w:rFonts w:ascii="Consolas" w:hAnsi="Consolas"/>
                <w:color w:val="1B2B40"/>
                <w:sz w:val="17"/>
              </w:rPr>
              <w:t>// el frontend lee esta tabla y dibuja la botonera según las etiquetas del correo</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FLEXIBILIDAD OPERATIVA SIN TOCAR CÓDIGO</w:t>
            </w:r>
          </w:p>
          <w:p>
            <w:pPr>
              <w:spacing w:before="60" w:after="0"/>
            </w:pPr>
            <w:r>
              <w:rPr>
                <w:rFonts w:ascii="Arial" w:hAnsi="Arial"/>
                <w:sz w:val="20"/>
              </w:rPr>
              <w:t>Las acciones disponibles sobre un correo se definen como datos en configuracion, no como código fijo. Cuando el negocio necesite una acción nueva, se agrega una fila de parametrización; el sistema la ofrece automáticamente. Es coherencia con system.py: el comportamiento se describe en el modelo, no se incrusta en la interfaz.</w:t>
            </w:r>
          </w:p>
        </w:tc>
      </w:tr>
    </w:tbl>
    <w:p>
      <w:pPr>
        <w:spacing w:after="40"/>
      </w:pPr>
    </w:p>
    <w:p>
      <w:r>
        <w:br w:type="page"/>
      </w:r>
    </w:p>
    <w:p>
      <w:pPr>
        <w:pStyle w:val="Heading1"/>
      </w:pPr>
      <w:r>
        <w:t>7. Mecanismo de Acoplamiento Comercial y Desacoplamiento Constitucional</w:t>
      </w:r>
    </w:p>
    <w:p>
      <w:r>
        <w:rPr>
          <w:b w:val="0"/>
          <w:i w:val="0"/>
        </w:rPr>
        <w:t>Este documento no es un manual técnico aislado: es el espejo funcional del Commercial Playbook. Su razón de existir es traducir, en software, lo que el negocio decide. La arquitectura está diseñada precisamente para que esa traducción ocurra por extensión ordenada y no por reescritura.</w:t>
      </w:r>
    </w:p>
    <w:p>
      <w:pPr>
        <w:pStyle w:val="Heading2"/>
      </w:pPr>
      <w:r>
        <w:t>6.1 Espejo Funcional del Commercial Playbook</w:t>
      </w:r>
    </w:p>
    <w:p>
      <w:r>
        <w:rPr>
          <w:b w:val="0"/>
          <w:i w:val="0"/>
        </w:rPr>
        <w:t>Cada pieza comercial dinámica tiene su contraparte técnica dentro de los 10 schemas. Cuando un objetivo o un motor comercial cambia, la especificación del software se adapta y se extiende —siempre dentro de la frontera semántica— sin necesidad de inventar estructuras nuevas:</w:t>
      </w:r>
    </w:p>
    <w:tbl>
      <w:tblPr>
        <w:tblStyle w:val="TableGrid"/>
        <w:tblW w:type="auto" w:w="0"/>
        <w:jc w:val="center"/>
        <w:tblLook w:firstColumn="1" w:firstRow="1" w:lastColumn="0" w:lastRow="0" w:noHBand="0" w:noVBand="1" w:val="04A0"/>
      </w:tblPr>
      <w:tblGrid>
        <w:gridCol w:w="4320"/>
        <w:gridCol w:w="4320"/>
      </w:tblGrid>
      <w:tr>
        <w:tc>
          <w:tcPr>
            <w:tcW w:type="dxa" w:w="3175"/>
            <w:shd w:val="clear" w:color="auto" w:fill="1B3A6B"/>
            <w:tcMar>
              <w:top w:w="60" w:type="dxa"/>
              <w:left w:w="110" w:type="dxa"/>
              <w:bottom w:w="60" w:type="dxa"/>
              <w:right w:w="110" w:type="dxa"/>
            </w:tcMar>
          </w:tcPr>
          <w:p>
            <w:pPr>
              <w:spacing w:before="0" w:after="0"/>
            </w:pPr>
            <w:r>
              <w:rPr>
                <w:rFonts w:ascii="Arial" w:hAnsi="Arial"/>
                <w:b/>
                <w:color w:val="FFFFFF"/>
                <w:sz w:val="17"/>
              </w:rPr>
              <w:t>Cambio en el Commercial Playbook</w:t>
            </w:r>
          </w:p>
        </w:tc>
        <w:tc>
          <w:tcPr>
            <w:tcW w:type="dxa" w:w="5329"/>
            <w:shd w:val="clear" w:color="auto" w:fill="1B3A6B"/>
            <w:tcMar>
              <w:top w:w="60" w:type="dxa"/>
              <w:left w:w="110" w:type="dxa"/>
              <w:bottom w:w="60" w:type="dxa"/>
              <w:right w:w="110" w:type="dxa"/>
            </w:tcMar>
          </w:tcPr>
          <w:p>
            <w:pPr>
              <w:spacing w:before="0" w:after="0"/>
            </w:pPr>
            <w:r>
              <w:rPr>
                <w:rFonts w:ascii="Arial" w:hAnsi="Arial"/>
                <w:b/>
                <w:color w:val="FFFFFF"/>
                <w:sz w:val="17"/>
              </w:rPr>
              <w:t>Adaptación automática del software (dentro de los 10 schemas)</w:t>
            </w:r>
          </w:p>
        </w:tc>
      </w:tr>
      <w:tr>
        <w:tc>
          <w:tcPr>
            <w:tcW w:type="dxa" w:w="3175"/>
            <w:tcMar>
              <w:top w:w="60" w:type="dxa"/>
              <w:left w:w="110" w:type="dxa"/>
              <w:bottom w:w="60" w:type="dxa"/>
              <w:right w:w="110" w:type="dxa"/>
            </w:tcMar>
          </w:tcPr>
          <w:p>
            <w:pPr>
              <w:spacing w:before="0" w:after="0"/>
            </w:pPr>
            <w:r>
              <w:rPr>
                <w:rFonts w:ascii="Arial" w:hAnsi="Arial"/>
                <w:b/>
                <w:sz w:val="17"/>
              </w:rPr>
              <w:t>Nueva meta de UF o recalibración de hitos</w:t>
            </w:r>
          </w:p>
        </w:tc>
        <w:tc>
          <w:tcPr>
            <w:tcW w:type="dxa" w:w="5329"/>
            <w:tcMar>
              <w:top w:w="60" w:type="dxa"/>
              <w:left w:w="110" w:type="dxa"/>
              <w:bottom w:w="60" w:type="dxa"/>
              <w:right w:w="110" w:type="dxa"/>
            </w:tcMar>
          </w:tcPr>
          <w:p>
            <w:pPr>
              <w:spacing w:before="0" w:after="0"/>
            </w:pPr>
            <w:r>
              <w:rPr>
                <w:rFonts w:ascii="Arial" w:hAnsi="Arial"/>
                <w:sz w:val="17"/>
              </w:rPr>
              <w:t>Se ajustan parámetros e indicadores en configuracion; los tableros leen los nuevos umbrales sin tocar el modelo.</w:t>
            </w:r>
          </w:p>
        </w:tc>
      </w:tr>
      <w:tr>
        <w:tc>
          <w:tcPr>
            <w:tcW w:type="dxa" w:w="3175"/>
            <w:shd w:val="clear" w:color="auto" w:fill="F2F4F7"/>
            <w:tcMar>
              <w:top w:w="60" w:type="dxa"/>
              <w:left w:w="110" w:type="dxa"/>
              <w:bottom w:w="60" w:type="dxa"/>
              <w:right w:w="110" w:type="dxa"/>
            </w:tcMar>
          </w:tcPr>
          <w:p>
            <w:pPr>
              <w:spacing w:before="0" w:after="0"/>
            </w:pPr>
            <w:r>
              <w:rPr>
                <w:rFonts w:ascii="Arial" w:hAnsi="Arial"/>
                <w:b/>
                <w:sz w:val="17"/>
              </w:rPr>
              <w:t>Activación / repriorización de un motor (p. ej. Comunidades)</w:t>
            </w:r>
          </w:p>
        </w:tc>
        <w:tc>
          <w:tcPr>
            <w:tcW w:type="dxa" w:w="5329"/>
            <w:shd w:val="clear" w:color="auto" w:fill="F2F4F7"/>
            <w:tcMar>
              <w:top w:w="60" w:type="dxa"/>
              <w:left w:w="110" w:type="dxa"/>
              <w:bottom w:w="60" w:type="dxa"/>
              <w:right w:w="110" w:type="dxa"/>
            </w:tcMar>
          </w:tcPr>
          <w:p>
            <w:pPr>
              <w:spacing w:before="0" w:after="0"/>
            </w:pPr>
            <w:r>
              <w:rPr>
                <w:rFonts w:ascii="Arial" w:hAnsi="Arial"/>
                <w:sz w:val="17"/>
              </w:rPr>
              <w:t>Se nutre el Catastro (datos/gestion) con la etiqueta edificio_lead y se ajustan las alertas de la ventana de 90 días.</w:t>
            </w:r>
          </w:p>
        </w:tc>
      </w:tr>
      <w:tr>
        <w:tc>
          <w:tcPr>
            <w:tcW w:type="dxa" w:w="3175"/>
            <w:tcMar>
              <w:top w:w="60" w:type="dxa"/>
              <w:left w:w="110" w:type="dxa"/>
              <w:bottom w:w="60" w:type="dxa"/>
              <w:right w:w="110" w:type="dxa"/>
            </w:tcMar>
          </w:tcPr>
          <w:p>
            <w:pPr>
              <w:spacing w:before="0" w:after="0"/>
            </w:pPr>
            <w:r>
              <w:rPr>
                <w:rFonts w:ascii="Arial" w:hAnsi="Arial"/>
                <w:b/>
                <w:sz w:val="17"/>
              </w:rPr>
              <w:t>Nuevo precedente de abordaje (p. ej. Studio III)</w:t>
            </w:r>
          </w:p>
        </w:tc>
        <w:tc>
          <w:tcPr>
            <w:tcW w:type="dxa" w:w="5329"/>
            <w:tcMar>
              <w:top w:w="60" w:type="dxa"/>
              <w:left w:w="110" w:type="dxa"/>
              <w:bottom w:w="60" w:type="dxa"/>
              <w:right w:w="110" w:type="dxa"/>
            </w:tcMar>
          </w:tcPr>
          <w:p>
            <w:pPr>
              <w:spacing w:before="0" w:after="0"/>
            </w:pPr>
            <w:r>
              <w:rPr>
                <w:rFonts w:ascii="Arial" w:hAnsi="Arial"/>
                <w:sz w:val="17"/>
              </w:rPr>
              <w:t>Se crean plantillas de comunicación segmentada en comunicacion y se asocia la casilla del edificio; el SLA se modela como alerta.</w:t>
            </w:r>
          </w:p>
        </w:tc>
      </w:tr>
      <w:tr>
        <w:tc>
          <w:tcPr>
            <w:tcW w:type="dxa" w:w="3175"/>
            <w:shd w:val="clear" w:color="auto" w:fill="F2F4F7"/>
            <w:tcMar>
              <w:top w:w="60" w:type="dxa"/>
              <w:left w:w="110" w:type="dxa"/>
              <w:bottom w:w="60" w:type="dxa"/>
              <w:right w:w="110" w:type="dxa"/>
            </w:tcMar>
          </w:tcPr>
          <w:p>
            <w:pPr>
              <w:spacing w:before="0" w:after="0"/>
            </w:pPr>
            <w:r>
              <w:rPr>
                <w:rFonts w:ascii="Arial" w:hAnsi="Arial"/>
                <w:b/>
                <w:sz w:val="17"/>
              </w:rPr>
              <w:t>Nueva promoción de compañía</w:t>
            </w:r>
          </w:p>
        </w:tc>
        <w:tc>
          <w:tcPr>
            <w:tcW w:type="dxa" w:w="5329"/>
            <w:shd w:val="clear" w:color="auto" w:fill="F2F4F7"/>
            <w:tcMar>
              <w:top w:w="60" w:type="dxa"/>
              <w:left w:w="110" w:type="dxa"/>
              <w:bottom w:w="60" w:type="dxa"/>
              <w:right w:w="110" w:type="dxa"/>
            </w:tcMar>
          </w:tcPr>
          <w:p>
            <w:pPr>
              <w:spacing w:before="0" w:after="0"/>
            </w:pPr>
            <w:r>
              <w:rPr>
                <w:rFonts w:ascii="Arial" w:hAnsi="Arial"/>
                <w:sz w:val="17"/>
              </w:rPr>
              <w:t>Se registra en operaciones; el Bot de Elegibilidad la cruza con gestion y gatilla campañas en comunicacion si mejora Precio/Cobertura.</w:t>
            </w:r>
          </w:p>
        </w:tc>
      </w:tr>
      <w:tr>
        <w:tc>
          <w:tcPr>
            <w:tcW w:type="dxa" w:w="3175"/>
            <w:tcMar>
              <w:top w:w="60" w:type="dxa"/>
              <w:left w:w="110" w:type="dxa"/>
              <w:bottom w:w="60" w:type="dxa"/>
              <w:right w:w="110" w:type="dxa"/>
            </w:tcMar>
          </w:tcPr>
          <w:p>
            <w:pPr>
              <w:spacing w:before="0" w:after="0"/>
            </w:pPr>
            <w:r>
              <w:rPr>
                <w:rFonts w:ascii="Arial" w:hAnsi="Arial"/>
                <w:b/>
                <w:sz w:val="17"/>
              </w:rPr>
              <w:t>Nuevo canal de reserva (Super-Administradores, clubes)</w:t>
            </w:r>
          </w:p>
        </w:tc>
        <w:tc>
          <w:tcPr>
            <w:tcW w:type="dxa" w:w="5329"/>
            <w:tcMar>
              <w:top w:w="60" w:type="dxa"/>
              <w:left w:w="110" w:type="dxa"/>
              <w:bottom w:w="60" w:type="dxa"/>
              <w:right w:w="110" w:type="dxa"/>
            </w:tcMar>
          </w:tcPr>
          <w:p>
            <w:pPr>
              <w:spacing w:before="0" w:after="0"/>
            </w:pPr>
            <w:r>
              <w:rPr>
                <w:rFonts w:ascii="Arial" w:hAnsi="Arial"/>
                <w:sz w:val="17"/>
              </w:rPr>
              <w:t>Se extienden las tablas de partners y convenios en operaciones, con su figura legal y su cláusula de permanencia.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ADAPTACIÓN POR EXTENSIÓN, NO POR SILO</w:t>
            </w:r>
          </w:p>
          <w:p>
            <w:pPr>
              <w:spacing w:before="60" w:after="0"/>
            </w:pPr>
            <w:r>
              <w:rPr>
                <w:rFonts w:ascii="Arial" w:hAnsi="Arial"/>
                <w:sz w:val="20"/>
              </w:rPr>
              <w:t>Un cambio comercial nunca justifica crear un sistema paralelo. La regla es extender el schema que corresponda. Así, la tríada dinámica (Commercial Playbook · Operational Plan · Execution Roadmap) evoluciona como un circuito cerrado: una decisión comercial mueve el software y reordena las tareas del cronograma, de forma acoplada y trazable.</w:t>
            </w:r>
          </w:p>
        </w:tc>
      </w:tr>
    </w:tbl>
    <w:p>
      <w:pPr>
        <w:spacing w:after="40"/>
      </w:pPr>
    </w:p>
    <w:p>
      <w:pPr>
        <w:pStyle w:val="Heading2"/>
      </w:pPr>
      <w:r>
        <w:t>6.2 Subordinación Unidireccional al Corporate OS</w:t>
      </w:r>
    </w:p>
    <w:p>
      <w:r>
        <w:rPr>
          <w:b w:val="0"/>
          <w:i w:val="0"/>
        </w:rPr>
        <w:t>El acoplamiento de la tríada es dinámico; su relación con la Constitución no. El flujo de dependencia es estrictamente unidireccional:</w:t>
      </w:r>
    </w:p>
    <w:p>
      <w:pPr>
        <w:pStyle w:val="ListBullet"/>
      </w:pPr>
      <w:r>
        <w:rPr>
          <w:b/>
        </w:rPr>
        <w:t xml:space="preserve">Dentro de la tríada (bidireccional) — </w:t>
      </w:r>
      <w:r>
        <w:t>los cambios fluyen Commercial Playbook → Operational Plan → Execution Roadmap, y de vuelta, dentro de la tríada.</w:t>
      </w:r>
    </w:p>
    <w:p>
      <w:pPr>
        <w:pStyle w:val="ListBullet"/>
      </w:pPr>
      <w:r>
        <w:rPr>
          <w:b/>
        </w:rPr>
        <w:t xml:space="preserve">Hacia la Constitución (unidireccional) — </w:t>
      </w:r>
      <w:r>
        <w:t>ningún cambio técnico, comercial o de cronograma puede alterar, reinterpretar ni flexibilizar el Corporate OS. La Constitución se modifica solo por decisión deliberada de gobierno, jamás como efecto colateral de una iniciativa de la tríada.</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REGLA DE DESACOPLAMIENTO CONSTITUCIONAL</w:t>
            </w:r>
          </w:p>
          <w:p>
            <w:pPr>
              <w:spacing w:before="60" w:after="0"/>
            </w:pPr>
            <w:r>
              <w:rPr>
                <w:rFonts w:ascii="Arial" w:hAnsi="Arial"/>
                <w:sz w:val="20"/>
              </w:rPr>
              <w:t>El software puede cambiar todas las veces que el negocio lo exija; el Corporate OS no se mueve por ello. Si una solución técnica solo fuera viable contradiciendo los Principios de Gobernanza o la máxima Precio/Cobertura, no se implementa: se rediseña. La Constitución es la frontera; la tríada, el terreno donde se ejecuta el cambio.</w:t>
            </w:r>
          </w:p>
        </w:tc>
      </w:tr>
    </w:tbl>
    <w:p>
      <w:pPr>
        <w:spacing w:after="40"/>
      </w:pPr>
    </w:p>
    <w:p>
      <w:r>
        <w:br w:type="page"/>
      </w:r>
    </w:p>
    <w:p>
      <w:pPr>
        <w:pStyle w:val="Heading1"/>
      </w:pPr>
      <w:r>
        <w:t>8. Gobernanza Técnica y Seguridad</w:t>
      </w:r>
    </w:p>
    <w:p>
      <w:r>
        <w:rPr>
          <w:b w:val="0"/>
          <w:i w:val="0"/>
        </w:rPr>
        <w:t>Reglas transversales que protegen los datos y la integridad del sistema:</w:t>
      </w:r>
    </w:p>
    <w:p>
      <w:pPr>
        <w:pStyle w:val="ListBullet"/>
      </w:pPr>
      <w:r>
        <w:rPr>
          <w:b/>
        </w:rPr>
        <w:t xml:space="preserve">Autorización — </w:t>
      </w:r>
      <w:r>
        <w:t>acceso por roles (JWT/Auth0) alineado al Accountability Chart: cada rol ve y opera solo lo que le corresponde.</w:t>
      </w:r>
    </w:p>
    <w:p>
      <w:pPr>
        <w:pStyle w:val="ListBullet"/>
      </w:pPr>
      <w:r>
        <w:rPr>
          <w:b/>
        </w:rPr>
        <w:t xml:space="preserve">Respaldo e idempotencia — </w:t>
      </w:r>
      <w:r>
        <w:t>respaldo diario a almacenamiento externo; los procesos de migración y carga son idempotentes (reejecutables sin duplicar ni corromper), como el script ya completado de datos.rut.</w:t>
      </w:r>
    </w:p>
    <w:p>
      <w:pPr>
        <w:pStyle w:val="ListBullet"/>
      </w:pPr>
      <w:r>
        <w:rPr>
          <w:b/>
        </w:rPr>
        <w:t xml:space="preserve">Trazabilidad — </w:t>
      </w:r>
      <w:r>
        <w:t>toda comunicación a clientes, compañías y autoridad queda trazada en el schema comunicacion (tabla espejo por cada envío).</w:t>
      </w:r>
    </w:p>
    <w:p>
      <w:pPr>
        <w:pStyle w:val="ListBullet"/>
      </w:pPr>
      <w:r>
        <w:rPr>
          <w:b/>
        </w:rPr>
        <w:t xml:space="preserve">Privacidad — </w:t>
      </w:r>
      <w:r>
        <w:t>HTTPS en todo el frontend y control de datos personales conforme a la Ley 19.628 (Corporate OS §3.2).</w:t>
      </w:r>
    </w:p>
    <w:p>
      <w:pPr>
        <w:pStyle w:val="ListBullet"/>
      </w:pPr>
      <w:r>
        <w:rPr>
          <w:b/>
        </w:rPr>
        <w:t xml:space="preserve">Evolución controlada — </w:t>
      </w:r>
      <w:r>
        <w:t>cualquier tabla nueva se crea dentro de su schema temático; la creación de un nuevo dominio la deciden Tecnología y Dirección General, nunca de forma aislada.</w:t>
      </w:r>
    </w:p>
    <w:p>
      <w:r>
        <w:br w:type="page"/>
      </w:r>
    </w:p>
    <w:p>
      <w:pPr>
        <w:pStyle w:val="Heading1"/>
      </w:pPr>
      <w:r>
        <w:t>Control del Documento</w:t>
      </w:r>
    </w:p>
    <w:p>
      <w:r>
        <w:rPr>
          <w:b w:val="0"/>
          <w:i w:val="0"/>
        </w:rPr>
        <w:t>Documento fundacional del blueprint técnico del SGA, cuarto motor del ecosistema Aegis Pentacore. Se actualiza a medida que el Programa Propio evoluciona, siempre subordinado al Corporate OS y a la máxima Precio/Cobertura.</w:t>
      </w:r>
    </w:p>
    <w:tbl>
      <w:tblPr>
        <w:tblStyle w:val="TableGrid"/>
        <w:tblW w:type="auto" w:w="0"/>
        <w:jc w:val="center"/>
        <w:tblLook w:firstColumn="1" w:firstRow="1" w:lastColumn="0" w:lastRow="0" w:noHBand="0" w:noVBand="1" w:val="04A0"/>
      </w:tblPr>
      <w:tblGrid>
        <w:gridCol w:w="2880"/>
        <w:gridCol w:w="2880"/>
        <w:gridCol w:w="2880"/>
      </w:tblGrid>
      <w:tr>
        <w:tc>
          <w:tcPr>
            <w:tcW w:type="dxa" w:w="1247"/>
            <w:shd w:val="clear" w:color="auto" w:fill="1B3A6B"/>
            <w:tcMar>
              <w:top w:w="60" w:type="dxa"/>
              <w:left w:w="110" w:type="dxa"/>
              <w:bottom w:w="60" w:type="dxa"/>
              <w:right w:w="110" w:type="dxa"/>
            </w:tcMar>
          </w:tcPr>
          <w:p>
            <w:pPr>
              <w:spacing w:before="0" w:after="0"/>
            </w:pPr>
            <w:r>
              <w:rPr>
                <w:rFonts w:ascii="Arial" w:hAnsi="Arial"/>
                <w:b/>
                <w:color w:val="FFFFFF"/>
                <w:sz w:val="18"/>
              </w:rPr>
              <w:t>Versión</w:t>
            </w:r>
          </w:p>
        </w:tc>
        <w:tc>
          <w:tcPr>
            <w:tcW w:type="dxa" w:w="1587"/>
            <w:shd w:val="clear" w:color="auto" w:fill="1B3A6B"/>
            <w:tcMar>
              <w:top w:w="60" w:type="dxa"/>
              <w:left w:w="110" w:type="dxa"/>
              <w:bottom w:w="60" w:type="dxa"/>
              <w:right w:w="110" w:type="dxa"/>
            </w:tcMar>
          </w:tcPr>
          <w:p>
            <w:pPr>
              <w:spacing w:before="0" w:after="0"/>
            </w:pPr>
            <w:r>
              <w:rPr>
                <w:rFonts w:ascii="Arial" w:hAnsi="Arial"/>
                <w:b/>
                <w:color w:val="FFFFFF"/>
                <w:sz w:val="18"/>
              </w:rPr>
              <w:t>Fecha</w:t>
            </w:r>
          </w:p>
        </w:tc>
        <w:tc>
          <w:tcPr>
            <w:tcW w:type="dxa" w:w="5783"/>
            <w:shd w:val="clear" w:color="auto" w:fill="1B3A6B"/>
            <w:tcMar>
              <w:top w:w="60" w:type="dxa"/>
              <w:left w:w="110" w:type="dxa"/>
              <w:bottom w:w="60" w:type="dxa"/>
              <w:right w:w="110" w:type="dxa"/>
            </w:tcMar>
          </w:tcPr>
          <w:p>
            <w:pPr>
              <w:spacing w:before="0" w:after="0"/>
            </w:pPr>
            <w:r>
              <w:rPr>
                <w:rFonts w:ascii="Arial" w:hAnsi="Arial"/>
                <w:b/>
                <w:color w:val="FFFFFF"/>
                <w:sz w:val="18"/>
              </w:rPr>
              <w:t>Naturaleza</w:t>
            </w:r>
          </w:p>
        </w:tc>
      </w:tr>
      <w:tr>
        <w:tc>
          <w:tcPr>
            <w:tcW w:type="dxa" w:w="1247"/>
            <w:tcMar>
              <w:top w:w="60" w:type="dxa"/>
              <w:left w:w="110" w:type="dxa"/>
              <w:bottom w:w="60" w:type="dxa"/>
              <w:right w:w="110" w:type="dxa"/>
            </w:tcMar>
          </w:tcPr>
          <w:p>
            <w:pPr>
              <w:spacing w:before="0" w:after="0"/>
            </w:pPr>
            <w:r>
              <w:rPr>
                <w:rFonts w:ascii="Arial" w:hAnsi="Arial"/>
                <w:b/>
                <w:sz w:val="18"/>
              </w:rPr>
              <w:t>1.0</w:t>
            </w:r>
          </w:p>
        </w:tc>
        <w:tc>
          <w:tcPr>
            <w:tcW w:type="dxa" w:w="1587"/>
            <w:tcMar>
              <w:top w:w="60" w:type="dxa"/>
              <w:left w:w="110" w:type="dxa"/>
              <w:bottom w:w="60" w:type="dxa"/>
              <w:right w:w="110" w:type="dxa"/>
            </w:tcMar>
          </w:tcPr>
          <w:p>
            <w:pPr>
              <w:spacing w:before="0" w:after="0"/>
            </w:pPr>
            <w:r>
              <w:rPr>
                <w:rFonts w:ascii="Arial" w:hAnsi="Arial"/>
                <w:sz w:val="18"/>
              </w:rPr>
              <w:t>Mayo 2026</w:t>
            </w:r>
          </w:p>
        </w:tc>
        <w:tc>
          <w:tcPr>
            <w:tcW w:type="dxa" w:w="5783"/>
            <w:tcMar>
              <w:top w:w="60" w:type="dxa"/>
              <w:left w:w="110" w:type="dxa"/>
              <w:bottom w:w="60" w:type="dxa"/>
              <w:right w:w="110" w:type="dxa"/>
            </w:tcMar>
          </w:tcPr>
          <w:p>
            <w:pPr>
              <w:spacing w:before="0" w:after="0"/>
            </w:pPr>
            <w:r>
              <w:rPr>
                <w:rFonts w:ascii="Arial" w:hAnsi="Arial"/>
                <w:sz w:val="18"/>
              </w:rPr>
              <w:t>Blueprint inicial: introspección genérica (system.py), paginación server-side, módulo de catastro (edificio_lead) y Bot de Elegibilidad, sobre el núcleo de datos ya migrado a datos.rut.</w:t>
            </w:r>
          </w:p>
        </w:tc>
      </w:tr>
      <w:tr>
        <w:tc>
          <w:tcPr>
            <w:tcW w:type="dxa" w:w="1247"/>
            <w:shd w:val="clear" w:color="auto" w:fill="F2F4F7"/>
            <w:tcMar>
              <w:top w:w="60" w:type="dxa"/>
              <w:left w:w="110" w:type="dxa"/>
              <w:bottom w:w="60" w:type="dxa"/>
              <w:right w:w="110" w:type="dxa"/>
            </w:tcMar>
          </w:tcPr>
          <w:p>
            <w:pPr>
              <w:spacing w:before="0" w:after="0"/>
            </w:pPr>
            <w:r>
              <w:rPr>
                <w:rFonts w:ascii="Arial" w:hAnsi="Arial"/>
                <w:b/>
                <w:sz w:val="18"/>
              </w:rPr>
              <w:t>1.1</w:t>
            </w:r>
          </w:p>
        </w:tc>
        <w:tc>
          <w:tcPr>
            <w:tcW w:type="dxa" w:w="1587"/>
            <w:shd w:val="clear" w:color="auto" w:fill="F2F4F7"/>
            <w:tcMar>
              <w:top w:w="60" w:type="dxa"/>
              <w:left w:w="110" w:type="dxa"/>
              <w:bottom w:w="60" w:type="dxa"/>
              <w:right w:w="110" w:type="dxa"/>
            </w:tcMar>
          </w:tcPr>
          <w:p>
            <w:pPr>
              <w:spacing w:before="0" w:after="0"/>
            </w:pPr>
            <w:r>
              <w:rPr>
                <w:rFonts w:ascii="Arial" w:hAnsi="Arial"/>
                <w:sz w:val="18"/>
              </w:rPr>
              <w:t>Mayo 2026</w:t>
            </w:r>
          </w:p>
        </w:tc>
        <w:tc>
          <w:tcPr>
            <w:tcW w:type="dxa" w:w="5783"/>
            <w:shd w:val="clear" w:color="auto" w:fill="F2F4F7"/>
            <w:tcMar>
              <w:top w:w="60" w:type="dxa"/>
              <w:left w:w="110" w:type="dxa"/>
              <w:bottom w:w="60" w:type="dxa"/>
              <w:right w:w="110" w:type="dxa"/>
            </w:tcMar>
          </w:tcPr>
          <w:p>
            <w:pPr>
              <w:spacing w:before="0" w:after="0"/>
            </w:pPr>
            <w:r>
              <w:rPr>
                <w:rFonts w:ascii="Arial" w:hAnsi="Arial"/>
                <w:sz w:val="18"/>
              </w:rPr>
              <w:t>Ampliación a 10 schemas (nuevo schema audiencia) y gestión centralizada de correos en comunicacion (inbox/outbox, tablas espejo con ENUM, job de SLA de 24 h y botonera de acción parametrizable). Integración al ecosistema Pentacore.</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4A4A"/>
        <w:sz w:val="16"/>
      </w:rPr>
      <w:t>SEGUROS AEGIS · Aegis Operational Plan · Pentacore · v1.0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B3A6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5F9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B3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