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i w:val="0"/>
          <w:iCs w:val="0"/>
          <w:color w:val="2e5f9e"/>
          <w:sz w:val="24"/>
          <w:szCs w:val="24"/>
          <w:rtl w:val="0"/>
        </w:rPr>
        <w:t xml:space="preserve">EL FRAMEWORK INMUTABLE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b3a6b"/>
          <w:sz w:val="60"/>
          <w:szCs w:val="60"/>
          <w:rtl w:val="0"/>
        </w:rPr>
        <w:t xml:space="preserve">Aegis Corporate OS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4a4a4a"/>
          <w:sz w:val="28"/>
          <w:szCs w:val="28"/>
          <w:rtl w:val="0"/>
        </w:rPr>
        <w:t xml:space="preserve">Núcleo Operativo Fijo de Seguros Aegis</w:t>
      </w:r>
      <w:r w:rsidDel="00000000" w:rsidR="00000000" w:rsidRPr="00000000">
        <w:rPr>
          <w:rtl w:val="0"/>
        </w:rPr>
      </w:r>
    </w:p>
    <w:p w:rsidR="00000000" w:rsidDel="00000000" w:rsidP="00000000" w:rsidRDefault="00000000" w:rsidRPr="00000000" w14:paraId="00000006">
      <w:pPr>
        <w:pBdr>
          <w:bottom w:color="2e5f9e" w:space="1" w:sz="10" w:val="single"/>
        </w:pBdr>
        <w:spacing w:after="0" w:before="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0"/>
          <w:bCs w:val="0"/>
          <w:i w:val="0"/>
          <w:iCs w:val="0"/>
          <w:sz w:val="22"/>
          <w:szCs w:val="22"/>
          <w:rtl w:val="0"/>
        </w:rPr>
        <w:t xml:space="preserve">ADN Constitucional · Organigrama de Responsabilidades · Compliance y Activos Técnicos Nucleares · Brand &amp; Universe DNA</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8640.0" w:type="dxa"/>
        <w:jc w:val="left"/>
        <w:tblInd w:w="-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d5e8f5" w:val="clear"/>
            <w:tcMar>
              <w:top w:w="120.0" w:type="dxa"/>
              <w:left w:w="160.0" w:type="dxa"/>
              <w:bottom w:w="120.0" w:type="dxa"/>
              <w:right w:w="16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color w:val="1b3a6b"/>
                <w:sz w:val="21"/>
                <w:szCs w:val="21"/>
                <w:rtl w:val="0"/>
              </w:rPr>
              <w:t xml:space="preserve">🛡 POSICIÓN EN LA ARQUITECTURA AEGIS</w:t>
            </w:r>
            <w:r w:rsidDel="00000000" w:rsidR="00000000" w:rsidRPr="00000000">
              <w:rPr>
                <w:rtl w:val="0"/>
              </w:rPr>
            </w:r>
          </w:p>
          <w:p w:rsidR="00000000" w:rsidDel="00000000" w:rsidP="00000000" w:rsidRDefault="00000000" w:rsidRPr="00000000" w14:paraId="0000000A">
            <w:pPr>
              <w:spacing w:after="0" w:before="60" w:lineRule="auto"/>
              <w:rPr/>
            </w:pPr>
            <w:r w:rsidDel="00000000" w:rsidR="00000000" w:rsidRPr="00000000">
              <w:rPr>
                <w:rFonts w:ascii="Arial" w:cs="Arial" w:eastAsia="Arial" w:hAnsi="Arial"/>
                <w:sz w:val="20"/>
                <w:szCs w:val="20"/>
                <w:rtl w:val="0"/>
              </w:rPr>
              <w:t xml:space="preserve">Este documento define quiénes somos, cómo operamos y bajo qué reglas inmutables nos movemos, sin importar cuál sea el plan comercial del mes. Cualquier persona —o inteligencia artificial— que lo lea debe poder construir software, contenido o decisiones que se sientan 100% nativas de Aegis. El plan comercial dinámico vive en un documento separado: el Aegis Commercial Playbook.</w:t>
            </w:r>
            <w:r w:rsidDel="00000000" w:rsidR="00000000" w:rsidRPr="00000000">
              <w:rPr>
                <w:rtl w:val="0"/>
              </w:rPr>
            </w:r>
          </w:p>
        </w:tc>
      </w:tr>
    </w:tbl>
    <w:p w:rsidR="00000000" w:rsidDel="00000000" w:rsidP="00000000" w:rsidRDefault="00000000" w:rsidRPr="00000000" w14:paraId="0000000B">
      <w:pPr>
        <w:spacing w:after="4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i w:val="0"/>
          <w:iCs w:val="0"/>
          <w:color w:val="1b3a6b"/>
          <w:rtl w:val="0"/>
        </w:rPr>
        <w:t xml:space="preserve">SEGUROS AEGIS · Corredora de Seguros · Chile</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0"/>
          <w:bCs w:val="0"/>
          <w:i w:val="0"/>
          <w:iCs w:val="0"/>
          <w:color w:val="4a4a4a"/>
          <w:sz w:val="20"/>
          <w:szCs w:val="20"/>
          <w:rtl w:val="0"/>
        </w:rPr>
        <w:t xml:space="preserve">Versión 1.0 (Documento Fundacional) · Mayo 2026</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i w:val="0"/>
          <w:iCs w:val="0"/>
          <w:color w:val="c0392b"/>
          <w:sz w:val="18"/>
          <w:szCs w:val="18"/>
          <w:rtl w:val="0"/>
        </w:rPr>
        <w:t xml:space="preserve">CONFIDENCIAL · Documento de uso interno exclusivo</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Índice de Contenidos</w:t>
      </w:r>
    </w:p>
    <w:p w:rsidR="00000000" w:rsidDel="00000000" w:rsidP="00000000" w:rsidRDefault="00000000" w:rsidRPr="00000000" w14:paraId="00000012">
      <w:pPr>
        <w:spacing w:after="60" w:before="100" w:lineRule="auto"/>
        <w:rPr/>
      </w:pPr>
      <w:r w:rsidDel="00000000" w:rsidR="00000000" w:rsidRPr="00000000">
        <w:rPr>
          <w:rFonts w:ascii="Arial" w:cs="Arial" w:eastAsia="Arial" w:hAnsi="Arial"/>
          <w:b w:val="1"/>
          <w:bCs w:val="1"/>
          <w:color w:val="1b3a6b"/>
          <w:sz w:val="22"/>
          <w:szCs w:val="22"/>
          <w:rtl w:val="0"/>
        </w:rPr>
        <w:t xml:space="preserve">Preámbulo — Cómo Usar Este Documento</w:t>
      </w:r>
      <w:r w:rsidDel="00000000" w:rsidR="00000000" w:rsidRPr="00000000">
        <w:rPr>
          <w:rtl w:val="0"/>
        </w:rPr>
      </w:r>
    </w:p>
    <w:p w:rsidR="00000000" w:rsidDel="00000000" w:rsidP="00000000" w:rsidRDefault="00000000" w:rsidRPr="00000000" w14:paraId="00000013">
      <w:pPr>
        <w:spacing w:after="60" w:before="100" w:lineRule="auto"/>
        <w:rPr/>
      </w:pPr>
      <w:r w:rsidDel="00000000" w:rsidR="00000000" w:rsidRPr="00000000">
        <w:rPr>
          <w:rFonts w:ascii="Arial" w:cs="Arial" w:eastAsia="Arial" w:hAnsi="Arial"/>
          <w:b w:val="1"/>
          <w:bCs w:val="1"/>
          <w:color w:val="1b3a6b"/>
          <w:sz w:val="22"/>
          <w:szCs w:val="22"/>
          <w:rtl w:val="0"/>
        </w:rPr>
        <w:t xml:space="preserve">1. ADN Constitucional</w:t>
      </w:r>
      <w:r w:rsidDel="00000000" w:rsidR="00000000" w:rsidRPr="00000000">
        <w:rPr>
          <w:rtl w:val="0"/>
        </w:rPr>
      </w:r>
    </w:p>
    <w:p w:rsidR="00000000" w:rsidDel="00000000" w:rsidP="00000000" w:rsidRDefault="00000000" w:rsidRPr="00000000" w14:paraId="00000014">
      <w:pPr>
        <w:spacing w:after="60" w:before="0" w:lineRule="auto"/>
        <w:ind w:left="454" w:firstLine="0"/>
        <w:rPr/>
      </w:pPr>
      <w:r w:rsidDel="00000000" w:rsidR="00000000" w:rsidRPr="00000000">
        <w:rPr>
          <w:rFonts w:ascii="Arial" w:cs="Arial" w:eastAsia="Arial" w:hAnsi="Arial"/>
          <w:color w:val="4a4a4a"/>
          <w:sz w:val="20"/>
          <w:szCs w:val="20"/>
          <w:rtl w:val="0"/>
        </w:rPr>
        <w:t xml:space="preserve">1.1 Misión</w:t>
      </w:r>
      <w:r w:rsidDel="00000000" w:rsidR="00000000" w:rsidRPr="00000000">
        <w:rPr>
          <w:rtl w:val="0"/>
        </w:rPr>
      </w:r>
    </w:p>
    <w:p w:rsidR="00000000" w:rsidDel="00000000" w:rsidP="00000000" w:rsidRDefault="00000000" w:rsidRPr="00000000" w14:paraId="00000015">
      <w:pPr>
        <w:spacing w:after="60" w:before="0" w:lineRule="auto"/>
        <w:ind w:left="454" w:firstLine="0"/>
        <w:rPr/>
      </w:pPr>
      <w:r w:rsidDel="00000000" w:rsidR="00000000" w:rsidRPr="00000000">
        <w:rPr>
          <w:rFonts w:ascii="Arial" w:cs="Arial" w:eastAsia="Arial" w:hAnsi="Arial"/>
          <w:color w:val="4a4a4a"/>
          <w:sz w:val="20"/>
          <w:szCs w:val="20"/>
          <w:rtl w:val="0"/>
        </w:rPr>
        <w:t xml:space="preserve">1.2 Visión a Largo Plazo</w:t>
      </w:r>
      <w:r w:rsidDel="00000000" w:rsidR="00000000" w:rsidRPr="00000000">
        <w:rPr>
          <w:rtl w:val="0"/>
        </w:rPr>
      </w:r>
    </w:p>
    <w:p w:rsidR="00000000" w:rsidDel="00000000" w:rsidP="00000000" w:rsidRDefault="00000000" w:rsidRPr="00000000" w14:paraId="00000016">
      <w:pPr>
        <w:spacing w:after="60" w:before="0" w:lineRule="auto"/>
        <w:ind w:left="454" w:firstLine="0"/>
        <w:rPr/>
      </w:pPr>
      <w:r w:rsidDel="00000000" w:rsidR="00000000" w:rsidRPr="00000000">
        <w:rPr>
          <w:rFonts w:ascii="Arial" w:cs="Arial" w:eastAsia="Arial" w:hAnsi="Arial"/>
          <w:color w:val="4a4a4a"/>
          <w:sz w:val="20"/>
          <w:szCs w:val="20"/>
          <w:rtl w:val="0"/>
        </w:rPr>
        <w:t xml:space="preserve">1.3 Valores Corporativos No Negociables</w:t>
      </w:r>
      <w:r w:rsidDel="00000000" w:rsidR="00000000" w:rsidRPr="00000000">
        <w:rPr>
          <w:rtl w:val="0"/>
        </w:rPr>
      </w:r>
    </w:p>
    <w:p w:rsidR="00000000" w:rsidDel="00000000" w:rsidP="00000000" w:rsidRDefault="00000000" w:rsidRPr="00000000" w14:paraId="00000017">
      <w:pPr>
        <w:spacing w:after="60" w:before="0" w:lineRule="auto"/>
        <w:ind w:left="454" w:firstLine="0"/>
        <w:rPr/>
      </w:pPr>
      <w:r w:rsidDel="00000000" w:rsidR="00000000" w:rsidRPr="00000000">
        <w:rPr>
          <w:rFonts w:ascii="Arial" w:cs="Arial" w:eastAsia="Arial" w:hAnsi="Arial"/>
          <w:color w:val="4a4a4a"/>
          <w:sz w:val="20"/>
          <w:szCs w:val="20"/>
          <w:rtl w:val="0"/>
        </w:rPr>
        <w:t xml:space="preserve">1.4 Máxima Filosófica de Negocio — La Relación Precio/Cobertura</w:t>
      </w:r>
      <w:r w:rsidDel="00000000" w:rsidR="00000000" w:rsidRPr="00000000">
        <w:rPr>
          <w:rtl w:val="0"/>
        </w:rPr>
      </w:r>
    </w:p>
    <w:p w:rsidR="00000000" w:rsidDel="00000000" w:rsidP="00000000" w:rsidRDefault="00000000" w:rsidRPr="00000000" w14:paraId="00000018">
      <w:pPr>
        <w:spacing w:after="60" w:before="100" w:lineRule="auto"/>
        <w:rPr/>
      </w:pPr>
      <w:r w:rsidDel="00000000" w:rsidR="00000000" w:rsidRPr="00000000">
        <w:rPr>
          <w:rFonts w:ascii="Arial" w:cs="Arial" w:eastAsia="Arial" w:hAnsi="Arial"/>
          <w:b w:val="1"/>
          <w:bCs w:val="1"/>
          <w:color w:val="1b3a6b"/>
          <w:sz w:val="22"/>
          <w:szCs w:val="22"/>
          <w:rtl w:val="0"/>
        </w:rPr>
        <w:t xml:space="preserve">2. Organigrama de Responsabilidades (Accountability Chart)</w:t>
      </w:r>
      <w:r w:rsidDel="00000000" w:rsidR="00000000" w:rsidRPr="00000000">
        <w:rPr>
          <w:rtl w:val="0"/>
        </w:rPr>
      </w:r>
    </w:p>
    <w:p w:rsidR="00000000" w:rsidDel="00000000" w:rsidP="00000000" w:rsidRDefault="00000000" w:rsidRPr="00000000" w14:paraId="00000019">
      <w:pPr>
        <w:spacing w:after="60" w:before="0" w:lineRule="auto"/>
        <w:ind w:left="454" w:firstLine="0"/>
        <w:rPr/>
      </w:pPr>
      <w:r w:rsidDel="00000000" w:rsidR="00000000" w:rsidRPr="00000000">
        <w:rPr>
          <w:rFonts w:ascii="Arial" w:cs="Arial" w:eastAsia="Arial" w:hAnsi="Arial"/>
          <w:color w:val="4a4a4a"/>
          <w:sz w:val="20"/>
          <w:szCs w:val="20"/>
          <w:rtl w:val="0"/>
        </w:rPr>
        <w:t xml:space="preserve">2.1 Los 4 Roles Esenciales</w:t>
      </w:r>
      <w:r w:rsidDel="00000000" w:rsidR="00000000" w:rsidRPr="00000000">
        <w:rPr>
          <w:rtl w:val="0"/>
        </w:rPr>
      </w:r>
    </w:p>
    <w:p w:rsidR="00000000" w:rsidDel="00000000" w:rsidP="00000000" w:rsidRDefault="00000000" w:rsidRPr="00000000" w14:paraId="0000001A">
      <w:pPr>
        <w:spacing w:after="60" w:before="0" w:lineRule="auto"/>
        <w:ind w:left="454" w:firstLine="0"/>
        <w:rPr/>
      </w:pPr>
      <w:r w:rsidDel="00000000" w:rsidR="00000000" w:rsidRPr="00000000">
        <w:rPr>
          <w:rFonts w:ascii="Arial" w:cs="Arial" w:eastAsia="Arial" w:hAnsi="Arial"/>
          <w:color w:val="4a4a4a"/>
          <w:sz w:val="20"/>
          <w:szCs w:val="20"/>
          <w:rtl w:val="0"/>
        </w:rPr>
        <w:t xml:space="preserve">2.2 Separación de Funciones Crítica</w:t>
      </w:r>
      <w:r w:rsidDel="00000000" w:rsidR="00000000" w:rsidRPr="00000000">
        <w:rPr>
          <w:rtl w:val="0"/>
        </w:rPr>
      </w:r>
    </w:p>
    <w:p w:rsidR="00000000" w:rsidDel="00000000" w:rsidP="00000000" w:rsidRDefault="00000000" w:rsidRPr="00000000" w14:paraId="0000001B">
      <w:pPr>
        <w:spacing w:after="60" w:before="100" w:lineRule="auto"/>
        <w:rPr/>
      </w:pPr>
      <w:r w:rsidDel="00000000" w:rsidR="00000000" w:rsidRPr="00000000">
        <w:rPr>
          <w:rFonts w:ascii="Arial" w:cs="Arial" w:eastAsia="Arial" w:hAnsi="Arial"/>
          <w:b w:val="1"/>
          <w:bCs w:val="1"/>
          <w:color w:val="1b3a6b"/>
          <w:sz w:val="22"/>
          <w:szCs w:val="22"/>
          <w:rtl w:val="0"/>
        </w:rPr>
        <w:t xml:space="preserve">3. Compliance y Activos Técnicos Nucleares</w:t>
      </w:r>
      <w:r w:rsidDel="00000000" w:rsidR="00000000" w:rsidRPr="00000000">
        <w:rPr>
          <w:rtl w:val="0"/>
        </w:rPr>
      </w:r>
    </w:p>
    <w:p w:rsidR="00000000" w:rsidDel="00000000" w:rsidP="00000000" w:rsidRDefault="00000000" w:rsidRPr="00000000" w14:paraId="0000001C">
      <w:pPr>
        <w:spacing w:after="60" w:before="0" w:lineRule="auto"/>
        <w:ind w:left="454" w:firstLine="0"/>
        <w:rPr/>
      </w:pPr>
      <w:r w:rsidDel="00000000" w:rsidR="00000000" w:rsidRPr="00000000">
        <w:rPr>
          <w:rFonts w:ascii="Arial" w:cs="Arial" w:eastAsia="Arial" w:hAnsi="Arial"/>
          <w:color w:val="4a4a4a"/>
          <w:sz w:val="20"/>
          <w:szCs w:val="20"/>
          <w:rtl w:val="0"/>
        </w:rPr>
        <w:t xml:space="preserve">3.1 Mapa de Gobierno Legal</w:t>
      </w:r>
      <w:r w:rsidDel="00000000" w:rsidR="00000000" w:rsidRPr="00000000">
        <w:rPr>
          <w:rtl w:val="0"/>
        </w:rPr>
      </w:r>
    </w:p>
    <w:p w:rsidR="00000000" w:rsidDel="00000000" w:rsidP="00000000" w:rsidRDefault="00000000" w:rsidRPr="00000000" w14:paraId="0000001D">
      <w:pPr>
        <w:spacing w:after="60" w:before="0" w:lineRule="auto"/>
        <w:ind w:left="454" w:firstLine="0"/>
        <w:rPr/>
      </w:pPr>
      <w:r w:rsidDel="00000000" w:rsidR="00000000" w:rsidRPr="00000000">
        <w:rPr>
          <w:rFonts w:ascii="Arial" w:cs="Arial" w:eastAsia="Arial" w:hAnsi="Arial"/>
          <w:color w:val="4a4a4a"/>
          <w:sz w:val="20"/>
          <w:szCs w:val="20"/>
          <w:rtl w:val="0"/>
        </w:rPr>
        <w:t xml:space="preserve">3.2 Políticas de Privacidad y Tratamiento de Datos</w:t>
      </w:r>
      <w:r w:rsidDel="00000000" w:rsidR="00000000" w:rsidRPr="00000000">
        <w:rPr>
          <w:rtl w:val="0"/>
        </w:rPr>
      </w:r>
    </w:p>
    <w:p w:rsidR="00000000" w:rsidDel="00000000" w:rsidP="00000000" w:rsidRDefault="00000000" w:rsidRPr="00000000" w14:paraId="0000001E">
      <w:pPr>
        <w:spacing w:after="60" w:before="0" w:lineRule="auto"/>
        <w:ind w:left="454" w:firstLine="0"/>
        <w:rPr/>
      </w:pPr>
      <w:r w:rsidDel="00000000" w:rsidR="00000000" w:rsidRPr="00000000">
        <w:rPr>
          <w:rFonts w:ascii="Arial" w:cs="Arial" w:eastAsia="Arial" w:hAnsi="Arial"/>
          <w:color w:val="4a4a4a"/>
          <w:sz w:val="20"/>
          <w:szCs w:val="20"/>
          <w:rtl w:val="0"/>
        </w:rPr>
        <w:t xml:space="preserve">3.3 Propiedad Intelectual y Soberanía de Datos</w:t>
      </w:r>
      <w:r w:rsidDel="00000000" w:rsidR="00000000" w:rsidRPr="00000000">
        <w:rPr>
          <w:rtl w:val="0"/>
        </w:rPr>
      </w:r>
    </w:p>
    <w:p w:rsidR="00000000" w:rsidDel="00000000" w:rsidP="00000000" w:rsidRDefault="00000000" w:rsidRPr="00000000" w14:paraId="0000001F">
      <w:pPr>
        <w:spacing w:after="60" w:before="0" w:lineRule="auto"/>
        <w:ind w:left="454" w:firstLine="0"/>
        <w:rPr/>
      </w:pPr>
      <w:r w:rsidDel="00000000" w:rsidR="00000000" w:rsidRPr="00000000">
        <w:rPr>
          <w:rFonts w:ascii="Arial" w:cs="Arial" w:eastAsia="Arial" w:hAnsi="Arial"/>
          <w:color w:val="4a4a4a"/>
          <w:sz w:val="20"/>
          <w:szCs w:val="20"/>
          <w:rtl w:val="0"/>
        </w:rPr>
        <w:t xml:space="preserve">3.4 Inventario de Infraestructura Tecnológica Nuclear — El Anclaje Estructural</w:t>
      </w:r>
      <w:r w:rsidDel="00000000" w:rsidR="00000000" w:rsidRPr="00000000">
        <w:rPr>
          <w:rtl w:val="0"/>
        </w:rPr>
      </w:r>
    </w:p>
    <w:p w:rsidR="00000000" w:rsidDel="00000000" w:rsidP="00000000" w:rsidRDefault="00000000" w:rsidRPr="00000000" w14:paraId="00000020">
      <w:pPr>
        <w:spacing w:after="60" w:before="100" w:lineRule="auto"/>
        <w:rPr/>
      </w:pPr>
      <w:r w:rsidDel="00000000" w:rsidR="00000000" w:rsidRPr="00000000">
        <w:rPr>
          <w:rFonts w:ascii="Arial" w:cs="Arial" w:eastAsia="Arial" w:hAnsi="Arial"/>
          <w:b w:val="1"/>
          <w:bCs w:val="1"/>
          <w:color w:val="1b3a6b"/>
          <w:sz w:val="22"/>
          <w:szCs w:val="22"/>
          <w:rtl w:val="0"/>
        </w:rPr>
        <w:t xml:space="preserve">4. Brand &amp; Universe DNA</w:t>
      </w:r>
      <w:r w:rsidDel="00000000" w:rsidR="00000000" w:rsidRPr="00000000">
        <w:rPr>
          <w:rtl w:val="0"/>
        </w:rPr>
      </w:r>
    </w:p>
    <w:p w:rsidR="00000000" w:rsidDel="00000000" w:rsidP="00000000" w:rsidRDefault="00000000" w:rsidRPr="00000000" w14:paraId="00000021">
      <w:pPr>
        <w:spacing w:after="60" w:before="0" w:lineRule="auto"/>
        <w:ind w:left="454" w:firstLine="0"/>
        <w:rPr/>
      </w:pPr>
      <w:r w:rsidDel="00000000" w:rsidR="00000000" w:rsidRPr="00000000">
        <w:rPr>
          <w:rFonts w:ascii="Arial" w:cs="Arial" w:eastAsia="Arial" w:hAnsi="Arial"/>
          <w:color w:val="4a4a4a"/>
          <w:sz w:val="20"/>
          <w:szCs w:val="20"/>
          <w:rtl w:val="0"/>
        </w:rPr>
        <w:t xml:space="preserve">4.1 Esencia y Promesa de Marca</w:t>
      </w:r>
      <w:r w:rsidDel="00000000" w:rsidR="00000000" w:rsidRPr="00000000">
        <w:rPr>
          <w:rtl w:val="0"/>
        </w:rPr>
      </w:r>
    </w:p>
    <w:p w:rsidR="00000000" w:rsidDel="00000000" w:rsidP="00000000" w:rsidRDefault="00000000" w:rsidRPr="00000000" w14:paraId="00000022">
      <w:pPr>
        <w:spacing w:after="60" w:before="0" w:lineRule="auto"/>
        <w:ind w:left="454" w:firstLine="0"/>
        <w:rPr/>
      </w:pPr>
      <w:r w:rsidDel="00000000" w:rsidR="00000000" w:rsidRPr="00000000">
        <w:rPr>
          <w:rFonts w:ascii="Arial" w:cs="Arial" w:eastAsia="Arial" w:hAnsi="Arial"/>
          <w:color w:val="4a4a4a"/>
          <w:sz w:val="20"/>
          <w:szCs w:val="20"/>
          <w:rtl w:val="0"/>
        </w:rPr>
        <w:t xml:space="preserve">4.2 Tono de Voz Corporativo</w:t>
      </w:r>
      <w:r w:rsidDel="00000000" w:rsidR="00000000" w:rsidRPr="00000000">
        <w:rPr>
          <w:rtl w:val="0"/>
        </w:rPr>
      </w:r>
    </w:p>
    <w:p w:rsidR="00000000" w:rsidDel="00000000" w:rsidP="00000000" w:rsidRDefault="00000000" w:rsidRPr="00000000" w14:paraId="00000023">
      <w:pPr>
        <w:spacing w:after="60" w:before="0" w:lineRule="auto"/>
        <w:ind w:left="454" w:firstLine="0"/>
        <w:rPr/>
      </w:pPr>
      <w:r w:rsidDel="00000000" w:rsidR="00000000" w:rsidRPr="00000000">
        <w:rPr>
          <w:rFonts w:ascii="Arial" w:cs="Arial" w:eastAsia="Arial" w:hAnsi="Arial"/>
          <w:color w:val="4a4a4a"/>
          <w:sz w:val="20"/>
          <w:szCs w:val="20"/>
          <w:rtl w:val="0"/>
        </w:rPr>
        <w:t xml:space="preserve">4.3 Paleta Visual</w:t>
      </w:r>
      <w:r w:rsidDel="00000000" w:rsidR="00000000" w:rsidRPr="00000000">
        <w:rPr>
          <w:rtl w:val="0"/>
        </w:rPr>
      </w:r>
    </w:p>
    <w:p w:rsidR="00000000" w:rsidDel="00000000" w:rsidP="00000000" w:rsidRDefault="00000000" w:rsidRPr="00000000" w14:paraId="00000024">
      <w:pPr>
        <w:spacing w:after="60" w:before="0" w:lineRule="auto"/>
        <w:ind w:left="454" w:firstLine="0"/>
        <w:rPr/>
      </w:pPr>
      <w:r w:rsidDel="00000000" w:rsidR="00000000" w:rsidRPr="00000000">
        <w:rPr>
          <w:rFonts w:ascii="Arial" w:cs="Arial" w:eastAsia="Arial" w:hAnsi="Arial"/>
          <w:color w:val="4a4a4a"/>
          <w:sz w:val="20"/>
          <w:szCs w:val="20"/>
          <w:rtl w:val="0"/>
        </w:rPr>
        <w:t xml:space="preserve">4.4 Tipografía Corporativa</w:t>
      </w:r>
      <w:r w:rsidDel="00000000" w:rsidR="00000000" w:rsidRPr="00000000">
        <w:rPr>
          <w:rtl w:val="0"/>
        </w:rPr>
      </w:r>
    </w:p>
    <w:p w:rsidR="00000000" w:rsidDel="00000000" w:rsidP="00000000" w:rsidRDefault="00000000" w:rsidRPr="00000000" w14:paraId="00000025">
      <w:pPr>
        <w:spacing w:after="60" w:before="0" w:lineRule="auto"/>
        <w:ind w:left="454" w:firstLine="0"/>
        <w:rPr/>
      </w:pPr>
      <w:r w:rsidDel="00000000" w:rsidR="00000000" w:rsidRPr="00000000">
        <w:rPr>
          <w:rFonts w:ascii="Arial" w:cs="Arial" w:eastAsia="Arial" w:hAnsi="Arial"/>
          <w:color w:val="4a4a4a"/>
          <w:sz w:val="20"/>
          <w:szCs w:val="20"/>
          <w:rtl w:val="0"/>
        </w:rPr>
        <w:t xml:space="preserve">4.5 Reglas de Diseño para Software y Web Nativos de Aegis</w:t>
      </w:r>
      <w:r w:rsidDel="00000000" w:rsidR="00000000" w:rsidRPr="00000000">
        <w:rPr>
          <w:rtl w:val="0"/>
        </w:rPr>
      </w:r>
    </w:p>
    <w:p w:rsidR="00000000" w:rsidDel="00000000" w:rsidP="00000000" w:rsidRDefault="00000000" w:rsidRPr="00000000" w14:paraId="00000026">
      <w:pPr>
        <w:spacing w:after="60" w:before="100" w:lineRule="auto"/>
        <w:rPr/>
      </w:pPr>
      <w:r w:rsidDel="00000000" w:rsidR="00000000" w:rsidRPr="00000000">
        <w:rPr>
          <w:rFonts w:ascii="Arial" w:cs="Arial" w:eastAsia="Arial" w:hAnsi="Arial"/>
          <w:b w:val="1"/>
          <w:bCs w:val="1"/>
          <w:color w:val="1b3a6b"/>
          <w:sz w:val="22"/>
          <w:szCs w:val="22"/>
          <w:rtl w:val="0"/>
        </w:rPr>
        <w:t xml:space="preserve">Control del Documento</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Preámbulo — Cómo Usar Este Documento</w:t>
      </w:r>
    </w:p>
    <w:p w:rsidR="00000000" w:rsidDel="00000000" w:rsidP="00000000" w:rsidRDefault="00000000" w:rsidRPr="00000000" w14:paraId="00000029">
      <w:pPr>
        <w:rPr/>
      </w:pPr>
      <w:r w:rsidDel="00000000" w:rsidR="00000000" w:rsidRPr="00000000">
        <w:rPr>
          <w:b w:val="0"/>
          <w:bCs w:val="0"/>
          <w:i w:val="0"/>
          <w:iCs w:val="0"/>
          <w:rtl w:val="0"/>
        </w:rPr>
        <w:t xml:space="preserve">El Aegis Corporate OS es el sistema operativo corporativo de Seguros Aegis: el conjunto de definiciones fundacionales que no cambian con la coyuntura comercial. Es la capa de mayor jerarquía de la empresa. Toda iniciativa táctica —un nuevo motor de ventas, una campaña, un módulo de software, una web— debe validarse primero contra este marco. Si una práctica contradice este documento, no se ejecuta, sin importar su atractivo comercial.</w:t>
      </w:r>
      <w:r w:rsidDel="00000000" w:rsidR="00000000" w:rsidRPr="00000000">
        <w:rPr>
          <w:rtl w:val="0"/>
        </w:rPr>
      </w:r>
    </w:p>
    <w:tbl>
      <w:tblPr>
        <w:tblStyle w:val="Table2"/>
        <w:tblW w:w="8640.0" w:type="dxa"/>
        <w:jc w:val="left"/>
        <w:tblInd w:w="-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d5e8f5" w:val="clear"/>
            <w:tcMar>
              <w:top w:w="120.0" w:type="dxa"/>
              <w:left w:w="160.0" w:type="dxa"/>
              <w:bottom w:w="120.0" w:type="dxa"/>
              <w:right w:w="160.0" w:type="dxa"/>
            </w:tcMa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1"/>
                <w:bCs w:val="1"/>
                <w:color w:val="1b3a6b"/>
                <w:sz w:val="21"/>
                <w:szCs w:val="21"/>
                <w:rtl w:val="0"/>
              </w:rPr>
              <w:t xml:space="preserve">⚖ REGLA DE PRECEDENCIA</w:t>
            </w:r>
            <w:r w:rsidDel="00000000" w:rsidR="00000000" w:rsidRPr="00000000">
              <w:rPr>
                <w:rtl w:val="0"/>
              </w:rPr>
            </w:r>
          </w:p>
          <w:p w:rsidR="00000000" w:rsidDel="00000000" w:rsidP="00000000" w:rsidRDefault="00000000" w:rsidRPr="00000000" w14:paraId="0000002B">
            <w:pPr>
              <w:spacing w:after="0" w:before="60" w:lineRule="auto"/>
              <w:rPr/>
            </w:pPr>
            <w:r w:rsidDel="00000000" w:rsidR="00000000" w:rsidRPr="00000000">
              <w:rPr>
                <w:rFonts w:ascii="Arial" w:cs="Arial" w:eastAsia="Arial" w:hAnsi="Arial"/>
                <w:sz w:val="20"/>
                <w:szCs w:val="20"/>
                <w:rtl w:val="0"/>
              </w:rPr>
              <w:t xml:space="preserve">Cuando exista conflicto entre una idea comercial y una regla de este documento, prevalece este documento. El Commercial Playbook opera dentro de los límites aquí definidos: el ADN, los roles, el marco legal y los activos técnicos nucleares son su frontera, nunca su variable.</w:t>
            </w:r>
            <w:r w:rsidDel="00000000" w:rsidR="00000000" w:rsidRPr="00000000">
              <w:rPr>
                <w:rtl w:val="0"/>
              </w:rPr>
            </w:r>
          </w:p>
        </w:tc>
      </w:tr>
    </w:tbl>
    <w:p w:rsidR="00000000" w:rsidDel="00000000" w:rsidP="00000000" w:rsidRDefault="00000000" w:rsidRPr="00000000" w14:paraId="0000002C">
      <w:pPr>
        <w:spacing w:after="4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1. ADN Constitucional</w:t>
      </w:r>
    </w:p>
    <w:p w:rsidR="00000000" w:rsidDel="00000000" w:rsidP="00000000" w:rsidRDefault="00000000" w:rsidRPr="00000000" w14:paraId="0000002F">
      <w:pPr>
        <w:rPr/>
      </w:pPr>
      <w:r w:rsidDel="00000000" w:rsidR="00000000" w:rsidRPr="00000000">
        <w:rPr>
          <w:b w:val="0"/>
          <w:bCs w:val="0"/>
          <w:i w:val="0"/>
          <w:iCs w:val="0"/>
          <w:rtl w:val="0"/>
        </w:rPr>
        <w:t xml:space="preserve">El ADN Constitucional es el centro de gravedad de la empresa. Define la razón de ser de Aegis, su horizonte de largo plazo y los valores que no se negocian bajo ninguna circunstancia comercial.</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1.1 Misión</w:t>
      </w:r>
    </w:p>
    <w:tbl>
      <w:tblPr>
        <w:tblStyle w:val="Table3"/>
        <w:tblW w:w="8640.0" w:type="dxa"/>
        <w:jc w:val="left"/>
        <w:tblInd w:w="-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d5e8f5" w:val="clear"/>
            <w:tcMar>
              <w:top w:w="120.0" w:type="dxa"/>
              <w:left w:w="160.0" w:type="dxa"/>
              <w:bottom w:w="120.0" w:type="dxa"/>
              <w:right w:w="16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b w:val="1"/>
                <w:bCs w:val="1"/>
                <w:color w:val="1b3a6b"/>
                <w:sz w:val="21"/>
                <w:szCs w:val="21"/>
                <w:rtl w:val="0"/>
              </w:rPr>
              <w:t xml:space="preserve">🎯 MISIÓN</w:t>
            </w:r>
            <w:r w:rsidDel="00000000" w:rsidR="00000000" w:rsidRPr="00000000">
              <w:rPr>
                <w:rtl w:val="0"/>
              </w:rPr>
            </w:r>
          </w:p>
          <w:p w:rsidR="00000000" w:rsidDel="00000000" w:rsidP="00000000" w:rsidRDefault="00000000" w:rsidRPr="00000000" w14:paraId="00000032">
            <w:pPr>
              <w:spacing w:after="0" w:before="60" w:lineRule="auto"/>
              <w:rPr/>
            </w:pPr>
            <w:r w:rsidDel="00000000" w:rsidR="00000000" w:rsidRPr="00000000">
              <w:rPr>
                <w:rFonts w:ascii="Arial" w:cs="Arial" w:eastAsia="Arial" w:hAnsi="Arial"/>
                <w:sz w:val="20"/>
                <w:szCs w:val="20"/>
                <w:rtl w:val="0"/>
              </w:rPr>
              <w:t xml:space="preserve">Ser la corredora de seguros independiente que pone su criterio profesional al servicio de la protección del cliente: intermediar, para cada persona y comunidad, la mejor protección disponible en el mercado al precio más competitivo, sin lealtades con una sola compañía, sin productos prefabricados y sin renovaciones automáticas que el cliente no necesita.</w:t>
            </w:r>
            <w:r w:rsidDel="00000000" w:rsidR="00000000" w:rsidRPr="00000000">
              <w:rPr>
                <w:rtl w:val="0"/>
              </w:rPr>
            </w:r>
          </w:p>
        </w:tc>
      </w:tr>
    </w:tbl>
    <w:p w:rsidR="00000000" w:rsidDel="00000000" w:rsidP="00000000" w:rsidRDefault="00000000" w:rsidRPr="00000000" w14:paraId="00000033">
      <w:pPr>
        <w:spacing w:after="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b w:val="0"/>
          <w:bCs w:val="0"/>
          <w:i w:val="0"/>
          <w:iCs w:val="0"/>
          <w:rtl w:val="0"/>
        </w:rPr>
        <w:t xml:space="preserve">El nombre lo dice todo. «Aegis» (del griego Αἰγίς, «égida») era el escudo protector de Zeus y Atenea. Un cliente bajo la égida de Aegis está protegido por un asesor que interpone su escudo entre el cliente y el riesgo. La promesa no es decorativa: es la definición operativa del negocio.</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1.2 Visión a Largo Plazo</w:t>
      </w:r>
    </w:p>
    <w:tbl>
      <w:tblPr>
        <w:tblStyle w:val="Table4"/>
        <w:tblW w:w="8640.0" w:type="dxa"/>
        <w:jc w:val="left"/>
        <w:tblInd w:w="-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d5e8f5" w:val="clear"/>
            <w:tcMar>
              <w:top w:w="120.0" w:type="dxa"/>
              <w:left w:w="160.0" w:type="dxa"/>
              <w:bottom w:w="120.0" w:type="dxa"/>
              <w:right w:w="16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1"/>
                <w:bCs w:val="1"/>
                <w:color w:val="1b3a6b"/>
                <w:sz w:val="21"/>
                <w:szCs w:val="21"/>
                <w:rtl w:val="0"/>
              </w:rPr>
              <w:t xml:space="preserve">🔭 VISIÓN</w:t>
            </w:r>
            <w:r w:rsidDel="00000000" w:rsidR="00000000" w:rsidRPr="00000000">
              <w:rPr>
                <w:rtl w:val="0"/>
              </w:rPr>
            </w:r>
          </w:p>
          <w:p w:rsidR="00000000" w:rsidDel="00000000" w:rsidP="00000000" w:rsidRDefault="00000000" w:rsidRPr="00000000" w14:paraId="00000037">
            <w:pPr>
              <w:spacing w:after="0" w:before="60" w:lineRule="auto"/>
              <w:rPr/>
            </w:pPr>
            <w:r w:rsidDel="00000000" w:rsidR="00000000" w:rsidRPr="00000000">
              <w:rPr>
                <w:rFonts w:ascii="Arial" w:cs="Arial" w:eastAsia="Arial" w:hAnsi="Arial"/>
                <w:sz w:val="20"/>
                <w:szCs w:val="20"/>
                <w:rtl w:val="0"/>
              </w:rPr>
              <w:t xml:space="preserve">Construir una corredora con un activo que ninguna otra de su tamaño en Chile posee: un sistema de gestión propio, diseñado exactamente para sus procesos, con propiedad total sobre sus datos y la capacidad de evolucionar en días, no en años. Sobre esa base tecnológica, escalar una cartera de alta retención (renovaciones por sobre la venta nueva) que crezca de forma sostenida sin sacrificar jamás el interés del cliente.</w:t>
            </w:r>
            <w:r w:rsidDel="00000000" w:rsidR="00000000" w:rsidRPr="00000000">
              <w:rPr>
                <w:rtl w:val="0"/>
              </w:rPr>
            </w:r>
          </w:p>
        </w:tc>
      </w:tr>
    </w:tbl>
    <w:p w:rsidR="00000000" w:rsidDel="00000000" w:rsidP="00000000" w:rsidRDefault="00000000" w:rsidRPr="00000000" w14:paraId="00000038">
      <w:pPr>
        <w:spacing w:after="4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b w:val="0"/>
          <w:bCs w:val="0"/>
          <w:i w:val="0"/>
          <w:iCs w:val="0"/>
          <w:rtl w:val="0"/>
        </w:rPr>
        <w:t xml:space="preserve">La visión se sostiene en dos pilares estructurales y permanentes: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Palanca Comercial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 poder de negociación sobre un panel amplio de compañías aseguradoras (la «Palanca Comercial»), que permite conseguir el mejor precio del mercado para cualquier perfil, sin importar su historial.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Soberanía de datos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La independencia tecnológica: un Programa Propio que reemplaza a las plataformas de terceros y elimina costo recurrente, dependencia externa y límites de personalización.</w:t>
      </w:r>
    </w:p>
    <w:p w:rsidR="00000000" w:rsidDel="00000000" w:rsidP="00000000" w:rsidRDefault="00000000" w:rsidRPr="00000000" w14:paraId="0000003C">
      <w:pPr>
        <w:pStyle w:val="Heading2"/>
        <w:rPr/>
      </w:pPr>
      <w:r w:rsidDel="00000000" w:rsidR="00000000" w:rsidRPr="00000000">
        <w:rPr>
          <w:rtl w:val="0"/>
        </w:rPr>
        <w:t xml:space="preserve">1.3 Valores Corporativos No Negociables</w:t>
      </w:r>
    </w:p>
    <w:p w:rsidR="00000000" w:rsidDel="00000000" w:rsidP="00000000" w:rsidRDefault="00000000" w:rsidRPr="00000000" w14:paraId="0000003D">
      <w:pPr>
        <w:rPr/>
      </w:pPr>
      <w:r w:rsidDel="00000000" w:rsidR="00000000" w:rsidRPr="00000000">
        <w:rPr>
          <w:b w:val="0"/>
          <w:bCs w:val="0"/>
          <w:i w:val="0"/>
          <w:iCs w:val="0"/>
          <w:rtl w:val="0"/>
        </w:rPr>
        <w:t xml:space="preserve">Estos cinco atributos son la columna vertebral de la marca y de cada decisión. No son aspiracionales: son obligatorios.</w:t>
      </w:r>
      <w:r w:rsidDel="00000000" w:rsidR="00000000" w:rsidRPr="00000000">
        <w:rPr>
          <w:rtl w:val="0"/>
        </w:rPr>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b3a6b" w:val="clear"/>
            <w:tcMar>
              <w:top w:w="60.0" w:type="dxa"/>
              <w:left w:w="110.0" w:type="dxa"/>
              <w:bottom w:w="60.0" w:type="dxa"/>
              <w:right w:w="11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1"/>
                <w:bCs w:val="1"/>
                <w:color w:val="ffffff"/>
                <w:sz w:val="19"/>
                <w:szCs w:val="19"/>
                <w:rtl w:val="0"/>
              </w:rPr>
              <w:t xml:space="preserve">Valor</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1"/>
                <w:bCs w:val="1"/>
                <w:color w:val="ffffff"/>
                <w:sz w:val="19"/>
                <w:szCs w:val="19"/>
                <w:rtl w:val="0"/>
              </w:rPr>
              <w:t xml:space="preserve">Qué significa en la práctica</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1"/>
                <w:bCs w:val="1"/>
                <w:sz w:val="19"/>
                <w:szCs w:val="19"/>
                <w:rtl w:val="0"/>
              </w:rPr>
              <w:t xml:space="preserve">Profesional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sz w:val="19"/>
                <w:szCs w:val="19"/>
                <w:rtl w:val="0"/>
              </w:rPr>
              <w:t xml:space="preserve">Comunicación clara, sin ambigüedades y con respaldo técnico. La seriedad se gana, no se decora.</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1"/>
                <w:bCs w:val="1"/>
                <w:sz w:val="19"/>
                <w:szCs w:val="19"/>
                <w:rtl w:val="0"/>
              </w:rPr>
              <w:t xml:space="preserve">Independiente</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sz w:val="19"/>
                <w:szCs w:val="19"/>
                <w:rtl w:val="0"/>
              </w:rPr>
              <w:t xml:space="preserve">Sin presión de meta con ninguna aseguradora. La recomendación se basa en lo mejor para el cliente. Es nuestro principal activo frente al corredor cautivo.</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1"/>
                <w:bCs w:val="1"/>
                <w:sz w:val="19"/>
                <w:szCs w:val="19"/>
                <w:rtl w:val="0"/>
              </w:rPr>
              <w:t xml:space="preserve">Cercana</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sz w:val="19"/>
                <w:szCs w:val="19"/>
                <w:rtl w:val="0"/>
              </w:rPr>
              <w:t xml:space="preserve">El cliente trata con un profesional, no con un call center.</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1"/>
                <w:bCs w:val="1"/>
                <w:sz w:val="19"/>
                <w:szCs w:val="19"/>
                <w:rtl w:val="0"/>
              </w:rPr>
              <w:t xml:space="preserve">Rigurosa</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sz w:val="19"/>
                <w:szCs w:val="19"/>
                <w:rtl w:val="0"/>
              </w:rPr>
              <w:t xml:space="preserve">Plazos cumplidos, documentos completos, compliance estricto. La ley se respeta aunque cueste una venta.</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1"/>
                <w:bCs w:val="1"/>
                <w:sz w:val="19"/>
                <w:szCs w:val="19"/>
                <w:rtl w:val="0"/>
              </w:rPr>
              <w:t xml:space="preserve">Confiable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sz w:val="19"/>
                <w:szCs w:val="19"/>
                <w:rtl w:val="0"/>
              </w:rPr>
              <w:t xml:space="preserve">La protección del cliente es el centro de cada decisión. Honestidad antes que venta: si una opción no es la mejor, se dice.</w:t>
            </w:r>
            <w:r w:rsidDel="00000000" w:rsidR="00000000" w:rsidRPr="00000000">
              <w:rPr>
                <w:rtl w:val="0"/>
              </w:rPr>
            </w:r>
          </w:p>
        </w:tc>
      </w:tr>
    </w:tbl>
    <w:p w:rsidR="00000000" w:rsidDel="00000000" w:rsidP="00000000" w:rsidRDefault="00000000" w:rsidRPr="00000000" w14:paraId="0000004A">
      <w:pPr>
        <w:spacing w:after="40"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1.4 Máxima Filosófica de Negocio — La Relación Precio/Cobertura</w:t>
      </w:r>
    </w:p>
    <w:p w:rsidR="00000000" w:rsidDel="00000000" w:rsidP="00000000" w:rsidRDefault="00000000" w:rsidRPr="00000000" w14:paraId="0000004C">
      <w:pPr>
        <w:rPr/>
      </w:pPr>
      <w:r w:rsidDel="00000000" w:rsidR="00000000" w:rsidRPr="00000000">
        <w:rPr>
          <w:b w:val="0"/>
          <w:bCs w:val="0"/>
          <w:i w:val="0"/>
          <w:iCs w:val="0"/>
          <w:rtl w:val="0"/>
        </w:rPr>
        <w:t xml:space="preserve">Por encima de todos los procesos, Seguros Aegis se rige por una única máxima rectora que subordina cualquier objetivo de rentabilidad propia al beneficio del cliente:</w:t>
      </w:r>
      <w:r w:rsidDel="00000000" w:rsidR="00000000" w:rsidRPr="00000000">
        <w:rPr>
          <w:rtl w:val="0"/>
        </w:rPr>
      </w:r>
    </w:p>
    <w:tbl>
      <w:tblPr>
        <w:tblStyle w:val="Table6"/>
        <w:tblW w:w="8640.0" w:type="dxa"/>
        <w:jc w:val="left"/>
        <w:tblInd w:w="-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eaf4ec" w:val="clear"/>
            <w:tcMar>
              <w:top w:w="120.0" w:type="dxa"/>
              <w:left w:w="160.0" w:type="dxa"/>
              <w:bottom w:w="120.0" w:type="dxa"/>
              <w:right w:w="160.0" w:type="dxa"/>
            </w:tcMar>
          </w:tcPr>
          <w:p w:rsidR="00000000" w:rsidDel="00000000" w:rsidP="00000000" w:rsidRDefault="00000000" w:rsidRPr="00000000" w14:paraId="0000004D">
            <w:pPr>
              <w:spacing w:after="0" w:before="0" w:lineRule="auto"/>
              <w:rPr/>
            </w:pPr>
            <w:r w:rsidDel="00000000" w:rsidR="00000000" w:rsidRPr="00000000">
              <w:rPr>
                <w:rFonts w:ascii="Fira Mono" w:cs="Fira Mono" w:eastAsia="Fira Mono" w:hAnsi="Fira Mono"/>
                <w:b w:val="1"/>
                <w:bCs w:val="1"/>
                <w:color w:val="145a32"/>
                <w:sz w:val="21"/>
                <w:szCs w:val="21"/>
                <w:rtl w:val="0"/>
              </w:rPr>
              <w:t xml:space="preserve">⭐ MÁXIMA FILOSÓFICA — COLOCAR SIEMPRE AL CLIENTE PRIMERO MEDIANTE LA OPTIMIZACIÓN DE LA RELACIÓN PRECIO/COBERTURA</w:t>
            </w:r>
            <w:r w:rsidDel="00000000" w:rsidR="00000000" w:rsidRPr="00000000">
              <w:rPr>
                <w:rtl w:val="0"/>
              </w:rPr>
            </w:r>
          </w:p>
          <w:p w:rsidR="00000000" w:rsidDel="00000000" w:rsidP="00000000" w:rsidRDefault="00000000" w:rsidRPr="00000000" w14:paraId="0000004E">
            <w:pPr>
              <w:spacing w:after="0" w:before="60" w:lineRule="auto"/>
              <w:rPr/>
            </w:pPr>
            <w:r w:rsidDel="00000000" w:rsidR="00000000" w:rsidRPr="00000000">
              <w:rPr>
                <w:rFonts w:ascii="Arial" w:cs="Arial" w:eastAsia="Arial" w:hAnsi="Arial"/>
                <w:sz w:val="20"/>
                <w:szCs w:val="20"/>
                <w:rtl w:val="0"/>
              </w:rPr>
              <w:t xml:space="preserve">La regla de oro para estructurar cualquier propuesta es la relación PRECIO/COBERTURA en beneficio del cliente: ofrecer el seguro que entregue la mejor y más robusta cobertura disponible en el mercado —cumpliendo siempre el mínimo de coberturas necesarias y obligatorias para el nicho específico— garantizando el precio más competitivo y económico para el cliente. La recomendación se ordena por lo que protege mejor y cuesta menos al cliente; nunca por lo que rinde más a la corredora.</w:t>
            </w:r>
            <w:r w:rsidDel="00000000" w:rsidR="00000000" w:rsidRPr="00000000">
              <w:rPr>
                <w:rtl w:val="0"/>
              </w:rPr>
            </w:r>
          </w:p>
        </w:tc>
      </w:tr>
    </w:tbl>
    <w:p w:rsidR="00000000" w:rsidDel="00000000" w:rsidP="00000000" w:rsidRDefault="00000000" w:rsidRPr="00000000" w14:paraId="0000004F">
      <w:pPr>
        <w:spacing w:after="40" w:lineRule="auto"/>
        <w:rPr/>
      </w:pPr>
      <w:r w:rsidDel="00000000" w:rsidR="00000000" w:rsidRPr="00000000">
        <w:rPr>
          <w:rtl w:val="0"/>
        </w:rPr>
      </w:r>
    </w:p>
    <w:tbl>
      <w:tblPr>
        <w:tblStyle w:val="Table7"/>
        <w:tblW w:w="8640.0" w:type="dxa"/>
        <w:jc w:val="left"/>
        <w:tblInd w:w="-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ef9e7" w:val="clear"/>
            <w:tcMar>
              <w:top w:w="120.0" w:type="dxa"/>
              <w:left w:w="160.0" w:type="dxa"/>
              <w:bottom w:w="120.0" w:type="dxa"/>
              <w:right w:w="160.0" w:type="dxa"/>
            </w:tcMa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b w:val="1"/>
                <w:bCs w:val="1"/>
                <w:color w:val="c0392b"/>
                <w:sz w:val="21"/>
                <w:szCs w:val="21"/>
                <w:rtl w:val="0"/>
              </w:rPr>
              <w:t xml:space="preserve">⛔ ERRADICACIÓN DE LA MÉTRICA ANTIGUA (REGLA INMUTABLE)</w:t>
            </w:r>
            <w:r w:rsidDel="00000000" w:rsidR="00000000" w:rsidRPr="00000000">
              <w:rPr>
                <w:rtl w:val="0"/>
              </w:rPr>
            </w:r>
          </w:p>
          <w:p w:rsidR="00000000" w:rsidDel="00000000" w:rsidP="00000000" w:rsidRDefault="00000000" w:rsidRPr="00000000" w14:paraId="00000051">
            <w:pPr>
              <w:spacing w:after="0" w:before="60" w:lineRule="auto"/>
              <w:rPr/>
            </w:pPr>
            <w:r w:rsidDel="00000000" w:rsidR="00000000" w:rsidRPr="00000000">
              <w:rPr>
                <w:rFonts w:ascii="Arial" w:cs="Arial" w:eastAsia="Arial" w:hAnsi="Arial"/>
                <w:sz w:val="20"/>
                <w:szCs w:val="20"/>
                <w:rtl w:val="0"/>
              </w:rPr>
              <w:t xml:space="preserve">Queda derogada de raíz toda lógica de priorización de productos basada en la relación «cobertura × comisión» o cualquier criterio que pondere la comisión de Aegis al ordenar alternativas para el cliente. Se prohíbe priorizar la comisión de la empresa por sobre el costo al cliente. Todo sistema, ranking o asesoría —presente o futura, humana o automatizada— ordena las opciones exclusivamente por la relación Precio/Cobertura. La comisión es la consecuencia de un buen servicio, jamás el criterio de la recomendación.</w:t>
            </w:r>
            <w:r w:rsidDel="00000000" w:rsidR="00000000" w:rsidRPr="00000000">
              <w:rPr>
                <w:rtl w:val="0"/>
              </w:rPr>
            </w:r>
          </w:p>
        </w:tc>
      </w:tr>
    </w:tbl>
    <w:p w:rsidR="00000000" w:rsidDel="00000000" w:rsidP="00000000" w:rsidRDefault="00000000" w:rsidRPr="00000000" w14:paraId="00000052">
      <w:pPr>
        <w:spacing w:after="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2. Organigrama de Responsabilidades (Accountability Chart)</w:t>
      </w:r>
    </w:p>
    <w:p w:rsidR="00000000" w:rsidDel="00000000" w:rsidP="00000000" w:rsidRDefault="00000000" w:rsidRPr="00000000" w14:paraId="00000055">
      <w:pPr>
        <w:rPr/>
      </w:pPr>
      <w:r w:rsidDel="00000000" w:rsidR="00000000" w:rsidRPr="00000000">
        <w:rPr>
          <w:b w:val="0"/>
          <w:bCs w:val="0"/>
          <w:i w:val="0"/>
          <w:iCs w:val="0"/>
          <w:rtl w:val="0"/>
        </w:rPr>
        <w:t xml:space="preserve">Aegis define cuatro roles esenciales. No describen personas, sino responsabilidades: una misma persona puede sostener más de un rol en las fases iniciales, pero cada función «core» debe tener siempre un único responsable («accountable») inequívoco. Esta es la estructura mínima e inmutable; la dotación crece sobre ella, nunca al margen de ella.</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2.1 Los 4 Roles Esenciales</w:t>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b3a6b" w:val="clear"/>
            <w:tcMar>
              <w:top w:w="60.0" w:type="dxa"/>
              <w:left w:w="110.0" w:type="dxa"/>
              <w:bottom w:w="60.0" w:type="dxa"/>
              <w:right w:w="110.0" w:type="dxa"/>
            </w:tcMa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b w:val="1"/>
                <w:bCs w:val="1"/>
                <w:color w:val="ffffff"/>
                <w:sz w:val="18"/>
                <w:szCs w:val="18"/>
                <w:rtl w:val="0"/>
              </w:rPr>
              <w:t xml:space="preserve">Misión del rol</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1"/>
                <w:bCs w:val="1"/>
                <w:color w:val="ffffff"/>
                <w:sz w:val="18"/>
                <w:szCs w:val="18"/>
                <w:rtl w:val="0"/>
              </w:rPr>
              <w:t xml:space="preserve">Funciones core</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b w:val="1"/>
                <w:bCs w:val="1"/>
                <w:sz w:val="18"/>
                <w:szCs w:val="18"/>
                <w:rtl w:val="0"/>
              </w:rPr>
              <w:t xml:space="preserve">Dirección General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sz w:val="18"/>
                <w:szCs w:val="18"/>
                <w:rtl w:val="0"/>
              </w:rPr>
              <w:t xml:space="preserve">Custodiar el ADN y el rumbo. Decisión final.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sz w:val="18"/>
                <w:szCs w:val="18"/>
                <w:rtl w:val="0"/>
              </w:rPr>
              <w:t xml:space="preserve">Definir y proteger misión, visión y valores; aprobar presupuestos y retiros; firmar alianzas estratégicas; arbitrar conflictos entre áreas; garantizar que toda iniciativa respete la máxima Precio/Cobertura.</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1"/>
                <w:bCs w:val="1"/>
                <w:sz w:val="18"/>
                <w:szCs w:val="18"/>
                <w:rtl w:val="0"/>
              </w:rPr>
              <w:t xml:space="preserve">Operaciones</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sz w:val="18"/>
                <w:szCs w:val="18"/>
                <w:rtl w:val="0"/>
              </w:rPr>
              <w:t xml:space="preserve">Convertir la estrategia en ejecución sin fricción.</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sz w:val="18"/>
                <w:szCs w:val="18"/>
                <w:rtl w:val="0"/>
              </w:rPr>
              <w:t xml:space="preserve">Compliance y calendario regulatorio (CMF/SII); contabilidad y cascada de distribución; administración del sistema de gestión y sus automatizaciones; emisión, cobranza, seguimiento de siniestros y renovaciones.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b w:val="1"/>
                <w:bCs w:val="1"/>
                <w:sz w:val="18"/>
                <w:szCs w:val="18"/>
                <w:rtl w:val="0"/>
              </w:rPr>
              <w:t xml:space="preserve">Comercialización / Ventas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sz w:val="18"/>
                <w:szCs w:val="18"/>
                <w:rtl w:val="0"/>
              </w:rPr>
              <w:t xml:space="preserve">Generar e implementar líneas de negocio rentables y capturar flujo de caja.</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sz w:val="18"/>
                <w:szCs w:val="18"/>
                <w:rtl w:val="0"/>
              </w:rPr>
              <w:t xml:space="preserve">Prospección y cierre; relación con comités de copropiedad y partners; articulación de la Palanca Comercial; gestión de la cartera y del cross-selling; cumplimiento de las metas de tracción del Commercial Playbook.</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1"/>
                <w:bCs w:val="1"/>
                <w:sz w:val="18"/>
                <w:szCs w:val="18"/>
                <w:rtl w:val="0"/>
              </w:rPr>
              <w:t xml:space="preserve">Tecnología (CTO)</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sz w:val="18"/>
                <w:szCs w:val="18"/>
                <w:rtl w:val="0"/>
              </w:rPr>
              <w:t xml:space="preserve">Ser el dueño de los activos técnicos nucleares y su evolución ordenada.</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sz w:val="18"/>
                <w:szCs w:val="18"/>
                <w:rtl w:val="0"/>
              </w:rPr>
              <w:t xml:space="preserve">Propiedad del SGA y del Programa Propio; integridad y soberanía de los datos; integraciones (APIs de compañías, scraper ANS); seguridad, backups y autenticación por roles; garantizar que toda extensión del software respete los límites semánticos de la arquitectura.</w:t>
            </w:r>
            <w:r w:rsidDel="00000000" w:rsidR="00000000" w:rsidRPr="00000000">
              <w:rPr>
                <w:rtl w:val="0"/>
              </w:rPr>
            </w:r>
          </w:p>
        </w:tc>
      </w:tr>
    </w:tbl>
    <w:p w:rsidR="00000000" w:rsidDel="00000000" w:rsidP="00000000" w:rsidRDefault="00000000" w:rsidRPr="00000000" w14:paraId="00000066">
      <w:pPr>
        <w:spacing w:after="40" w:lineRule="auto"/>
        <w:rPr/>
      </w:pPr>
      <w:r w:rsidDel="00000000" w:rsidR="00000000" w:rsidRPr="00000000">
        <w:rPr>
          <w:rtl w:val="0"/>
        </w:rPr>
      </w:r>
    </w:p>
    <w:tbl>
      <w:tblPr>
        <w:tblStyle w:val="Table9"/>
        <w:tblW w:w="8640.0" w:type="dxa"/>
        <w:jc w:val="left"/>
        <w:tblInd w:w="-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d5e8f5" w:val="clear"/>
            <w:tcMar>
              <w:top w:w="120.0" w:type="dxa"/>
              <w:left w:w="160.0" w:type="dxa"/>
              <w:bottom w:w="120.0" w:type="dxa"/>
              <w:right w:w="160.0" w:type="dxa"/>
            </w:tcMar>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b w:val="1"/>
                <w:bCs w:val="1"/>
                <w:color w:val="1b3a6b"/>
                <w:sz w:val="21"/>
                <w:szCs w:val="21"/>
                <w:rtl w:val="0"/>
              </w:rPr>
              <w:t xml:space="preserve">🧭 REGLA DE ACCOUNTABILITY ÚNICA</w:t>
            </w:r>
            <w:r w:rsidDel="00000000" w:rsidR="00000000" w:rsidRPr="00000000">
              <w:rPr>
                <w:rtl w:val="0"/>
              </w:rPr>
            </w:r>
          </w:p>
          <w:p w:rsidR="00000000" w:rsidDel="00000000" w:rsidP="00000000" w:rsidRDefault="00000000" w:rsidRPr="00000000" w14:paraId="00000068">
            <w:pPr>
              <w:spacing w:after="0" w:before="60" w:lineRule="auto"/>
              <w:rPr/>
            </w:pPr>
            <w:r w:rsidDel="00000000" w:rsidR="00000000" w:rsidRPr="00000000">
              <w:rPr>
                <w:rFonts w:ascii="Arial" w:cs="Arial" w:eastAsia="Arial" w:hAnsi="Arial"/>
                <w:sz w:val="20"/>
                <w:szCs w:val="20"/>
                <w:rtl w:val="0"/>
              </w:rPr>
              <w:t xml:space="preserve">Cada función core tiene un único responsable. Si dos personas creen ser responsables de lo mismo, nadie lo es. La Dirección General resuelve toda ambigüedad de responsabilidad antes de que se convierta en un problema operativo.</w:t>
            </w:r>
            <w:r w:rsidDel="00000000" w:rsidR="00000000" w:rsidRPr="00000000">
              <w:rPr>
                <w:rtl w:val="0"/>
              </w:rPr>
            </w:r>
          </w:p>
        </w:tc>
      </w:tr>
    </w:tbl>
    <w:p w:rsidR="00000000" w:rsidDel="00000000" w:rsidP="00000000" w:rsidRDefault="00000000" w:rsidRPr="00000000" w14:paraId="00000069">
      <w:pPr>
        <w:spacing w:after="40" w:lineRule="auto"/>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2.2 Separación de Funciones Crítica</w:t>
      </w:r>
    </w:p>
    <w:p w:rsidR="00000000" w:rsidDel="00000000" w:rsidP="00000000" w:rsidRDefault="00000000" w:rsidRPr="00000000" w14:paraId="0000006B">
      <w:pPr>
        <w:rPr/>
      </w:pPr>
      <w:r w:rsidDel="00000000" w:rsidR="00000000" w:rsidRPr="00000000">
        <w:rPr>
          <w:b w:val="0"/>
          <w:bCs w:val="0"/>
          <w:i w:val="0"/>
          <w:iCs w:val="0"/>
          <w:rtl w:val="0"/>
        </w:rPr>
        <w:t xml:space="preserve">Por exigencia de control interno y de compliance, dos funciones no pueden recaer operativamente en la misma persona sin un control compensatorio explícito:</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Autorización vs. liquidación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quien autoriza el pago de incentivos a partners (Comercialización) y quien libera efectivamente esos fees y concilia la contabilidad (Operaciones);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Venta vs. control documental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quien negocia con un administrador de edificio (Comercialización) y quien documenta la aprobación formal del comité (Operaciones/Compliance), para blindar a la empresa frente al riesgo de cohecho entre particulares.</w:t>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3. Compliance y Activos Técnicos Nucleares</w:t>
      </w:r>
    </w:p>
    <w:p w:rsidR="00000000" w:rsidDel="00000000" w:rsidP="00000000" w:rsidRDefault="00000000" w:rsidRPr="00000000" w14:paraId="00000070">
      <w:pPr>
        <w:rPr/>
      </w:pPr>
      <w:r w:rsidDel="00000000" w:rsidR="00000000" w:rsidRPr="00000000">
        <w:rPr>
          <w:b w:val="0"/>
          <w:bCs w:val="0"/>
          <w:i w:val="0"/>
          <w:iCs w:val="0"/>
          <w:rtl w:val="0"/>
        </w:rPr>
        <w:t xml:space="preserve">Esta sección reúne el mapa de gobierno legal y el inventario de la infraestructura tecnológica que constituyen el cimiento inamovible de la empresa. Es la frontera dentro de la cual ocurre todo lo demás.</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3.1 Mapa de Gobierno Legal</w:t>
      </w:r>
    </w:p>
    <w:p w:rsidR="00000000" w:rsidDel="00000000" w:rsidP="00000000" w:rsidRDefault="00000000" w:rsidRPr="00000000" w14:paraId="00000072">
      <w:pPr>
        <w:rPr/>
      </w:pPr>
      <w:r w:rsidDel="00000000" w:rsidR="00000000" w:rsidRPr="00000000">
        <w:rPr>
          <w:b w:val="0"/>
          <w:bCs w:val="0"/>
          <w:i w:val="0"/>
          <w:iCs w:val="0"/>
          <w:rtl w:val="0"/>
        </w:rPr>
        <w:t xml:space="preserve">Seguros Aegis es una corredora inscrita en el Registro de Corredores de la Comisión para el Mercado Financiero (CMF). Opera en seguros generales y de vida (un corredor puede intermediar ambos grupos, a diferencia de las compañías). El marco normativo aplicable es de cumplimiento obligatorio y permanente.</w:t>
      </w:r>
      <w:r w:rsidDel="00000000" w:rsidR="00000000" w:rsidRPr="00000000">
        <w:rPr>
          <w:rtl w:val="0"/>
        </w:rPr>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b3a6b" w:val="clear"/>
            <w:tcMar>
              <w:top w:w="60.0" w:type="dxa"/>
              <w:left w:w="110.0" w:type="dxa"/>
              <w:bottom w:w="60.0" w:type="dxa"/>
              <w:right w:w="110.0" w:type="dxa"/>
            </w:tcMar>
          </w:tcPr>
          <w:p w:rsidR="00000000" w:rsidDel="00000000" w:rsidP="00000000" w:rsidRDefault="00000000" w:rsidRPr="00000000" w14:paraId="00000073">
            <w:pPr>
              <w:spacing w:after="0" w:before="0" w:lineRule="auto"/>
              <w:rPr/>
            </w:pPr>
            <w:r w:rsidDel="00000000" w:rsidR="00000000" w:rsidRPr="00000000">
              <w:rPr>
                <w:rFonts w:ascii="Arial" w:cs="Arial" w:eastAsia="Arial" w:hAnsi="Arial"/>
                <w:b w:val="1"/>
                <w:bCs w:val="1"/>
                <w:color w:val="ffffff"/>
                <w:sz w:val="18"/>
                <w:szCs w:val="18"/>
                <w:rtl w:val="0"/>
              </w:rPr>
              <w:t xml:space="preserve">Norma</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b w:val="1"/>
                <w:bCs w:val="1"/>
                <w:color w:val="ffffff"/>
                <w:sz w:val="18"/>
                <w:szCs w:val="18"/>
                <w:rtl w:val="0"/>
              </w:rPr>
              <w:t xml:space="preserve">Qué regula para Aegis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b w:val="1"/>
                <w:bCs w:val="1"/>
                <w:sz w:val="18"/>
                <w:szCs w:val="18"/>
                <w:rtl w:val="0"/>
              </w:rPr>
              <w:t xml:space="preserve">DFL N°251 (1931, act.)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sz w:val="18"/>
                <w:szCs w:val="18"/>
                <w:rtl w:val="0"/>
              </w:rPr>
              <w:t xml:space="preserve">Ley base del mercado asegurador: corredores, compañías y obligaciones del intermediario (Art. 57-58).</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b w:val="1"/>
                <w:bCs w:val="1"/>
                <w:sz w:val="18"/>
                <w:szCs w:val="18"/>
                <w:rtl w:val="0"/>
              </w:rPr>
              <w:t xml:space="preserve">Ley N°20.667 (2013)</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sz w:val="18"/>
                <w:szCs w:val="18"/>
                <w:rtl w:val="0"/>
              </w:rPr>
              <w:t xml:space="preserve">Reforma integral del contrato de seguro (Código de Comercio, Art. 512-601).</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79">
            <w:pPr>
              <w:spacing w:after="0" w:before="0" w:lineRule="auto"/>
              <w:rPr/>
            </w:pPr>
            <w:r w:rsidDel="00000000" w:rsidR="00000000" w:rsidRPr="00000000">
              <w:rPr>
                <w:rFonts w:ascii="Arial" w:cs="Arial" w:eastAsia="Arial" w:hAnsi="Arial"/>
                <w:b w:val="1"/>
                <w:bCs w:val="1"/>
                <w:sz w:val="18"/>
                <w:szCs w:val="18"/>
                <w:rtl w:val="0"/>
              </w:rPr>
              <w:t xml:space="preserve">NCG N°50 (CMF)</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sz w:val="18"/>
                <w:szCs w:val="18"/>
                <w:rtl w:val="0"/>
              </w:rPr>
              <w:t xml:space="preserve">Información anual obligatoria a TODOS los clientes: compañías intermediadas y distribución del negocio. La obligación más incumplida del rubro.</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b w:val="1"/>
                <w:bCs w:val="1"/>
                <w:sz w:val="18"/>
                <w:szCs w:val="18"/>
                <w:rtl w:val="0"/>
              </w:rPr>
              <w:t xml:space="preserve">NCG N°349 (CMF)</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7C">
            <w:pPr>
              <w:spacing w:after="0" w:before="0" w:lineRule="auto"/>
              <w:rPr/>
            </w:pPr>
            <w:r w:rsidDel="00000000" w:rsidR="00000000" w:rsidRPr="00000000">
              <w:rPr>
                <w:rFonts w:ascii="Arial" w:cs="Arial" w:eastAsia="Arial" w:hAnsi="Arial"/>
                <w:sz w:val="18"/>
                <w:szCs w:val="18"/>
                <w:rtl w:val="0"/>
              </w:rPr>
              <w:t xml:space="preserve">Depósito de pólizas: deben incluir prima neta, impuestos y comisión del corredor.</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b w:val="1"/>
                <w:bCs w:val="1"/>
                <w:sz w:val="18"/>
                <w:szCs w:val="18"/>
                <w:rtl w:val="0"/>
              </w:rPr>
              <w:t xml:space="preserve">Circular N°2.131 (CMF)</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sz w:val="18"/>
                <w:szCs w:val="18"/>
                <w:rtl w:val="0"/>
              </w:rPr>
              <w:t xml:space="preserve">Atención de clientes y reclamos: respuesta en máximo 20 días hábiles.</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7F">
            <w:pPr>
              <w:spacing w:after="0" w:before="0" w:lineRule="auto"/>
              <w:rPr/>
            </w:pPr>
            <w:r w:rsidDel="00000000" w:rsidR="00000000" w:rsidRPr="00000000">
              <w:rPr>
                <w:rFonts w:ascii="Arial" w:cs="Arial" w:eastAsia="Arial" w:hAnsi="Arial"/>
                <w:b w:val="1"/>
                <w:bCs w:val="1"/>
                <w:sz w:val="18"/>
                <w:szCs w:val="18"/>
                <w:rtl w:val="0"/>
              </w:rPr>
              <w:t xml:space="preserve">Ley N°21.442 (2022)</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80">
            <w:pPr>
              <w:spacing w:after="0" w:before="0" w:lineRule="auto"/>
              <w:rPr/>
            </w:pPr>
            <w:r w:rsidDel="00000000" w:rsidR="00000000" w:rsidRPr="00000000">
              <w:rPr>
                <w:rFonts w:ascii="Arial" w:cs="Arial" w:eastAsia="Arial" w:hAnsi="Arial"/>
                <w:sz w:val="18"/>
                <w:szCs w:val="18"/>
                <w:rtl w:val="0"/>
              </w:rPr>
              <w:t xml:space="preserve">Copropiedad Inmobiliaria: seguro de incendio obligatorio para bienes comunes y unidades (base del Motor de Comunidades).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81">
            <w:pPr>
              <w:spacing w:after="0" w:before="0" w:lineRule="auto"/>
              <w:rPr/>
            </w:pPr>
            <w:r w:rsidDel="00000000" w:rsidR="00000000" w:rsidRPr="00000000">
              <w:rPr>
                <w:rFonts w:ascii="Arial" w:cs="Arial" w:eastAsia="Arial" w:hAnsi="Arial"/>
                <w:b w:val="1"/>
                <w:bCs w:val="1"/>
                <w:sz w:val="18"/>
                <w:szCs w:val="18"/>
                <w:rtl w:val="0"/>
              </w:rPr>
              <w:t xml:space="preserve">Ley N°21.121 (2018)</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sz w:val="18"/>
                <w:szCs w:val="18"/>
                <w:rtl w:val="0"/>
              </w:rPr>
              <w:t xml:space="preserve">Cohecho entre particulares: aplica a pagos ocultos a administradores de edificios.</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b w:val="1"/>
                <w:bCs w:val="1"/>
                <w:sz w:val="18"/>
                <w:szCs w:val="18"/>
                <w:rtl w:val="0"/>
              </w:rPr>
              <w:t xml:space="preserve">Ley N°21.398</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sz w:val="18"/>
                <w:szCs w:val="18"/>
                <w:rtl w:val="0"/>
              </w:rPr>
              <w:t xml:space="preserve">Derecho de retracto: 10 días desde la recepción efectiva de la póliza.</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b w:val="1"/>
                <w:bCs w:val="1"/>
                <w:sz w:val="18"/>
                <w:szCs w:val="18"/>
                <w:rtl w:val="0"/>
              </w:rPr>
              <w:t xml:space="preserve">Ley N°19.628</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86">
            <w:pPr>
              <w:spacing w:after="0" w:before="0" w:lineRule="auto"/>
              <w:rPr/>
            </w:pPr>
            <w:r w:rsidDel="00000000" w:rsidR="00000000" w:rsidRPr="00000000">
              <w:rPr>
                <w:rFonts w:ascii="Arial" w:cs="Arial" w:eastAsia="Arial" w:hAnsi="Arial"/>
                <w:sz w:val="18"/>
                <w:szCs w:val="18"/>
                <w:rtl w:val="0"/>
              </w:rPr>
              <w:t xml:space="preserve">Protección de datos personales (ver §3.2).</w:t>
            </w:r>
            <w:r w:rsidDel="00000000" w:rsidR="00000000" w:rsidRPr="00000000">
              <w:rPr>
                <w:rtl w:val="0"/>
              </w:rPr>
            </w:r>
          </w:p>
        </w:tc>
      </w:tr>
    </w:tbl>
    <w:p w:rsidR="00000000" w:rsidDel="00000000" w:rsidP="00000000" w:rsidRDefault="00000000" w:rsidRPr="00000000" w14:paraId="00000087">
      <w:pPr>
        <w:spacing w:after="40" w:lineRule="auto"/>
        <w:rPr/>
      </w:pPr>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rtl w:val="0"/>
        </w:rPr>
        <w:t xml:space="preserve">3.1.1 Las 4 Figuras Legales para Retribución a Partners</w:t>
      </w:r>
    </w:p>
    <w:p w:rsidR="00000000" w:rsidDel="00000000" w:rsidP="00000000" w:rsidRDefault="00000000" w:rsidRPr="00000000" w14:paraId="00000089">
      <w:pPr>
        <w:rPr/>
      </w:pPr>
      <w:r w:rsidDel="00000000" w:rsidR="00000000" w:rsidRPr="00000000">
        <w:rPr>
          <w:b w:val="0"/>
          <w:bCs w:val="0"/>
          <w:i w:val="0"/>
          <w:iCs w:val="0"/>
          <w:rtl w:val="0"/>
        </w:rPr>
        <w:t xml:space="preserve">La normativa prohíbe repartir comisiones con quien no sea corredor inscrito. Toda retribución a un partner debe estructurarse como pago por un servicio distinto a la intermediación. Solo estas cuatro figuras son válidas y deben usarse desde el día uno de cualquier alianza:</w:t>
      </w:r>
      <w:r w:rsidDel="00000000" w:rsidR="00000000" w:rsidRPr="00000000">
        <w:rPr>
          <w:rtl w:val="0"/>
        </w:rPr>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b3a6b" w:val="clear"/>
            <w:tcMar>
              <w:top w:w="60.0" w:type="dxa"/>
              <w:left w:w="110.0" w:type="dxa"/>
              <w:bottom w:w="60.0" w:type="dxa"/>
              <w:right w:w="110.0" w:type="dxa"/>
            </w:tcMar>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b w:val="1"/>
                <w:bCs w:val="1"/>
                <w:color w:val="ffffff"/>
                <w:sz w:val="17"/>
                <w:szCs w:val="17"/>
                <w:rtl w:val="0"/>
              </w:rPr>
              <w:t xml:space="preserve">Figura</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b w:val="1"/>
                <w:bCs w:val="1"/>
                <w:color w:val="ffffff"/>
                <w:sz w:val="17"/>
                <w:szCs w:val="17"/>
                <w:rtl w:val="0"/>
              </w:rPr>
              <w:t xml:space="preserve">Aplica a</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1"/>
                <w:bCs w:val="1"/>
                <w:color w:val="ffffff"/>
                <w:sz w:val="17"/>
                <w:szCs w:val="17"/>
                <w:rtl w:val="0"/>
              </w:rPr>
              <w:t xml:space="preserve">Concepto del pago</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1"/>
                <w:bCs w:val="1"/>
                <w:color w:val="ffffff"/>
                <w:sz w:val="17"/>
                <w:szCs w:val="17"/>
                <w:rtl w:val="0"/>
              </w:rPr>
              <w:t xml:space="preserve">Documento</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b w:val="1"/>
                <w:bCs w:val="1"/>
                <w:sz w:val="17"/>
                <w:szCs w:val="17"/>
                <w:rtl w:val="0"/>
              </w:rPr>
              <w:t xml:space="preserve">Colaborador NCG 50</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sz w:val="17"/>
                <w:szCs w:val="17"/>
                <w:rtl w:val="0"/>
              </w:rPr>
              <w:t xml:space="preserve">Personas naturales en intermediación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sz w:val="17"/>
                <w:szCs w:val="17"/>
                <w:rtl w:val="0"/>
              </w:rPr>
              <w:t xml:space="preserve">Honorarios por colaboración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sz w:val="17"/>
                <w:szCs w:val="17"/>
                <w:rtl w:val="0"/>
              </w:rPr>
              <w:t xml:space="preserve">Boleta de honorarios (retención vigente)</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1"/>
                <w:bCs w:val="1"/>
                <w:sz w:val="17"/>
                <w:szCs w:val="17"/>
                <w:rtl w:val="0"/>
              </w:rPr>
              <w:t xml:space="preserve">Marketing Fee / Leads</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sz w:val="17"/>
                <w:szCs w:val="17"/>
                <w:rtl w:val="0"/>
              </w:rPr>
              <w:t xml:space="preserve">Instituciones (club, colegio)</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sz w:val="17"/>
                <w:szCs w:val="17"/>
                <w:rtl w:val="0"/>
              </w:rPr>
              <w:t xml:space="preserve">Fee por efectividad publicitaria, NO por póliza vendida</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sz w:val="17"/>
                <w:szCs w:val="17"/>
                <w:rtl w:val="0"/>
              </w:rPr>
              <w:t xml:space="preserve">Factura «servicios de marketing»</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b w:val="1"/>
                <w:bCs w:val="1"/>
                <w:sz w:val="17"/>
                <w:szCs w:val="17"/>
                <w:rtl w:val="0"/>
              </w:rPr>
              <w:t xml:space="preserve">Sponsorship / Patrocinio</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97">
            <w:pPr>
              <w:spacing w:after="0" w:before="0" w:lineRule="auto"/>
              <w:rPr/>
            </w:pPr>
            <w:r w:rsidDel="00000000" w:rsidR="00000000" w:rsidRPr="00000000">
              <w:rPr>
                <w:rFonts w:ascii="Arial" w:cs="Arial" w:eastAsia="Arial" w:hAnsi="Arial"/>
                <w:sz w:val="17"/>
                <w:szCs w:val="17"/>
                <w:rtl w:val="0"/>
              </w:rPr>
              <w:t xml:space="preserve">OSFL, clubes, instituciones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98">
            <w:pPr>
              <w:spacing w:after="0" w:before="0" w:lineRule="auto"/>
              <w:rPr/>
            </w:pPr>
            <w:r w:rsidDel="00000000" w:rsidR="00000000" w:rsidRPr="00000000">
              <w:rPr>
                <w:rFonts w:ascii="Arial" w:cs="Arial" w:eastAsia="Arial" w:hAnsi="Arial"/>
                <w:sz w:val="17"/>
                <w:szCs w:val="17"/>
                <w:rtl w:val="0"/>
              </w:rPr>
              <w:t xml:space="preserve">Aporte fijo como patrocinador oficial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99">
            <w:pPr>
              <w:spacing w:after="0" w:before="0" w:lineRule="auto"/>
              <w:rPr/>
            </w:pPr>
            <w:r w:rsidDel="00000000" w:rsidR="00000000" w:rsidRPr="00000000">
              <w:rPr>
                <w:rFonts w:ascii="Arial" w:cs="Arial" w:eastAsia="Arial" w:hAnsi="Arial"/>
                <w:sz w:val="17"/>
                <w:szCs w:val="17"/>
                <w:rtl w:val="0"/>
              </w:rPr>
              <w:t xml:space="preserve">Contrato de sponsorship + factura/boleta</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9A">
            <w:pPr>
              <w:spacing w:after="0" w:before="0" w:lineRule="auto"/>
              <w:rPr/>
            </w:pPr>
            <w:r w:rsidDel="00000000" w:rsidR="00000000" w:rsidRPr="00000000">
              <w:rPr>
                <w:rFonts w:ascii="Arial" w:cs="Arial" w:eastAsia="Arial" w:hAnsi="Arial"/>
                <w:b w:val="1"/>
                <w:bCs w:val="1"/>
                <w:sz w:val="17"/>
                <w:szCs w:val="17"/>
                <w:rtl w:val="0"/>
              </w:rPr>
              <w:t xml:space="preserve">Servicios de Relevamiento Técnico</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sz w:val="17"/>
                <w:szCs w:val="17"/>
                <w:rtl w:val="0"/>
              </w:rPr>
              <w:t xml:space="preserve">Administradores de edificios</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9C">
            <w:pPr>
              <w:spacing w:after="0" w:before="0" w:lineRule="auto"/>
              <w:rPr/>
            </w:pPr>
            <w:r w:rsidDel="00000000" w:rsidR="00000000" w:rsidRPr="00000000">
              <w:rPr>
                <w:rFonts w:ascii="Arial" w:cs="Arial" w:eastAsia="Arial" w:hAnsi="Arial"/>
                <w:sz w:val="17"/>
                <w:szCs w:val="17"/>
                <w:rtl w:val="0"/>
              </w:rPr>
              <w:t xml:space="preserve">Antecedentes técnicos y coordinación de inspecciones</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sz w:val="17"/>
                <w:szCs w:val="17"/>
                <w:rtl w:val="0"/>
              </w:rPr>
              <w:t xml:space="preserve">Contrato + factura + aprobación del comité</w:t>
            </w:r>
            <w:r w:rsidDel="00000000" w:rsidR="00000000" w:rsidRPr="00000000">
              <w:rPr>
                <w:rtl w:val="0"/>
              </w:rPr>
            </w:r>
          </w:p>
        </w:tc>
      </w:tr>
    </w:tbl>
    <w:p w:rsidR="00000000" w:rsidDel="00000000" w:rsidP="00000000" w:rsidRDefault="00000000" w:rsidRPr="00000000" w14:paraId="0000009E">
      <w:pPr>
        <w:spacing w:after="40" w:lineRule="auto"/>
        <w:rPr/>
      </w:pPr>
      <w:r w:rsidDel="00000000" w:rsidR="00000000" w:rsidRPr="00000000">
        <w:rPr>
          <w:rtl w:val="0"/>
        </w:rPr>
      </w:r>
    </w:p>
    <w:tbl>
      <w:tblPr>
        <w:tblStyle w:val="Table12"/>
        <w:tblW w:w="8640.0" w:type="dxa"/>
        <w:jc w:val="left"/>
        <w:tblInd w:w="-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ef9e7" w:val="clear"/>
            <w:tcMar>
              <w:top w:w="120.0" w:type="dxa"/>
              <w:left w:w="160.0" w:type="dxa"/>
              <w:bottom w:w="120.0" w:type="dxa"/>
              <w:right w:w="160.0" w:type="dxa"/>
            </w:tcMar>
          </w:tcPr>
          <w:p w:rsidR="00000000" w:rsidDel="00000000" w:rsidP="00000000" w:rsidRDefault="00000000" w:rsidRPr="00000000" w14:paraId="0000009F">
            <w:pPr>
              <w:spacing w:after="0" w:before="0" w:lineRule="auto"/>
              <w:rPr/>
            </w:pPr>
            <w:r w:rsidDel="00000000" w:rsidR="00000000" w:rsidRPr="00000000">
              <w:rPr>
                <w:rFonts w:ascii="Arial" w:cs="Arial" w:eastAsia="Arial" w:hAnsi="Arial"/>
                <w:b w:val="1"/>
                <w:bCs w:val="1"/>
                <w:color w:val="c0392b"/>
                <w:sz w:val="21"/>
                <w:szCs w:val="21"/>
                <w:rtl w:val="0"/>
              </w:rPr>
              <w:t xml:space="preserve">⚠ BLINDAJE ANTI-COHECHO (CRÍTICO E INMUTABLE)</w:t>
            </w:r>
            <w:r w:rsidDel="00000000" w:rsidR="00000000" w:rsidRPr="00000000">
              <w:rPr>
                <w:rtl w:val="0"/>
              </w:rPr>
            </w:r>
          </w:p>
          <w:p w:rsidR="00000000" w:rsidDel="00000000" w:rsidP="00000000" w:rsidRDefault="00000000" w:rsidRPr="00000000" w14:paraId="000000A0">
            <w:pPr>
              <w:spacing w:after="0" w:before="60" w:lineRule="auto"/>
              <w:rPr/>
            </w:pPr>
            <w:r w:rsidDel="00000000" w:rsidR="00000000" w:rsidRPr="00000000">
              <w:rPr>
                <w:rFonts w:ascii="Arial" w:cs="Arial" w:eastAsia="Arial" w:hAnsi="Arial"/>
                <w:sz w:val="20"/>
                <w:szCs w:val="20"/>
                <w:rtl w:val="0"/>
              </w:rPr>
              <w:t xml:space="preserve">El comité de administración DEBE conocer y aprobar formalmente todo acuerdo con un administrador de edificio. Un pago oculto puede configurar el delito de cohecho entre particulares (Art. 287 bis Código Penal) y exponer a Aegis a suspensión o revocación del código CMF. Transparencia total, siempre.</w:t>
            </w:r>
            <w:r w:rsidDel="00000000" w:rsidR="00000000" w:rsidRPr="00000000">
              <w:rPr>
                <w:rtl w:val="0"/>
              </w:rPr>
            </w:r>
          </w:p>
        </w:tc>
      </w:tr>
    </w:tbl>
    <w:p w:rsidR="00000000" w:rsidDel="00000000" w:rsidP="00000000" w:rsidRDefault="00000000" w:rsidRPr="00000000" w14:paraId="000000A1">
      <w:pPr>
        <w:spacing w:after="40" w:lineRule="auto"/>
        <w:rPr/>
      </w:pPr>
      <w:r w:rsidDel="00000000" w:rsidR="00000000" w:rsidRPr="00000000">
        <w:rPr>
          <w:rtl w:val="0"/>
        </w:rPr>
      </w:r>
    </w:p>
    <w:p w:rsidR="00000000" w:rsidDel="00000000" w:rsidP="00000000" w:rsidRDefault="00000000" w:rsidRPr="00000000" w14:paraId="000000A2">
      <w:pPr>
        <w:pStyle w:val="Heading3"/>
        <w:rPr/>
      </w:pPr>
      <w:r w:rsidDel="00000000" w:rsidR="00000000" w:rsidRPr="00000000">
        <w:rPr>
          <w:rtl w:val="0"/>
        </w:rPr>
        <w:t xml:space="preserve">3.1.2 Obligaciones Permanentes que No Pueden Fallar</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Póliza de Garantía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mantener vigente la Póliza de Garantía CMF (código de referencia POL 120130965). Su vencimiento sin renovación implica suspensión inmediata de la inscripción, sin previo aviso. Renovar con 30 días de anticipación.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NCG N°50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enviar el reporte de diversificación a la totalidad de los clientes cada enero, antes del 31. Conservar el acuse de recibo por al menos 5 años.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F29 y retenciones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declarar y pagar el F29 antes del día 20 de cada mes, y actualizar la tasa de retención de honorarios cada 1 de enero.</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Reclamos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registrar y responder todo reclamo dentro de 20 días hábiles.</w:t>
      </w:r>
    </w:p>
    <w:tbl>
      <w:tblPr>
        <w:tblStyle w:val="Table13"/>
        <w:tblW w:w="8640.0" w:type="dxa"/>
        <w:jc w:val="left"/>
        <w:tblInd w:w="-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d5e8f5" w:val="clear"/>
            <w:tcMar>
              <w:top w:w="120.0" w:type="dxa"/>
              <w:left w:w="160.0" w:type="dxa"/>
              <w:bottom w:w="120.0" w:type="dxa"/>
              <w:right w:w="160.0" w:type="dxa"/>
            </w:tcMar>
          </w:tcPr>
          <w:p w:rsidR="00000000" w:rsidDel="00000000" w:rsidP="00000000" w:rsidRDefault="00000000" w:rsidRPr="00000000" w14:paraId="000000A7">
            <w:pPr>
              <w:spacing w:after="0" w:before="0" w:lineRule="auto"/>
              <w:rPr/>
            </w:pPr>
            <w:r w:rsidDel="00000000" w:rsidR="00000000" w:rsidRPr="00000000">
              <w:rPr>
                <w:rFonts w:ascii="Arial" w:cs="Arial" w:eastAsia="Arial" w:hAnsi="Arial"/>
                <w:b w:val="1"/>
                <w:bCs w:val="1"/>
                <w:color w:val="1b3a6b"/>
                <w:sz w:val="21"/>
                <w:szCs w:val="21"/>
                <w:rtl w:val="0"/>
              </w:rPr>
              <w:t xml:space="preserve">🏛 SANCIONES CMF (de menor a mayor)</w:t>
            </w:r>
            <w:r w:rsidDel="00000000" w:rsidR="00000000" w:rsidRPr="00000000">
              <w:rPr>
                <w:rtl w:val="0"/>
              </w:rPr>
            </w:r>
          </w:p>
          <w:p w:rsidR="00000000" w:rsidDel="00000000" w:rsidP="00000000" w:rsidRDefault="00000000" w:rsidRPr="00000000" w14:paraId="000000A8">
            <w:pPr>
              <w:spacing w:after="0" w:before="60" w:lineRule="auto"/>
              <w:rPr/>
            </w:pPr>
            <w:r w:rsidDel="00000000" w:rsidR="00000000" w:rsidRPr="00000000">
              <w:rPr>
                <w:rFonts w:ascii="Arial Unicode MS" w:cs="Arial Unicode MS" w:eastAsia="Arial Unicode MS" w:hAnsi="Arial Unicode MS"/>
                <w:sz w:val="20"/>
                <w:szCs w:val="20"/>
                <w:rtl w:val="0"/>
              </w:rPr>
              <w:t xml:space="preserve">Censura → Multa → Suspensión (hasta 6 meses) → Revocación definitiva del Registro. El cumplimiento no es opcional ni negociable contra ningún objetivo comercial.</w:t>
            </w:r>
            <w:r w:rsidDel="00000000" w:rsidR="00000000" w:rsidRPr="00000000">
              <w:rPr>
                <w:rtl w:val="0"/>
              </w:rPr>
            </w:r>
          </w:p>
        </w:tc>
      </w:tr>
    </w:tbl>
    <w:p w:rsidR="00000000" w:rsidDel="00000000" w:rsidP="00000000" w:rsidRDefault="00000000" w:rsidRPr="00000000" w14:paraId="000000A9">
      <w:pPr>
        <w:spacing w:after="40" w:lineRule="auto"/>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3.2 Políticas de Privacidad y Tratamiento de Datos</w:t>
      </w:r>
    </w:p>
    <w:p w:rsidR="00000000" w:rsidDel="00000000" w:rsidP="00000000" w:rsidRDefault="00000000" w:rsidRPr="00000000" w14:paraId="000000AB">
      <w:pPr>
        <w:rPr/>
      </w:pPr>
      <w:r w:rsidDel="00000000" w:rsidR="00000000" w:rsidRPr="00000000">
        <w:rPr>
          <w:b w:val="0"/>
          <w:bCs w:val="0"/>
          <w:i w:val="0"/>
          <w:iCs w:val="0"/>
          <w:rtl w:val="0"/>
        </w:rPr>
        <w:t xml:space="preserve">El tratamiento de datos personales se rige por la Ley N°19.628 y por las buenas prácticas que la marca exige. Estas políticas son obligatorias en todo punto de contacto (web, formularios, sistema de gestión):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consentimiento expreso antes de recopilar datos, indicando la finalidad (asesoría de seguros, contacto comercial);</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derecho del titular a acceder, rectificar y eliminar sus datos, con un mecanismo de baja simple y accesible;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no compartir datos con terceros sin consentimiento, con la única excepción de las aseguradoras a las que se cotiza;</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almacenamiento seguro: HTTPS obligatorio en todo el sitio y control de acceso por roles en los sistemas internos.</w:t>
      </w:r>
    </w:p>
    <w:p w:rsidR="00000000" w:rsidDel="00000000" w:rsidP="00000000" w:rsidRDefault="00000000" w:rsidRPr="00000000" w14:paraId="000000B0">
      <w:pPr>
        <w:pStyle w:val="Heading2"/>
        <w:rPr/>
      </w:pPr>
      <w:r w:rsidDel="00000000" w:rsidR="00000000" w:rsidRPr="00000000">
        <w:rPr>
          <w:rtl w:val="0"/>
        </w:rPr>
        <w:t xml:space="preserve">3.3 Propiedad Intelectual y Soberanía de Datos</w:t>
      </w:r>
    </w:p>
    <w:p w:rsidR="00000000" w:rsidDel="00000000" w:rsidP="00000000" w:rsidRDefault="00000000" w:rsidRPr="00000000" w14:paraId="000000B1">
      <w:pPr>
        <w:rPr/>
      </w:pPr>
      <w:r w:rsidDel="00000000" w:rsidR="00000000" w:rsidRPr="00000000">
        <w:rPr>
          <w:b w:val="0"/>
          <w:bCs w:val="0"/>
          <w:i w:val="0"/>
          <w:iCs w:val="0"/>
          <w:rtl w:val="0"/>
        </w:rPr>
        <w:t xml:space="preserve">Constituyen activos protegidos e inalienables de Seguros Aegis: la cartera de clientes y su histórico; el modelo de datos y el código del SGA / Programa Propio; el kit de marca (logo, plantillas, manuales); y toda la documentación corporativa. La estrategia tecnológica de Aegis existe, en parte, para garantizar que estos datos vivan en infraestructura propia y no en servidores de un proveedor.</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3.4 Inventario de Infraestructura Tecnológica Nuclear — El Anclaje Estructural</w:t>
      </w:r>
    </w:p>
    <w:p w:rsidR="00000000" w:rsidDel="00000000" w:rsidP="00000000" w:rsidRDefault="00000000" w:rsidRPr="00000000" w14:paraId="000000B3">
      <w:pPr>
        <w:rPr/>
      </w:pPr>
      <w:r w:rsidDel="00000000" w:rsidR="00000000" w:rsidRPr="00000000">
        <w:rPr>
          <w:b w:val="0"/>
          <w:bCs w:val="0"/>
          <w:i w:val="0"/>
          <w:iCs w:val="0"/>
          <w:rtl w:val="0"/>
        </w:rPr>
        <w:t xml:space="preserve">El Sistema de Gestión Aegis (SGA) es el motor invisible que convierte la estrategia en ejecución. Su arquitectura es el límite semántico de la empresa: define el universo de entidades sobre el cual se modela todo el negocio. El Programa Propio —desarrollado de forma iterativa con Claude Code— es su reemplazo definitivo, construido exactamente sobre esta misma estructura.</w:t>
      </w:r>
      <w:r w:rsidDel="00000000" w:rsidR="00000000" w:rsidRPr="00000000">
        <w:rPr>
          <w:rtl w:val="0"/>
        </w:rPr>
      </w:r>
    </w:p>
    <w:p w:rsidR="00000000" w:rsidDel="00000000" w:rsidP="00000000" w:rsidRDefault="00000000" w:rsidRPr="00000000" w14:paraId="000000B4">
      <w:pPr>
        <w:pStyle w:val="Heading3"/>
        <w:rPr/>
      </w:pPr>
      <w:r w:rsidDel="00000000" w:rsidR="00000000" w:rsidRPr="00000000">
        <w:rPr>
          <w:rtl w:val="0"/>
        </w:rPr>
        <w:t xml:space="preserve">3.4.1 Stack Tecnológico Oficial</w:t>
      </w:r>
    </w:p>
    <w:tbl>
      <w:tblPr>
        <w:tblStyle w:val="Table1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b3a6b" w:val="clear"/>
            <w:tcMar>
              <w:top w:w="60.0" w:type="dxa"/>
              <w:left w:w="110.0" w:type="dxa"/>
              <w:bottom w:w="60.0" w:type="dxa"/>
              <w:right w:w="110.0" w:type="dxa"/>
            </w:tcMa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b w:val="1"/>
                <w:bCs w:val="1"/>
                <w:color w:val="ffffff"/>
                <w:sz w:val="18"/>
                <w:szCs w:val="18"/>
                <w:rtl w:val="0"/>
              </w:rPr>
              <w:t xml:space="preserve">Capa</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b w:val="1"/>
                <w:bCs w:val="1"/>
                <w:color w:val="ffffff"/>
                <w:sz w:val="18"/>
                <w:szCs w:val="18"/>
                <w:rtl w:val="0"/>
              </w:rPr>
              <w:t xml:space="preserve">Tecnología</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b w:val="1"/>
                <w:bCs w:val="1"/>
                <w:color w:val="ffffff"/>
                <w:sz w:val="18"/>
                <w:szCs w:val="18"/>
                <w:rtl w:val="0"/>
              </w:rPr>
              <w:t xml:space="preserve">Razón</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b w:val="1"/>
                <w:bCs w:val="1"/>
                <w:sz w:val="18"/>
                <w:szCs w:val="18"/>
                <w:rtl w:val="0"/>
              </w:rPr>
              <w:t xml:space="preserve">Base de datos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sz w:val="18"/>
                <w:szCs w:val="18"/>
                <w:rtl w:val="0"/>
              </w:rPr>
              <w:t xml:space="preserve">PostgreSQL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sz w:val="18"/>
                <w:szCs w:val="18"/>
                <w:rtl w:val="0"/>
              </w:rPr>
              <w:t xml:space="preserve">Relacional, robusto y gratuito; ideal para relaciones complejas.</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b w:val="1"/>
                <w:bCs w:val="1"/>
                <w:sz w:val="18"/>
                <w:szCs w:val="18"/>
                <w:rtl w:val="0"/>
              </w:rPr>
              <w:t xml:space="preserve">Backend (lógica)</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sz w:val="18"/>
                <w:szCs w:val="18"/>
                <w:rtl w:val="0"/>
              </w:rPr>
              <w:t xml:space="preserve">Python + FastAPI</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sz w:val="18"/>
                <w:szCs w:val="18"/>
                <w:rtl w:val="0"/>
              </w:rPr>
              <w:t xml:space="preserve">Rápido de prototipar; amplio soporte de librerías; orquestación de bots y APIs.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b w:val="1"/>
                <w:bCs w:val="1"/>
                <w:sz w:val="18"/>
                <w:szCs w:val="18"/>
                <w:rtl w:val="0"/>
              </w:rPr>
              <w:t xml:space="preserve">Frontend (interfaz)</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sz w:val="18"/>
                <w:szCs w:val="18"/>
                <w:rtl w:val="0"/>
              </w:rPr>
              <w:t xml:space="preserve">React + Tailwind CSS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sz w:val="18"/>
                <w:szCs w:val="18"/>
                <w:rtl w:val="0"/>
              </w:rPr>
              <w:t xml:space="preserve">Componentes reutilizables; implementación digital del sistema visual Aegis.</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b w:val="1"/>
                <w:bCs w:val="1"/>
                <w:sz w:val="18"/>
                <w:szCs w:val="18"/>
                <w:rtl w:val="0"/>
              </w:rPr>
              <w:t xml:space="preserve">Automatizaciones</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sz w:val="18"/>
                <w:szCs w:val="18"/>
                <w:rtl w:val="0"/>
              </w:rPr>
              <w:t xml:space="preserve">Python + CRON</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sz w:val="18"/>
                <w:szCs w:val="18"/>
                <w:rtl w:val="0"/>
              </w:rPr>
              <w:t xml:space="preserve">Cláusula de permanencia, alertas, cierre mensual, Mapa de Vencimientos.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b w:val="1"/>
                <w:bCs w:val="1"/>
                <w:sz w:val="18"/>
                <w:szCs w:val="18"/>
                <w:rtl w:val="0"/>
              </w:rPr>
              <w:t xml:space="preserve">Cotización masiva</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sz w:val="18"/>
                <w:szCs w:val="18"/>
                <w:rtl w:val="0"/>
              </w:rPr>
              <w:t xml:space="preserve">Python + Playwright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sz w:val="18"/>
                <w:szCs w:val="18"/>
                <w:rtl w:val="0"/>
              </w:rPr>
              <w:t xml:space="preserve">Scraper de la red ANS (única vía sin API); APIs oficiales con las compañías.</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b w:val="1"/>
                <w:bCs w:val="1"/>
                <w:sz w:val="18"/>
                <w:szCs w:val="18"/>
                <w:rtl w:val="0"/>
              </w:rPr>
              <w:t xml:space="preserve">Generación de PDFs</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sz w:val="18"/>
                <w:szCs w:val="18"/>
                <w:rtl w:val="0"/>
              </w:rPr>
              <w:t xml:space="preserve">WeasyPrint / Puppeteer</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sz w:val="18"/>
                <w:szCs w:val="18"/>
                <w:rtl w:val="0"/>
              </w:rPr>
              <w:t xml:space="preserve">Documentos con plantillas HTML/CSS de marca.</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b w:val="1"/>
                <w:bCs w:val="1"/>
                <w:sz w:val="18"/>
                <w:szCs w:val="18"/>
                <w:rtl w:val="0"/>
              </w:rPr>
              <w:t xml:space="preserve">Autenticación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sz w:val="18"/>
                <w:szCs w:val="18"/>
                <w:rtl w:val="0"/>
              </w:rPr>
              <w:t xml:space="preserve">JWT propio / Auth0</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CC">
            <w:pPr>
              <w:spacing w:after="0" w:before="0" w:lineRule="auto"/>
              <w:rPr/>
            </w:pPr>
            <w:r w:rsidDel="00000000" w:rsidR="00000000" w:rsidRPr="00000000">
              <w:rPr>
                <w:rFonts w:ascii="Arial" w:cs="Arial" w:eastAsia="Arial" w:hAnsi="Arial"/>
                <w:sz w:val="18"/>
                <w:szCs w:val="18"/>
                <w:rtl w:val="0"/>
              </w:rPr>
              <w:t xml:space="preserve">Acceso por roles: Dirección, Operaciones, Comercial, Tecnología.</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b w:val="1"/>
                <w:bCs w:val="1"/>
                <w:sz w:val="18"/>
                <w:szCs w:val="18"/>
                <w:rtl w:val="0"/>
              </w:rPr>
              <w:t xml:space="preserve">Backups</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sz w:val="18"/>
                <w:szCs w:val="18"/>
                <w:rtl w:val="0"/>
              </w:rPr>
              <w:t xml:space="preserve">Respaldo diario a almacenamiento externo</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sz w:val="18"/>
                <w:szCs w:val="18"/>
                <w:rtl w:val="0"/>
              </w:rPr>
              <w:t xml:space="preserve">Protección de la cartera y de los datos financieros.</w:t>
            </w:r>
            <w:r w:rsidDel="00000000" w:rsidR="00000000" w:rsidRPr="00000000">
              <w:rPr>
                <w:rtl w:val="0"/>
              </w:rPr>
            </w:r>
          </w:p>
        </w:tc>
      </w:tr>
    </w:tbl>
    <w:p w:rsidR="00000000" w:rsidDel="00000000" w:rsidP="00000000" w:rsidRDefault="00000000" w:rsidRPr="00000000" w14:paraId="000000D0">
      <w:pPr>
        <w:spacing w:after="40" w:lineRule="auto"/>
        <w:rPr/>
      </w:pPr>
      <w:r w:rsidDel="00000000" w:rsidR="00000000" w:rsidRPr="00000000">
        <w:rPr>
          <w:rtl w:val="0"/>
        </w:rPr>
      </w:r>
    </w:p>
    <w:p w:rsidR="00000000" w:rsidDel="00000000" w:rsidP="00000000" w:rsidRDefault="00000000" w:rsidRPr="00000000" w14:paraId="000000D1">
      <w:pPr>
        <w:rPr/>
      </w:pPr>
      <w:r w:rsidDel="00000000" w:rsidR="00000000" w:rsidRPr="00000000">
        <w:rPr>
          <w:b w:val="0"/>
          <w:bCs w:val="0"/>
          <w:i w:val="0"/>
          <w:iCs w:val="0"/>
          <w:rtl w:val="0"/>
        </w:rPr>
        <w:t xml:space="preserve">El entorno de desarrollo es Claude Code, que permite construir el software de forma iterativa y conversacional, sin requerir un equipo de ingeniería tradicional para arrancar.</w:t>
      </w:r>
      <w:r w:rsidDel="00000000" w:rsidR="00000000" w:rsidRPr="00000000">
        <w:rPr>
          <w:rtl w:val="0"/>
        </w:rPr>
      </w:r>
    </w:p>
    <w:p w:rsidR="00000000" w:rsidDel="00000000" w:rsidP="00000000" w:rsidRDefault="00000000" w:rsidRPr="00000000" w14:paraId="000000D2">
      <w:pPr>
        <w:pStyle w:val="Heading3"/>
        <w:rPr/>
      </w:pPr>
      <w:r w:rsidDel="00000000" w:rsidR="00000000" w:rsidRPr="00000000">
        <w:rPr>
          <w:rtl w:val="0"/>
        </w:rPr>
        <w:t xml:space="preserve">3.4.2 Los 9 Schemas Base — Frontera Semántica Inmutable</w:t>
      </w:r>
    </w:p>
    <w:p w:rsidR="00000000" w:rsidDel="00000000" w:rsidP="00000000" w:rsidRDefault="00000000" w:rsidRPr="00000000" w14:paraId="000000D3">
      <w:pPr>
        <w:rPr/>
      </w:pPr>
      <w:r w:rsidDel="00000000" w:rsidR="00000000" w:rsidRPr="00000000">
        <w:rPr>
          <w:b w:val="0"/>
          <w:bCs w:val="0"/>
          <w:i w:val="0"/>
          <w:iCs w:val="0"/>
          <w:rtl w:val="0"/>
        </w:rPr>
        <w:t xml:space="preserve">El SGA NO es una base de datos plana. Se estructura en 9 archivos maestros (schemas) temáticos, con aproximadamente 78 tablas en total. En el Programa Propio, cada archivo se implementa como un schema relacional en PostgreSQL. Estos nueve schemas son el contorno semántico de la empresa:</w:t>
      </w:r>
      <w:r w:rsidDel="00000000" w:rsidR="00000000" w:rsidRPr="00000000">
        <w:rPr>
          <w:rtl w:val="0"/>
        </w:rPr>
      </w:r>
    </w:p>
    <w:tbl>
      <w:tblPr>
        <w:tblStyle w:val="Table1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b3a6b" w:val="clear"/>
            <w:tcMar>
              <w:top w:w="60.0" w:type="dxa"/>
              <w:left w:w="110.0" w:type="dxa"/>
              <w:bottom w:w="60.0" w:type="dxa"/>
              <w:right w:w="110.0" w:type="dxa"/>
            </w:tcMar>
          </w:tcPr>
          <w:p w:rsidR="00000000" w:rsidDel="00000000" w:rsidP="00000000" w:rsidRDefault="00000000" w:rsidRPr="00000000" w14:paraId="000000D4">
            <w:pPr>
              <w:spacing w:after="0" w:before="0" w:lineRule="auto"/>
              <w:rPr/>
            </w:pPr>
            <w:r w:rsidDel="00000000" w:rsidR="00000000" w:rsidRPr="00000000">
              <w:rPr>
                <w:rFonts w:ascii="Arial" w:cs="Arial" w:eastAsia="Arial" w:hAnsi="Arial"/>
                <w:b w:val="1"/>
                <w:bCs w:val="1"/>
                <w:color w:val="ffffff"/>
                <w:sz w:val="17"/>
                <w:szCs w:val="17"/>
                <w:rtl w:val="0"/>
              </w:rPr>
              <w:t xml:space="preserve">Schema</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b w:val="1"/>
                <w:bCs w:val="1"/>
                <w:color w:val="ffffff"/>
                <w:sz w:val="17"/>
                <w:szCs w:val="17"/>
                <w:rtl w:val="0"/>
              </w:rPr>
              <w:t xml:space="preserve">Tablas aprox.</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b w:val="1"/>
                <w:bCs w:val="1"/>
                <w:color w:val="ffffff"/>
                <w:sz w:val="17"/>
                <w:szCs w:val="17"/>
                <w:rtl w:val="0"/>
              </w:rPr>
              <w:t xml:space="preserve">Función nuclear</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b w:val="1"/>
                <w:bCs w:val="1"/>
                <w:sz w:val="17"/>
                <w:szCs w:val="17"/>
                <w:rtl w:val="0"/>
              </w:rPr>
              <w:t xml:space="preserve">agenda</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sz w:val="17"/>
                <w:szCs w:val="17"/>
                <w:rtl w:val="0"/>
              </w:rPr>
              <w:t xml:space="preserve">Calendarización de obligaciones, tareas y categorías que ordenan el tiempo del equipo.</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b w:val="1"/>
                <w:bCs w:val="1"/>
                <w:sz w:val="17"/>
                <w:szCs w:val="17"/>
                <w:rtl w:val="0"/>
              </w:rPr>
              <w:t xml:space="preserve">comunicacion</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sz w:val="17"/>
                <w:szCs w:val="17"/>
                <w:rtl w:val="0"/>
              </w:rPr>
              <w:t xml:space="preserve">9</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sz w:val="17"/>
                <w:szCs w:val="17"/>
                <w:rtl w:val="0"/>
              </w:rPr>
              <w:t xml:space="preserve">Trazabilidad del envío de documentos a clientes, compañías y autoridad (una tabla espejo por cada tabla comunicada).</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b w:val="1"/>
                <w:bCs w:val="1"/>
                <w:sz w:val="17"/>
                <w:szCs w:val="17"/>
                <w:rtl w:val="0"/>
              </w:rPr>
              <w:t xml:space="preserve">configuracion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sz w:val="17"/>
                <w:szCs w:val="17"/>
                <w:rtl w:val="0"/>
              </w:rPr>
              <w:t xml:space="preserve">11</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sz w:val="17"/>
                <w:szCs w:val="17"/>
                <w:rtl w:val="0"/>
              </w:rPr>
              <w:t xml:space="preserve">Cerebro técnico: parámetros, filtros, indicadores UF/USD, usuarios y automatizaciones.</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b w:val="1"/>
                <w:bCs w:val="1"/>
                <w:sz w:val="17"/>
                <w:szCs w:val="17"/>
                <w:rtl w:val="0"/>
              </w:rPr>
              <w:t xml:space="preserve">contabilidad</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sz w:val="17"/>
                <w:szCs w:val="17"/>
                <w:rtl w:val="0"/>
              </w:rPr>
              <w:t xml:space="preserve">10</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sz w:val="17"/>
                <w:szCs w:val="17"/>
                <w:rtl w:val="0"/>
              </w:rPr>
              <w:t xml:space="preserve">Cuentas corrientes, pagos de clientes, documentos contables, liquidaciones a partners, fondos, FECU, PPM.</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E3">
            <w:pPr>
              <w:spacing w:after="0" w:before="0" w:lineRule="auto"/>
              <w:rPr/>
            </w:pPr>
            <w:r w:rsidDel="00000000" w:rsidR="00000000" w:rsidRPr="00000000">
              <w:rPr>
                <w:rFonts w:ascii="Arial" w:cs="Arial" w:eastAsia="Arial" w:hAnsi="Arial"/>
                <w:b w:val="1"/>
                <w:bCs w:val="1"/>
                <w:sz w:val="17"/>
                <w:szCs w:val="17"/>
                <w:rtl w:val="0"/>
              </w:rPr>
              <w:t xml:space="preserve">cruce_tablas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sz w:val="17"/>
                <w:szCs w:val="17"/>
                <w:rtl w:val="0"/>
              </w:rPr>
              <w:t xml:space="preserve">10</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sz w:val="17"/>
                <w:szCs w:val="17"/>
                <w:rtl w:val="0"/>
              </w:rPr>
              <w:t xml:space="preserve">Tablas puente para relaciones muchos-a-muchos entre entidades de negocio.</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1"/>
                <w:bCs w:val="1"/>
                <w:sz w:val="17"/>
                <w:szCs w:val="17"/>
                <w:rtl w:val="0"/>
              </w:rPr>
              <w:t xml:space="preserve">datos</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sz w:val="17"/>
                <w:szCs w:val="17"/>
                <w:rtl w:val="0"/>
              </w:rPr>
              <w:t xml:space="preserve">6</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sz w:val="17"/>
                <w:szCs w:val="17"/>
                <w:rtl w:val="0"/>
              </w:rPr>
              <w:t xml:space="preserve">Base maestra: RUTs, vehículos, inmuebles, otras materias, vida y salud con cargas.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b w:val="1"/>
                <w:bCs w:val="1"/>
                <w:sz w:val="17"/>
                <w:szCs w:val="17"/>
                <w:rtl w:val="0"/>
              </w:rPr>
              <w:t xml:space="preserve">gestion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sz w:val="17"/>
                <w:szCs w:val="17"/>
                <w:rtl w:val="0"/>
              </w:rPr>
              <w:t xml:space="preserve">11</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sz w:val="17"/>
                <w:szCs w:val="17"/>
                <w:rtl w:val="0"/>
              </w:rPr>
              <w:t xml:space="preserve">Core del negocio: registros, cotizaciones, pólizas, documentos, materias, planes de pago, cuotas, cobranza, solicitudes, siniestros, comisiones.</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b w:val="1"/>
                <w:bCs w:val="1"/>
                <w:sz w:val="17"/>
                <w:szCs w:val="17"/>
                <w:rtl w:val="0"/>
              </w:rPr>
              <w:t xml:space="preserve">grupos</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sz w:val="17"/>
                <w:szCs w:val="17"/>
                <w:rtl w:val="0"/>
              </w:rPr>
              <w:t xml:space="preserve">Agregación lógica: clientes (agrupa RUTs), materias y entidades.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b w:val="1"/>
                <w:bCs w:val="1"/>
                <w:sz w:val="17"/>
                <w:szCs w:val="17"/>
                <w:rtl w:val="0"/>
              </w:rPr>
              <w:t xml:space="preserve">operaciones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sz w:val="17"/>
                <w:szCs w:val="17"/>
                <w:rtl w:val="0"/>
              </w:rPr>
              <w:t xml:space="preserve">15</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sz w:val="17"/>
                <w:szCs w:val="17"/>
                <w:rtl w:val="0"/>
              </w:rPr>
              <w:t xml:space="preserve">Catálogo técnico del mercado: compañías, ANS, ramos, seguros, productos, planes, coberturas, POLs, ejecutivos, partners, proveedores, bancos.</w:t>
            </w:r>
            <w:r w:rsidDel="00000000" w:rsidR="00000000" w:rsidRPr="00000000">
              <w:rPr>
                <w:rtl w:val="0"/>
              </w:rPr>
            </w:r>
          </w:p>
        </w:tc>
      </w:tr>
    </w:tbl>
    <w:p w:rsidR="00000000" w:rsidDel="00000000" w:rsidP="00000000" w:rsidRDefault="00000000" w:rsidRPr="00000000" w14:paraId="000000F2">
      <w:pPr>
        <w:spacing w:after="40" w:lineRule="auto"/>
        <w:rPr/>
      </w:pPr>
      <w:r w:rsidDel="00000000" w:rsidR="00000000" w:rsidRPr="00000000">
        <w:rPr>
          <w:rtl w:val="0"/>
        </w:rPr>
      </w:r>
    </w:p>
    <w:tbl>
      <w:tblPr>
        <w:tblStyle w:val="Table16"/>
        <w:tblW w:w="8640.0" w:type="dxa"/>
        <w:jc w:val="left"/>
        <w:tblInd w:w="-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d5e8f5" w:val="clear"/>
            <w:tcMar>
              <w:top w:w="120.0" w:type="dxa"/>
              <w:left w:w="160.0" w:type="dxa"/>
              <w:bottom w:w="120.0" w:type="dxa"/>
              <w:right w:w="160.0" w:type="dxa"/>
            </w:tcMar>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b w:val="1"/>
                <w:bCs w:val="1"/>
                <w:color w:val="1b3a6b"/>
                <w:sz w:val="21"/>
                <w:szCs w:val="21"/>
                <w:rtl w:val="0"/>
              </w:rPr>
              <w:t xml:space="preserve">🏗 REGLA DE EVOLUCIÓN TECNOLÓGICA (LÍMITE INMUTABLE)</w:t>
            </w:r>
            <w:r w:rsidDel="00000000" w:rsidR="00000000" w:rsidRPr="00000000">
              <w:rPr>
                <w:rtl w:val="0"/>
              </w:rPr>
            </w:r>
          </w:p>
          <w:p w:rsidR="00000000" w:rsidDel="00000000" w:rsidP="00000000" w:rsidRDefault="00000000" w:rsidRPr="00000000" w14:paraId="000000F4">
            <w:pPr>
              <w:spacing w:after="0" w:before="60" w:lineRule="auto"/>
              <w:rPr/>
            </w:pPr>
            <w:r w:rsidDel="00000000" w:rsidR="00000000" w:rsidRPr="00000000">
              <w:rPr>
                <w:rFonts w:ascii="Arial" w:cs="Arial" w:eastAsia="Arial" w:hAnsi="Arial"/>
                <w:sz w:val="20"/>
                <w:szCs w:val="20"/>
                <w:rtl w:val="0"/>
              </w:rPr>
              <w:t xml:space="preserve">Estos 9 schemas representan los límites semánticos de la empresa. Cualquier evolución o adición de tablas debe hacerse EXTENDIENDO este ecosistema de forma ordenada —dentro del schema correspondiente— y NUNCA creando silos tecnológicos independientes. Todo software, web o automatización futura, lo construya una persona o una IA, se ancla a esta arquitectura. Una nueva necesidad de negocio se modela como una extensión de un schema existente; si no encaja en ninguno, la decisión de crear un nuevo dominio la toma la Tecnología (CTO) en conjunto con la Dirección General, no de forma aislada.</w:t>
            </w:r>
            <w:r w:rsidDel="00000000" w:rsidR="00000000" w:rsidRPr="00000000">
              <w:rPr>
                <w:rtl w:val="0"/>
              </w:rPr>
            </w:r>
          </w:p>
        </w:tc>
      </w:tr>
    </w:tbl>
    <w:p w:rsidR="00000000" w:rsidDel="00000000" w:rsidP="00000000" w:rsidRDefault="00000000" w:rsidRPr="00000000" w14:paraId="000000F5">
      <w:pPr>
        <w:spacing w:after="40" w:lineRule="auto"/>
        <w:rPr/>
      </w:pPr>
      <w:r w:rsidDel="00000000" w:rsidR="00000000" w:rsidRPr="00000000">
        <w:rPr>
          <w:rtl w:val="0"/>
        </w:rPr>
      </w:r>
    </w:p>
    <w:p w:rsidR="00000000" w:rsidDel="00000000" w:rsidP="00000000" w:rsidRDefault="00000000" w:rsidRPr="00000000" w14:paraId="000000F6">
      <w:pPr>
        <w:pStyle w:val="Heading3"/>
        <w:rPr/>
      </w:pPr>
      <w:r w:rsidDel="00000000" w:rsidR="00000000" w:rsidRPr="00000000">
        <w:rPr>
          <w:rtl w:val="0"/>
        </w:rPr>
        <w:t xml:space="preserve">3.4.3 Reglas de Negocio Embebidas en el Sistema</w:t>
      </w:r>
    </w:p>
    <w:p w:rsidR="00000000" w:rsidDel="00000000" w:rsidP="00000000" w:rsidRDefault="00000000" w:rsidRPr="00000000" w14:paraId="000000F7">
      <w:pPr>
        <w:rPr/>
      </w:pPr>
      <w:r w:rsidDel="00000000" w:rsidR="00000000" w:rsidRPr="00000000">
        <w:rPr>
          <w:b w:val="0"/>
          <w:bCs w:val="0"/>
          <w:i w:val="0"/>
          <w:iCs w:val="0"/>
          <w:rtl w:val="0"/>
        </w:rPr>
        <w:t xml:space="preserve">El sistema implementa de forma automática las reglas que protegen tanto al cliente como la salud financiera de la empresa:</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Priorización Precio/Cobertura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para cada cotización, el sistema evalúa el universo completo de compañías y entrega un ranking ordenado EXCLUSIVAMENTE por la relación Precio/Cobertura. Descarta toda opción con cobertura insuficiente para el perfil y, entre las que cumplen el mínimo necesario, prioriza el menor precio para el cliente. El sistema nunca ordena por comisión.</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Cláusula de Permanencia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los incentivos a partners se consolidan solo si la póliza permanece vigente y pagada un mínimo de 4 meses (con regla especial para vida de prima anual).</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Comisiones negativas — </w:t>
      </w: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ante cancelación anticipada, devolución del partner = fee pagado × (1 − meses vigentes / 12).</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Cascada de distribución — </w:t>
      </w: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el cierre mensual calcula el orden estricto Ingreso bruto → F29 → provisión IDPC → gastos → ahorro empresa → disponible para retiros, protegiendo la liquidez antes que el retiro.</w:t>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rPr/>
      </w:pPr>
      <w:r w:rsidDel="00000000" w:rsidR="00000000" w:rsidRPr="00000000">
        <w:rPr>
          <w:rtl w:val="0"/>
        </w:rPr>
        <w:t xml:space="preserve">4. Brand &amp; Universe DNA</w:t>
      </w:r>
    </w:p>
    <w:p w:rsidR="00000000" w:rsidDel="00000000" w:rsidP="00000000" w:rsidRDefault="00000000" w:rsidRPr="00000000" w14:paraId="000000FE">
      <w:pPr>
        <w:rPr/>
      </w:pPr>
      <w:r w:rsidDel="00000000" w:rsidR="00000000" w:rsidRPr="00000000">
        <w:rPr>
          <w:b w:val="0"/>
          <w:bCs w:val="0"/>
          <w:i w:val="0"/>
          <w:iCs w:val="0"/>
          <w:rtl w:val="0"/>
        </w:rPr>
        <w:t xml:space="preserve">Esta sección codifica el universo de marca de Aegis para que cualquier persona o IA pueda producir documentos, software o sitios web que se sientan inequívocamente nativos de la corredora. La coherencia visual y verbal es confianza acumulada: cada pieza es un voto de confianza por ganar o por perder.</w:t>
      </w: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4.1 Esencia y Promesa de Marca</w:t>
      </w:r>
    </w:p>
    <w:p w:rsidR="00000000" w:rsidDel="00000000" w:rsidP="00000000" w:rsidRDefault="00000000" w:rsidRPr="00000000" w14:paraId="00000100">
      <w:pPr>
        <w:rPr/>
      </w:pPr>
      <w:r w:rsidDel="00000000" w:rsidR="00000000" w:rsidRPr="00000000">
        <w:rPr>
          <w:b w:val="0"/>
          <w:bCs w:val="0"/>
          <w:i w:val="0"/>
          <w:iCs w:val="0"/>
          <w:rtl w:val="0"/>
        </w:rPr>
        <w:t xml:space="preserve">La marca encarna la idea de la égida: protección, amparo y respaldo. La promesa central es que cada póliza intermediada sea la mejor opción del mercado en ese momento, en términos del cliente. Todo el sistema de marca existe para transmitir, en cada punto de contacto, la seriedad profesional que lleva a un comité o a una familia a elegir a Aegis.</w:t>
      </w: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rtl w:val="0"/>
        </w:rPr>
        <w:t xml:space="preserve">4.2 Tono de Voz Corporativo</w:t>
      </w:r>
    </w:p>
    <w:p w:rsidR="00000000" w:rsidDel="00000000" w:rsidP="00000000" w:rsidRDefault="00000000" w:rsidRPr="00000000" w14:paraId="00000102">
      <w:pPr>
        <w:rPr/>
      </w:pPr>
      <w:r w:rsidDel="00000000" w:rsidR="00000000" w:rsidRPr="00000000">
        <w:rPr>
          <w:b w:val="0"/>
          <w:bCs w:val="0"/>
          <w:i w:val="0"/>
          <w:iCs w:val="0"/>
          <w:rtl w:val="0"/>
        </w:rPr>
        <w:t xml:space="preserve">Cómo escribe Aegis (jerarquía de prioridades):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claro antes que rebuscado; concreto antes que vago (cifras, plazos y montos exactos);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directo antes que diplomático; profesional antes que coloquial («usted» como tratamiento estándar);</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honesto antes que vendedor: si una opción no es la mejor, se dice.</w:t>
      </w:r>
    </w:p>
    <w:p w:rsidR="00000000" w:rsidDel="00000000" w:rsidP="00000000" w:rsidRDefault="00000000" w:rsidRPr="00000000" w14:paraId="00000106">
      <w:pPr>
        <w:rPr/>
      </w:pPr>
      <w:r w:rsidDel="00000000" w:rsidR="00000000" w:rsidRPr="00000000">
        <w:rPr>
          <w:b w:val="0"/>
          <w:bCs w:val="0"/>
          <w:i w:val="0"/>
          <w:iCs w:val="0"/>
          <w:rtl w:val="0"/>
        </w:rPr>
        <w:t xml:space="preserve">Qué evita Aegis: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jerga aseguradora sin explicar; promesas absolutas («totalmente cubierto», «sin exclusiones»);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lenguaje publicitario hueco («los mejores», «líderes», «expertos»); diminutivos en contexto profesional;</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emojis en comunicaciones formales (permitidos solo en redes sociales y trato informal); mayúsculas para enfatizar (usar negrita o color en su lugar).</w:t>
      </w:r>
    </w:p>
    <w:tbl>
      <w:tblPr>
        <w:tblStyle w:val="Table17"/>
        <w:tblW w:w="8640.0" w:type="dxa"/>
        <w:jc w:val="left"/>
        <w:tblInd w:w="-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d5e8f5" w:val="clear"/>
            <w:tcMar>
              <w:top w:w="120.0" w:type="dxa"/>
              <w:left w:w="160.0" w:type="dxa"/>
              <w:bottom w:w="120.0" w:type="dxa"/>
              <w:right w:w="160.0" w:type="dxa"/>
            </w:tcMar>
          </w:tcPr>
          <w:p w:rsidR="00000000" w:rsidDel="00000000" w:rsidP="00000000" w:rsidRDefault="00000000" w:rsidRPr="00000000" w14:paraId="0000010A">
            <w:pPr>
              <w:spacing w:after="0" w:before="0" w:lineRule="auto"/>
              <w:rPr/>
            </w:pPr>
            <w:r w:rsidDel="00000000" w:rsidR="00000000" w:rsidRPr="00000000">
              <w:rPr>
                <w:rFonts w:ascii="Arial Unicode MS" w:cs="Arial Unicode MS" w:eastAsia="Arial Unicode MS" w:hAnsi="Arial Unicode MS"/>
                <w:b w:val="1"/>
                <w:bCs w:val="1"/>
                <w:color w:val="1b3a6b"/>
                <w:sz w:val="21"/>
                <w:szCs w:val="21"/>
                <w:rtl w:val="0"/>
              </w:rPr>
              <w:t xml:space="preserve">✍ EJEMPLO DE APLICACIÓN DEL TONO</w:t>
            </w:r>
            <w:r w:rsidDel="00000000" w:rsidR="00000000" w:rsidRPr="00000000">
              <w:rPr>
                <w:rtl w:val="0"/>
              </w:rPr>
            </w:r>
          </w:p>
          <w:p w:rsidR="00000000" w:rsidDel="00000000" w:rsidP="00000000" w:rsidRDefault="00000000" w:rsidRPr="00000000" w14:paraId="0000010B">
            <w:pPr>
              <w:spacing w:after="0" w:before="60" w:lineRule="auto"/>
              <w:rPr/>
            </w:pPr>
            <w:r w:rsidDel="00000000" w:rsidR="00000000" w:rsidRPr="00000000">
              <w:rPr>
                <w:rFonts w:ascii="Arial" w:cs="Arial" w:eastAsia="Arial" w:hAnsi="Arial"/>
                <w:sz w:val="20"/>
                <w:szCs w:val="20"/>
                <w:rtl w:val="0"/>
              </w:rPr>
              <w:t xml:space="preserve">Evitar: «¡Tenemos la mejor noticia! Su seguro está totalmente cubierto.»  ·  Usar: «Estimado [Nombre]: su póliza vence el 15 de junio. Cotizamos en el panel completo de compañías y la red ANS; la mejor opción es [Compañía], con una prima de UF 12,5 (5% menos que la actual) y cobertura equivalente. Adjuntamos la comparativa. Plazo de respuesta: 30 de mayo.»</w:t>
            </w:r>
            <w:r w:rsidDel="00000000" w:rsidR="00000000" w:rsidRPr="00000000">
              <w:rPr>
                <w:rtl w:val="0"/>
              </w:rPr>
            </w:r>
          </w:p>
        </w:tc>
      </w:tr>
    </w:tbl>
    <w:p w:rsidR="00000000" w:rsidDel="00000000" w:rsidP="00000000" w:rsidRDefault="00000000" w:rsidRPr="00000000" w14:paraId="0000010C">
      <w:pPr>
        <w:spacing w:after="40" w:lineRule="auto"/>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tl w:val="0"/>
        </w:rPr>
        <w:t xml:space="preserve">4.3 Paleta Visual</w:t>
      </w:r>
    </w:p>
    <w:p w:rsidR="00000000" w:rsidDel="00000000" w:rsidP="00000000" w:rsidRDefault="00000000" w:rsidRPr="00000000" w14:paraId="0000010E">
      <w:pPr>
        <w:rPr/>
      </w:pPr>
      <w:r w:rsidDel="00000000" w:rsidR="00000000" w:rsidRPr="00000000">
        <w:rPr>
          <w:b w:val="0"/>
          <w:bCs w:val="0"/>
          <w:i w:val="0"/>
          <w:iCs w:val="0"/>
          <w:rtl w:val="0"/>
        </w:rPr>
        <w:t xml:space="preserve">El azul corporativo y sus variantes deben representar al menos el 60% del peso visual de cualquier documento o pantalla. Los colores secundarios son estrictamente funcionales: verde solo para éxito/aprobación, rojo solo para alertas críticas. Nunca rojo o verde decorativos.</w:t>
      </w:r>
      <w:r w:rsidDel="00000000" w:rsidR="00000000" w:rsidRPr="00000000">
        <w:rPr>
          <w:rtl w:val="0"/>
        </w:rPr>
      </w:r>
    </w:p>
    <w:tbl>
      <w:tblPr>
        <w:tblStyle w:val="Table1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b3a6b" w:val="clear"/>
            <w:tcMar>
              <w:top w:w="60.0" w:type="dxa"/>
              <w:left w:w="110.0" w:type="dxa"/>
              <w:bottom w:w="60.0" w:type="dxa"/>
              <w:right w:w="110.0" w:type="dxa"/>
            </w:tcMar>
          </w:tcPr>
          <w:p w:rsidR="00000000" w:rsidDel="00000000" w:rsidP="00000000" w:rsidRDefault="00000000" w:rsidRPr="00000000" w14:paraId="0000010F">
            <w:pPr>
              <w:spacing w:after="0" w:before="0" w:lineRule="auto"/>
              <w:rPr/>
            </w:pPr>
            <w:r w:rsidDel="00000000" w:rsidR="00000000" w:rsidRPr="00000000">
              <w:rPr>
                <w:rFonts w:ascii="Arial" w:cs="Arial" w:eastAsia="Arial" w:hAnsi="Arial"/>
                <w:b w:val="1"/>
                <w:bCs w:val="1"/>
                <w:color w:val="ffffff"/>
                <w:sz w:val="17"/>
                <w:szCs w:val="17"/>
                <w:rtl w:val="0"/>
              </w:rPr>
              <w:t xml:space="preserve">Color</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110">
            <w:pPr>
              <w:spacing w:after="0" w:before="0" w:lineRule="auto"/>
              <w:rPr/>
            </w:pPr>
            <w:r w:rsidDel="00000000" w:rsidR="00000000" w:rsidRPr="00000000">
              <w:rPr>
                <w:rFonts w:ascii="Arial" w:cs="Arial" w:eastAsia="Arial" w:hAnsi="Arial"/>
                <w:b w:val="1"/>
                <w:bCs w:val="1"/>
                <w:color w:val="ffffff"/>
                <w:sz w:val="17"/>
                <w:szCs w:val="17"/>
                <w:rtl w:val="0"/>
              </w:rPr>
              <w:t xml:space="preserve">HEX</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111">
            <w:pPr>
              <w:spacing w:after="0" w:before="0" w:lineRule="auto"/>
              <w:rPr/>
            </w:pPr>
            <w:r w:rsidDel="00000000" w:rsidR="00000000" w:rsidRPr="00000000">
              <w:rPr>
                <w:rFonts w:ascii="Arial" w:cs="Arial" w:eastAsia="Arial" w:hAnsi="Arial"/>
                <w:b w:val="1"/>
                <w:bCs w:val="1"/>
                <w:color w:val="ffffff"/>
                <w:sz w:val="17"/>
                <w:szCs w:val="17"/>
                <w:rtl w:val="0"/>
              </w:rPr>
              <w:t xml:space="preserve">RGB</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112">
            <w:pPr>
              <w:spacing w:after="0" w:before="0" w:lineRule="auto"/>
              <w:rPr/>
            </w:pPr>
            <w:r w:rsidDel="00000000" w:rsidR="00000000" w:rsidRPr="00000000">
              <w:rPr>
                <w:rFonts w:ascii="Arial" w:cs="Arial" w:eastAsia="Arial" w:hAnsi="Arial"/>
                <w:b w:val="1"/>
                <w:bCs w:val="1"/>
                <w:color w:val="ffffff"/>
                <w:sz w:val="17"/>
                <w:szCs w:val="17"/>
                <w:rtl w:val="0"/>
              </w:rPr>
              <w:t xml:space="preserve">Uso</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13">
            <w:pPr>
              <w:spacing w:after="0" w:before="0" w:lineRule="auto"/>
              <w:rPr/>
            </w:pPr>
            <w:r w:rsidDel="00000000" w:rsidR="00000000" w:rsidRPr="00000000">
              <w:rPr>
                <w:rFonts w:ascii="Arial" w:cs="Arial" w:eastAsia="Arial" w:hAnsi="Arial"/>
                <w:b w:val="1"/>
                <w:bCs w:val="1"/>
                <w:sz w:val="17"/>
                <w:szCs w:val="17"/>
                <w:rtl w:val="0"/>
              </w:rPr>
              <w:t xml:space="preserve">Aegis Azul Profundo</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sz w:val="17"/>
                <w:szCs w:val="17"/>
                <w:rtl w:val="0"/>
              </w:rPr>
              <w:t xml:space="preserve">#1B3A6B</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5">
            <w:pPr>
              <w:spacing w:after="0" w:before="0" w:lineRule="auto"/>
              <w:rPr/>
            </w:pPr>
            <w:r w:rsidDel="00000000" w:rsidR="00000000" w:rsidRPr="00000000">
              <w:rPr>
                <w:rFonts w:ascii="Arial" w:cs="Arial" w:eastAsia="Arial" w:hAnsi="Arial"/>
                <w:sz w:val="17"/>
                <w:szCs w:val="17"/>
                <w:rtl w:val="0"/>
              </w:rPr>
              <w:t xml:space="preserve">27 / 58 / 107</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sz w:val="17"/>
                <w:szCs w:val="17"/>
                <w:rtl w:val="0"/>
              </w:rPr>
              <w:t xml:space="preserve">Color principal: títulos, elementos primarios, footer.</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117">
            <w:pPr>
              <w:spacing w:after="0" w:before="0" w:lineRule="auto"/>
              <w:rPr/>
            </w:pPr>
            <w:r w:rsidDel="00000000" w:rsidR="00000000" w:rsidRPr="00000000">
              <w:rPr>
                <w:rFonts w:ascii="Arial" w:cs="Arial" w:eastAsia="Arial" w:hAnsi="Arial"/>
                <w:b w:val="1"/>
                <w:bCs w:val="1"/>
                <w:sz w:val="17"/>
                <w:szCs w:val="17"/>
                <w:rtl w:val="0"/>
              </w:rPr>
              <w:t xml:space="preserve">Aegis Azul Medio</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118">
            <w:pPr>
              <w:spacing w:after="0" w:before="0" w:lineRule="auto"/>
              <w:rPr/>
            </w:pPr>
            <w:r w:rsidDel="00000000" w:rsidR="00000000" w:rsidRPr="00000000">
              <w:rPr>
                <w:rFonts w:ascii="Arial" w:cs="Arial" w:eastAsia="Arial" w:hAnsi="Arial"/>
                <w:sz w:val="17"/>
                <w:szCs w:val="17"/>
                <w:rtl w:val="0"/>
              </w:rPr>
              <w:t xml:space="preserve">#2E5F9E</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119">
            <w:pPr>
              <w:spacing w:after="0" w:before="0" w:lineRule="auto"/>
              <w:rPr/>
            </w:pPr>
            <w:r w:rsidDel="00000000" w:rsidR="00000000" w:rsidRPr="00000000">
              <w:rPr>
                <w:rFonts w:ascii="Arial" w:cs="Arial" w:eastAsia="Arial" w:hAnsi="Arial"/>
                <w:sz w:val="17"/>
                <w:szCs w:val="17"/>
                <w:rtl w:val="0"/>
              </w:rPr>
              <w:t xml:space="preserve">46 / 95 / 158</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11A">
            <w:pPr>
              <w:spacing w:after="0" w:before="0" w:lineRule="auto"/>
              <w:rPr/>
            </w:pPr>
            <w:r w:rsidDel="00000000" w:rsidR="00000000" w:rsidRPr="00000000">
              <w:rPr>
                <w:rFonts w:ascii="Arial" w:cs="Arial" w:eastAsia="Arial" w:hAnsi="Arial"/>
                <w:sz w:val="17"/>
                <w:szCs w:val="17"/>
                <w:rtl w:val="0"/>
              </w:rPr>
              <w:t xml:space="preserve">Subtítulos, enlaces, énfasis.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1B">
            <w:pPr>
              <w:spacing w:after="0" w:before="0" w:lineRule="auto"/>
              <w:rPr/>
            </w:pPr>
            <w:r w:rsidDel="00000000" w:rsidR="00000000" w:rsidRPr="00000000">
              <w:rPr>
                <w:rFonts w:ascii="Arial" w:cs="Arial" w:eastAsia="Arial" w:hAnsi="Arial"/>
                <w:b w:val="1"/>
                <w:bCs w:val="1"/>
                <w:sz w:val="17"/>
                <w:szCs w:val="17"/>
                <w:rtl w:val="0"/>
              </w:rPr>
              <w:t xml:space="preserve">Aegis Azul Claro</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C">
            <w:pPr>
              <w:spacing w:after="0" w:before="0" w:lineRule="auto"/>
              <w:rPr/>
            </w:pPr>
            <w:r w:rsidDel="00000000" w:rsidR="00000000" w:rsidRPr="00000000">
              <w:rPr>
                <w:rFonts w:ascii="Arial" w:cs="Arial" w:eastAsia="Arial" w:hAnsi="Arial"/>
                <w:sz w:val="17"/>
                <w:szCs w:val="17"/>
                <w:rtl w:val="0"/>
              </w:rPr>
              <w:t xml:space="preserve">#D5E8F5</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sz w:val="17"/>
                <w:szCs w:val="17"/>
                <w:rtl w:val="0"/>
              </w:rPr>
              <w:t xml:space="preserve">213 / 232 / 245</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sz w:val="17"/>
                <w:szCs w:val="17"/>
                <w:rtl w:val="0"/>
              </w:rPr>
              <w:t xml:space="preserve">Fondos suaves, cajas informativas, bandas.</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b w:val="1"/>
                <w:bCs w:val="1"/>
                <w:sz w:val="17"/>
                <w:szCs w:val="17"/>
                <w:rtl w:val="0"/>
              </w:rPr>
              <w:t xml:space="preserve">Verde Confianza</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sz w:val="17"/>
                <w:szCs w:val="17"/>
                <w:rtl w:val="0"/>
              </w:rPr>
              <w:t xml:space="preserve">#145A32</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sz w:val="17"/>
                <w:szCs w:val="17"/>
                <w:rtl w:val="0"/>
              </w:rPr>
              <w:t xml:space="preserve">20 / 90 / 50</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122">
            <w:pPr>
              <w:spacing w:after="0" w:before="0" w:lineRule="auto"/>
              <w:rPr/>
            </w:pPr>
            <w:r w:rsidDel="00000000" w:rsidR="00000000" w:rsidRPr="00000000">
              <w:rPr>
                <w:rFonts w:ascii="Arial" w:cs="Arial" w:eastAsia="Arial" w:hAnsi="Arial"/>
                <w:sz w:val="17"/>
                <w:szCs w:val="17"/>
                <w:rtl w:val="0"/>
              </w:rPr>
              <w:t xml:space="preserve">Aprobación, éxito, montos positivos.</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b w:val="1"/>
                <w:bCs w:val="1"/>
                <w:sz w:val="17"/>
                <w:szCs w:val="17"/>
                <w:rtl w:val="0"/>
              </w:rPr>
              <w:t xml:space="preserve">Rojo Alerta</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24">
            <w:pPr>
              <w:spacing w:after="0" w:before="0" w:lineRule="auto"/>
              <w:rPr/>
            </w:pPr>
            <w:r w:rsidDel="00000000" w:rsidR="00000000" w:rsidRPr="00000000">
              <w:rPr>
                <w:rFonts w:ascii="Arial" w:cs="Arial" w:eastAsia="Arial" w:hAnsi="Arial"/>
                <w:sz w:val="17"/>
                <w:szCs w:val="17"/>
                <w:rtl w:val="0"/>
              </w:rPr>
              <w:t xml:space="preserve">#C0392B</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sz w:val="17"/>
                <w:szCs w:val="17"/>
                <w:rtl w:val="0"/>
              </w:rPr>
              <w:t xml:space="preserve">192 / 57 / 43</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26">
            <w:pPr>
              <w:spacing w:after="0" w:before="0" w:lineRule="auto"/>
              <w:rPr/>
            </w:pPr>
            <w:r w:rsidDel="00000000" w:rsidR="00000000" w:rsidRPr="00000000">
              <w:rPr>
                <w:rFonts w:ascii="Arial" w:cs="Arial" w:eastAsia="Arial" w:hAnsi="Arial"/>
                <w:sz w:val="17"/>
                <w:szCs w:val="17"/>
                <w:rtl w:val="0"/>
              </w:rPr>
              <w:t xml:space="preserve">Advertencias críticas, alertas de compliance.</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127">
            <w:pPr>
              <w:spacing w:after="0" w:before="0" w:lineRule="auto"/>
              <w:rPr/>
            </w:pPr>
            <w:r w:rsidDel="00000000" w:rsidR="00000000" w:rsidRPr="00000000">
              <w:rPr>
                <w:rFonts w:ascii="Arial" w:cs="Arial" w:eastAsia="Arial" w:hAnsi="Arial"/>
                <w:b w:val="1"/>
                <w:bCs w:val="1"/>
                <w:sz w:val="17"/>
                <w:szCs w:val="17"/>
                <w:rtl w:val="0"/>
              </w:rPr>
              <w:t xml:space="preserve">Amarillo Precaución</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128">
            <w:pPr>
              <w:spacing w:after="0" w:before="0" w:lineRule="auto"/>
              <w:rPr/>
            </w:pPr>
            <w:r w:rsidDel="00000000" w:rsidR="00000000" w:rsidRPr="00000000">
              <w:rPr>
                <w:rFonts w:ascii="Arial" w:cs="Arial" w:eastAsia="Arial" w:hAnsi="Arial"/>
                <w:sz w:val="17"/>
                <w:szCs w:val="17"/>
                <w:rtl w:val="0"/>
              </w:rPr>
              <w:t xml:space="preserve">#FEF9E7</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129">
            <w:pPr>
              <w:spacing w:after="0" w:before="0" w:lineRule="auto"/>
              <w:rPr/>
            </w:pPr>
            <w:r w:rsidDel="00000000" w:rsidR="00000000" w:rsidRPr="00000000">
              <w:rPr>
                <w:rFonts w:ascii="Arial" w:cs="Arial" w:eastAsia="Arial" w:hAnsi="Arial"/>
                <w:sz w:val="17"/>
                <w:szCs w:val="17"/>
                <w:rtl w:val="0"/>
              </w:rPr>
              <w:t xml:space="preserve">254 / 249 / 231</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12A">
            <w:pPr>
              <w:spacing w:after="0" w:before="0" w:lineRule="auto"/>
              <w:rPr/>
            </w:pPr>
            <w:r w:rsidDel="00000000" w:rsidR="00000000" w:rsidRPr="00000000">
              <w:rPr>
                <w:rFonts w:ascii="Arial" w:cs="Arial" w:eastAsia="Arial" w:hAnsi="Arial"/>
                <w:sz w:val="17"/>
                <w:szCs w:val="17"/>
                <w:rtl w:val="0"/>
              </w:rPr>
              <w:t xml:space="preserve">Cajas informativas de atención.</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2B">
            <w:pPr>
              <w:spacing w:after="0" w:before="0" w:lineRule="auto"/>
              <w:rPr/>
            </w:pPr>
            <w:r w:rsidDel="00000000" w:rsidR="00000000" w:rsidRPr="00000000">
              <w:rPr>
                <w:rFonts w:ascii="Arial" w:cs="Arial" w:eastAsia="Arial" w:hAnsi="Arial"/>
                <w:b w:val="1"/>
                <w:bCs w:val="1"/>
                <w:sz w:val="17"/>
                <w:szCs w:val="17"/>
                <w:rtl w:val="0"/>
              </w:rPr>
              <w:t xml:space="preserve">Gris Texto</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2C">
            <w:pPr>
              <w:spacing w:after="0" w:before="0" w:lineRule="auto"/>
              <w:rPr/>
            </w:pPr>
            <w:r w:rsidDel="00000000" w:rsidR="00000000" w:rsidRPr="00000000">
              <w:rPr>
                <w:rFonts w:ascii="Arial" w:cs="Arial" w:eastAsia="Arial" w:hAnsi="Arial"/>
                <w:sz w:val="17"/>
                <w:szCs w:val="17"/>
                <w:rtl w:val="0"/>
              </w:rPr>
              <w:t xml:space="preserve">#4A4A4A</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2D">
            <w:pPr>
              <w:spacing w:after="0" w:before="0" w:lineRule="auto"/>
              <w:rPr/>
            </w:pPr>
            <w:r w:rsidDel="00000000" w:rsidR="00000000" w:rsidRPr="00000000">
              <w:rPr>
                <w:rFonts w:ascii="Arial" w:cs="Arial" w:eastAsia="Arial" w:hAnsi="Arial"/>
                <w:sz w:val="17"/>
                <w:szCs w:val="17"/>
                <w:rtl w:val="0"/>
              </w:rPr>
              <w:t xml:space="preserve">74 / 74 / 74</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sz w:val="17"/>
                <w:szCs w:val="17"/>
                <w:rtl w:val="0"/>
              </w:rPr>
              <w:t xml:space="preserve">Texto secundario y subtítulos.</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12F">
            <w:pPr>
              <w:spacing w:after="0" w:before="0" w:lineRule="auto"/>
              <w:rPr/>
            </w:pPr>
            <w:r w:rsidDel="00000000" w:rsidR="00000000" w:rsidRPr="00000000">
              <w:rPr>
                <w:rFonts w:ascii="Arial" w:cs="Arial" w:eastAsia="Arial" w:hAnsi="Arial"/>
                <w:b w:val="1"/>
                <w:bCs w:val="1"/>
                <w:sz w:val="17"/>
                <w:szCs w:val="17"/>
                <w:rtl w:val="0"/>
              </w:rPr>
              <w:t xml:space="preserve">Gris Fondo</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sz w:val="17"/>
                <w:szCs w:val="17"/>
                <w:rtl w:val="0"/>
              </w:rPr>
              <w:t xml:space="preserve">#F2F4F7</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131">
            <w:pPr>
              <w:spacing w:after="0" w:before="0" w:lineRule="auto"/>
              <w:rPr/>
            </w:pPr>
            <w:r w:rsidDel="00000000" w:rsidR="00000000" w:rsidRPr="00000000">
              <w:rPr>
                <w:rFonts w:ascii="Arial" w:cs="Arial" w:eastAsia="Arial" w:hAnsi="Arial"/>
                <w:sz w:val="17"/>
                <w:szCs w:val="17"/>
                <w:rtl w:val="0"/>
              </w:rPr>
              <w:t xml:space="preserve">242 / 244 / 247</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sz w:val="17"/>
                <w:szCs w:val="17"/>
                <w:rtl w:val="0"/>
              </w:rPr>
              <w:t xml:space="preserve">Filas alternas, fondos neutros.</w:t>
            </w:r>
            <w:r w:rsidDel="00000000" w:rsidR="00000000" w:rsidRPr="00000000">
              <w:rPr>
                <w:rtl w:val="0"/>
              </w:rPr>
            </w:r>
          </w:p>
        </w:tc>
      </w:tr>
    </w:tbl>
    <w:p w:rsidR="00000000" w:rsidDel="00000000" w:rsidP="00000000" w:rsidRDefault="00000000" w:rsidRPr="00000000" w14:paraId="00000133">
      <w:pPr>
        <w:spacing w:after="40" w:lineRule="auto"/>
        <w:rPr/>
      </w:pP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tl w:val="0"/>
        </w:rPr>
        <w:t xml:space="preserve">4.4 Tipografía Corporativa</w:t>
      </w:r>
    </w:p>
    <w:tbl>
      <w:tblPr>
        <w:tblStyle w:val="Table1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b3a6b" w:val="clear"/>
            <w:tcMar>
              <w:top w:w="60.0" w:type="dxa"/>
              <w:left w:w="110.0" w:type="dxa"/>
              <w:bottom w:w="60.0" w:type="dxa"/>
              <w:right w:w="110.0" w:type="dxa"/>
            </w:tcMar>
          </w:tcPr>
          <w:p w:rsidR="00000000" w:rsidDel="00000000" w:rsidP="00000000" w:rsidRDefault="00000000" w:rsidRPr="00000000" w14:paraId="00000135">
            <w:pPr>
              <w:spacing w:after="0" w:before="0" w:lineRule="auto"/>
              <w:rPr/>
            </w:pPr>
            <w:r w:rsidDel="00000000" w:rsidR="00000000" w:rsidRPr="00000000">
              <w:rPr>
                <w:rFonts w:ascii="Arial" w:cs="Arial" w:eastAsia="Arial" w:hAnsi="Arial"/>
                <w:b w:val="1"/>
                <w:bCs w:val="1"/>
                <w:color w:val="ffffff"/>
                <w:sz w:val="18"/>
                <w:szCs w:val="18"/>
                <w:rtl w:val="0"/>
              </w:rPr>
              <w:t xml:space="preserve">Familia</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136">
            <w:pPr>
              <w:spacing w:after="0" w:before="0" w:lineRule="auto"/>
              <w:rPr/>
            </w:pPr>
            <w:r w:rsidDel="00000000" w:rsidR="00000000" w:rsidRPr="00000000">
              <w:rPr>
                <w:rFonts w:ascii="Arial" w:cs="Arial" w:eastAsia="Arial" w:hAnsi="Arial"/>
                <w:b w:val="1"/>
                <w:bCs w:val="1"/>
                <w:color w:val="ffffff"/>
                <w:sz w:val="18"/>
                <w:szCs w:val="18"/>
                <w:rtl w:val="0"/>
              </w:rPr>
              <w:t xml:space="preserve">Uso</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137">
            <w:pPr>
              <w:spacing w:after="0" w:before="0" w:lineRule="auto"/>
              <w:rPr/>
            </w:pPr>
            <w:r w:rsidDel="00000000" w:rsidR="00000000" w:rsidRPr="00000000">
              <w:rPr>
                <w:rFonts w:ascii="Arial" w:cs="Arial" w:eastAsia="Arial" w:hAnsi="Arial"/>
                <w:b w:val="1"/>
                <w:bCs w:val="1"/>
                <w:color w:val="ffffff"/>
                <w:sz w:val="18"/>
                <w:szCs w:val="18"/>
                <w:rtl w:val="0"/>
              </w:rPr>
              <w:t xml:space="preserve">Nota</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38">
            <w:pPr>
              <w:spacing w:after="0" w:before="0" w:lineRule="auto"/>
              <w:rPr/>
            </w:pPr>
            <w:r w:rsidDel="00000000" w:rsidR="00000000" w:rsidRPr="00000000">
              <w:rPr>
                <w:rFonts w:ascii="Arial" w:cs="Arial" w:eastAsia="Arial" w:hAnsi="Arial"/>
                <w:b w:val="1"/>
                <w:bCs w:val="1"/>
                <w:sz w:val="18"/>
                <w:szCs w:val="18"/>
                <w:rtl w:val="0"/>
              </w:rPr>
              <w:t xml:space="preserve">Arial / Helvetica</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39">
            <w:pPr>
              <w:spacing w:after="0" w:before="0" w:lineRule="auto"/>
              <w:rPr/>
            </w:pPr>
            <w:r w:rsidDel="00000000" w:rsidR="00000000" w:rsidRPr="00000000">
              <w:rPr>
                <w:rFonts w:ascii="Arial" w:cs="Arial" w:eastAsia="Arial" w:hAnsi="Arial"/>
                <w:sz w:val="18"/>
                <w:szCs w:val="18"/>
                <w:rtl w:val="0"/>
              </w:rPr>
              <w:t xml:space="preserve">Documentos imprimibles, propuestas, cartas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3A">
            <w:pPr>
              <w:spacing w:after="0" w:before="0" w:lineRule="auto"/>
              <w:rPr/>
            </w:pPr>
            <w:r w:rsidDel="00000000" w:rsidR="00000000" w:rsidRPr="00000000">
              <w:rPr>
                <w:rFonts w:ascii="Arial" w:cs="Arial" w:eastAsia="Arial" w:hAnsi="Arial"/>
                <w:sz w:val="18"/>
                <w:szCs w:val="18"/>
                <w:rtl w:val="0"/>
              </w:rPr>
              <w:t xml:space="preserve">Disponible en todo sistema operativo.</w:t>
            </w:r>
            <w:r w:rsidDel="00000000" w:rsidR="00000000" w:rsidRPr="00000000">
              <w:rPr>
                <w:rtl w:val="0"/>
              </w:rPr>
            </w:r>
          </w:p>
        </w:tc>
      </w:tr>
      <w:tr>
        <w:trPr>
          <w:cantSplit w:val="0"/>
          <w:tblHeader w:val="0"/>
        </w:trPr>
        <w:tc>
          <w:tcPr>
            <w:shd w:fill="f2f4f7" w:val="clear"/>
            <w:tcMar>
              <w:top w:w="60.0" w:type="dxa"/>
              <w:left w:w="110.0" w:type="dxa"/>
              <w:bottom w:w="60.0" w:type="dxa"/>
              <w:right w:w="110.0" w:type="dxa"/>
            </w:tcMar>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b w:val="1"/>
                <w:bCs w:val="1"/>
                <w:sz w:val="18"/>
                <w:szCs w:val="18"/>
                <w:rtl w:val="0"/>
              </w:rPr>
              <w:t xml:space="preserve">Inter (Google Fonts)</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13C">
            <w:pPr>
              <w:spacing w:after="0" w:before="0" w:lineRule="auto"/>
              <w:rPr/>
            </w:pPr>
            <w:r w:rsidDel="00000000" w:rsidR="00000000" w:rsidRPr="00000000">
              <w:rPr>
                <w:rFonts w:ascii="Arial" w:cs="Arial" w:eastAsia="Arial" w:hAnsi="Arial"/>
                <w:sz w:val="18"/>
                <w:szCs w:val="18"/>
                <w:rtl w:val="0"/>
              </w:rPr>
              <w:t xml:space="preserve">Web, presentaciones digitales, dashboard</w:t>
            </w:r>
            <w:r w:rsidDel="00000000" w:rsidR="00000000" w:rsidRPr="00000000">
              <w:rPr>
                <w:rtl w:val="0"/>
              </w:rPr>
            </w:r>
          </w:p>
        </w:tc>
        <w:tc>
          <w:tcPr>
            <w:shd w:fill="f2f4f7" w:val="clear"/>
            <w:tcMar>
              <w:top w:w="60.0" w:type="dxa"/>
              <w:left w:w="110.0" w:type="dxa"/>
              <w:bottom w:w="60.0" w:type="dxa"/>
              <w:right w:w="110.0" w:type="dxa"/>
            </w:tcMar>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sz w:val="18"/>
                <w:szCs w:val="18"/>
                <w:rtl w:val="0"/>
              </w:rPr>
              <w:t xml:space="preserve">Sans-serif moderno, gratuito.</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3E">
            <w:pPr>
              <w:spacing w:after="0" w:before="0" w:lineRule="auto"/>
              <w:rPr/>
            </w:pPr>
            <w:r w:rsidDel="00000000" w:rsidR="00000000" w:rsidRPr="00000000">
              <w:rPr>
                <w:rFonts w:ascii="Arial" w:cs="Arial" w:eastAsia="Arial" w:hAnsi="Arial"/>
                <w:b w:val="1"/>
                <w:bCs w:val="1"/>
                <w:sz w:val="18"/>
                <w:szCs w:val="18"/>
                <w:rtl w:val="0"/>
              </w:rPr>
              <w:t xml:space="preserve">Montserrat (Google Fonts)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3F">
            <w:pPr>
              <w:spacing w:after="0" w:before="0" w:lineRule="auto"/>
              <w:rPr/>
            </w:pPr>
            <w:r w:rsidDel="00000000" w:rsidR="00000000" w:rsidRPr="00000000">
              <w:rPr>
                <w:rFonts w:ascii="Arial" w:cs="Arial" w:eastAsia="Arial" w:hAnsi="Arial"/>
                <w:sz w:val="18"/>
                <w:szCs w:val="18"/>
                <w:rtl w:val="0"/>
              </w:rPr>
              <w:t xml:space="preserve">Títulos web grandes, banners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40">
            <w:pPr>
              <w:spacing w:after="0" w:before="0" w:lineRule="auto"/>
              <w:rPr/>
            </w:pPr>
            <w:r w:rsidDel="00000000" w:rsidR="00000000" w:rsidRPr="00000000">
              <w:rPr>
                <w:rFonts w:ascii="Arial" w:cs="Arial" w:eastAsia="Arial" w:hAnsi="Arial"/>
                <w:sz w:val="18"/>
                <w:szCs w:val="18"/>
                <w:rtl w:val="0"/>
              </w:rPr>
              <w:t xml:space="preserve">Geométrica, alta legibilidad.</w:t>
            </w:r>
            <w:r w:rsidDel="00000000" w:rsidR="00000000" w:rsidRPr="00000000">
              <w:rPr>
                <w:rtl w:val="0"/>
              </w:rPr>
            </w:r>
          </w:p>
        </w:tc>
      </w:tr>
    </w:tbl>
    <w:p w:rsidR="00000000" w:rsidDel="00000000" w:rsidP="00000000" w:rsidRDefault="00000000" w:rsidRPr="00000000" w14:paraId="00000141">
      <w:pPr>
        <w:spacing w:after="4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rPr>
          <w:b w:val="0"/>
          <w:bCs w:val="0"/>
          <w:i w:val="0"/>
          <w:iCs w:val="0"/>
          <w:rtl w:val="0"/>
        </w:rPr>
        <w:t xml:space="preserve">Jerarquía para documentos: Título de documento 24-28 pt bold · Capítulo (H1) 18-20 pt bold · Sección (H2) 14-16 pt bold · Subsección (H3) 12-13 pt bold · Cuerpo 11 pt regular · Pie/disclaimer 9-10 pt regular.</w:t>
      </w: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4.5 Reglas de Diseño para Software y Web Nativos de Aegis</w:t>
      </w:r>
    </w:p>
    <w:p w:rsidR="00000000" w:rsidDel="00000000" w:rsidP="00000000" w:rsidRDefault="00000000" w:rsidRPr="00000000" w14:paraId="00000144">
      <w:pPr>
        <w:rPr/>
      </w:pPr>
      <w:r w:rsidDel="00000000" w:rsidR="00000000" w:rsidRPr="00000000">
        <w:rPr>
          <w:b w:val="0"/>
          <w:bCs w:val="0"/>
          <w:i w:val="0"/>
          <w:iCs w:val="0"/>
          <w:rtl w:val="0"/>
        </w:rPr>
        <w:t xml:space="preserve">Directrices semánticas para que cualquier IA o desarrollador construya interfaces que se sientan 100% Aegis: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Coherencia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 sistema visual del software y la web es la implementación digital de esta marca: la web aplica la marca, no la inventa;</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Color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predominio del azul corporativo; verde y rojo solo en estados funcionales (éxito y alerta);</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Logo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logo sin alteraciones (no estirar, rotar, agregar sombras ni gradientes); área de respeto equivalente a la altura de la «A» de «Aegis»;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Compliance visual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 número de inscripción CMF visible en el footer de cada página; disclosures NCG N°50, política de privacidad y derecho de retracto presentes donde corresponda;</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Documentos del sistema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todo PDF generado por el sistema (cotización, póliza, aviso de renovación, liquidación, cierre mensual) respeta esta identidad mediante plantillas de marca.</w:t>
      </w:r>
    </w:p>
    <w:tbl>
      <w:tblPr>
        <w:tblStyle w:val="Table20"/>
        <w:tblW w:w="8640.0" w:type="dxa"/>
        <w:jc w:val="left"/>
        <w:tblInd w:w="-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d5e8f5" w:val="clear"/>
            <w:tcMar>
              <w:top w:w="120.0" w:type="dxa"/>
              <w:left w:w="160.0" w:type="dxa"/>
              <w:bottom w:w="120.0" w:type="dxa"/>
              <w:right w:w="160.0" w:type="dxa"/>
            </w:tcMar>
          </w:tcPr>
          <w:p w:rsidR="00000000" w:rsidDel="00000000" w:rsidP="00000000" w:rsidRDefault="00000000" w:rsidRPr="00000000" w14:paraId="0000014A">
            <w:pPr>
              <w:spacing w:after="0" w:before="0" w:lineRule="auto"/>
              <w:rPr/>
            </w:pPr>
            <w:r w:rsidDel="00000000" w:rsidR="00000000" w:rsidRPr="00000000">
              <w:rPr>
                <w:rFonts w:ascii="Arial" w:cs="Arial" w:eastAsia="Arial" w:hAnsi="Arial"/>
                <w:b w:val="1"/>
                <w:bCs w:val="1"/>
                <w:color w:val="1b3a6b"/>
                <w:sz w:val="21"/>
                <w:szCs w:val="21"/>
                <w:rtl w:val="0"/>
              </w:rPr>
              <w:t xml:space="preserve">🎯 LA COHERENCIA VISUAL ES CONFIANZA</w:t>
            </w:r>
            <w:r w:rsidDel="00000000" w:rsidR="00000000" w:rsidRPr="00000000">
              <w:rPr>
                <w:rtl w:val="0"/>
              </w:rPr>
            </w:r>
          </w:p>
          <w:p w:rsidR="00000000" w:rsidDel="00000000" w:rsidP="00000000" w:rsidRDefault="00000000" w:rsidRPr="00000000" w14:paraId="0000014B">
            <w:pPr>
              <w:spacing w:after="0" w:before="60" w:lineRule="auto"/>
              <w:rPr/>
            </w:pPr>
            <w:r w:rsidDel="00000000" w:rsidR="00000000" w:rsidRPr="00000000">
              <w:rPr>
                <w:rFonts w:ascii="Arial" w:cs="Arial" w:eastAsia="Arial" w:hAnsi="Arial"/>
                <w:sz w:val="20"/>
                <w:szCs w:val="20"/>
                <w:rtl w:val="0"/>
              </w:rPr>
              <w:t xml:space="preserve">Si la corredora no es consistente con su propia marca, un comité percibe inconscientemente desorden y se pregunta cómo será de consistente administrando su seguro. Cada documento, email o pantalla es un voto de confianza por ganar o por perder.</w:t>
            </w:r>
            <w:r w:rsidDel="00000000" w:rsidR="00000000" w:rsidRPr="00000000">
              <w:rPr>
                <w:rtl w:val="0"/>
              </w:rPr>
            </w:r>
          </w:p>
        </w:tc>
      </w:tr>
    </w:tbl>
    <w:p w:rsidR="00000000" w:rsidDel="00000000" w:rsidP="00000000" w:rsidRDefault="00000000" w:rsidRPr="00000000" w14:paraId="0000014C">
      <w:pPr>
        <w:spacing w:after="40" w:lineRule="auto"/>
        <w:rPr/>
      </w:pPr>
      <w:r w:rsidDel="00000000" w:rsidR="00000000" w:rsidRPr="00000000">
        <w:rPr>
          <w:rtl w:val="0"/>
        </w:rPr>
      </w:r>
    </w:p>
    <w:p w:rsidR="00000000" w:rsidDel="00000000" w:rsidP="00000000" w:rsidRDefault="00000000" w:rsidRPr="00000000" w14:paraId="0000014D">
      <w:pPr>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rPr/>
      </w:pPr>
      <w:r w:rsidDel="00000000" w:rsidR="00000000" w:rsidRPr="00000000">
        <w:rPr>
          <w:rtl w:val="0"/>
        </w:rPr>
        <w:t xml:space="preserve">Control del Documento</w:t>
      </w:r>
    </w:p>
    <w:p w:rsidR="00000000" w:rsidDel="00000000" w:rsidP="00000000" w:rsidRDefault="00000000" w:rsidRPr="00000000" w14:paraId="0000014F">
      <w:pPr>
        <w:rPr/>
      </w:pPr>
      <w:r w:rsidDel="00000000" w:rsidR="00000000" w:rsidRPr="00000000">
        <w:rPr>
          <w:b w:val="0"/>
          <w:bCs w:val="0"/>
          <w:i w:val="0"/>
          <w:iCs w:val="0"/>
          <w:rtl w:val="0"/>
        </w:rPr>
        <w:t xml:space="preserve">Este es el documento fundacional (v1.0) del marco inmutable de Seguros Aegis. Consolida y reemplaza todo material corporativo previo. Cualquier modificación futura debe registrarse y validarse contra la coherencia global del marco antes de su adopción.</w:t>
      </w:r>
      <w:r w:rsidDel="00000000" w:rsidR="00000000" w:rsidRPr="00000000">
        <w:rPr>
          <w:rtl w:val="0"/>
        </w:rPr>
      </w:r>
    </w:p>
    <w:tbl>
      <w:tblPr>
        <w:tblStyle w:val="Table2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b3a6b" w:val="clear"/>
            <w:tcMar>
              <w:top w:w="60.0" w:type="dxa"/>
              <w:left w:w="110.0" w:type="dxa"/>
              <w:bottom w:w="60.0" w:type="dxa"/>
              <w:right w:w="110.0" w:type="dxa"/>
            </w:tcMar>
          </w:tcPr>
          <w:p w:rsidR="00000000" w:rsidDel="00000000" w:rsidP="00000000" w:rsidRDefault="00000000" w:rsidRPr="00000000" w14:paraId="00000150">
            <w:pPr>
              <w:spacing w:after="0" w:before="0" w:lineRule="auto"/>
              <w:rPr/>
            </w:pPr>
            <w:r w:rsidDel="00000000" w:rsidR="00000000" w:rsidRPr="00000000">
              <w:rPr>
                <w:rFonts w:ascii="Arial" w:cs="Arial" w:eastAsia="Arial" w:hAnsi="Arial"/>
                <w:b w:val="1"/>
                <w:bCs w:val="1"/>
                <w:color w:val="ffffff"/>
                <w:sz w:val="18"/>
                <w:szCs w:val="18"/>
                <w:rtl w:val="0"/>
              </w:rPr>
              <w:t xml:space="preserve">Versión</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b w:val="1"/>
                <w:bCs w:val="1"/>
                <w:color w:val="ffffff"/>
                <w:sz w:val="18"/>
                <w:szCs w:val="18"/>
                <w:rtl w:val="0"/>
              </w:rPr>
              <w:t xml:space="preserve">Fecha</w:t>
            </w:r>
            <w:r w:rsidDel="00000000" w:rsidR="00000000" w:rsidRPr="00000000">
              <w:rPr>
                <w:rtl w:val="0"/>
              </w:rPr>
            </w:r>
          </w:p>
        </w:tc>
        <w:tc>
          <w:tcPr>
            <w:shd w:fill="1b3a6b" w:val="clear"/>
            <w:tcMar>
              <w:top w:w="60.0" w:type="dxa"/>
              <w:left w:w="110.0" w:type="dxa"/>
              <w:bottom w:w="60.0" w:type="dxa"/>
              <w:right w:w="110.0" w:type="dxa"/>
            </w:tcMar>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b w:val="1"/>
                <w:bCs w:val="1"/>
                <w:color w:val="ffffff"/>
                <w:sz w:val="18"/>
                <w:szCs w:val="18"/>
                <w:rtl w:val="0"/>
              </w:rPr>
              <w:t xml:space="preserve">Naturaleza</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53">
            <w:pPr>
              <w:spacing w:after="0" w:before="0" w:lineRule="auto"/>
              <w:rPr/>
            </w:pPr>
            <w:r w:rsidDel="00000000" w:rsidR="00000000" w:rsidRPr="00000000">
              <w:rPr>
                <w:rFonts w:ascii="Arial" w:cs="Arial" w:eastAsia="Arial" w:hAnsi="Arial"/>
                <w:b w:val="1"/>
                <w:bCs w:val="1"/>
                <w:sz w:val="18"/>
                <w:szCs w:val="18"/>
                <w:rtl w:val="0"/>
              </w:rPr>
              <w:t xml:space="preserve">1.0</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4">
            <w:pPr>
              <w:spacing w:after="0" w:before="0" w:lineRule="auto"/>
              <w:rPr/>
            </w:pPr>
            <w:r w:rsidDel="00000000" w:rsidR="00000000" w:rsidRPr="00000000">
              <w:rPr>
                <w:rFonts w:ascii="Arial" w:cs="Arial" w:eastAsia="Arial" w:hAnsi="Arial"/>
                <w:sz w:val="18"/>
                <w:szCs w:val="18"/>
                <w:rtl w:val="0"/>
              </w:rPr>
              <w:t xml:space="preserve">Mayo 2026</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sz w:val="18"/>
                <w:szCs w:val="18"/>
                <w:rtl w:val="0"/>
              </w:rPr>
              <w:t xml:space="preserve">Documento fundacional. Consolidación y overhaul metodológico del universo documental Aegis bajo la máxima Precio/Cobertura.</w:t>
            </w:r>
            <w:r w:rsidDel="00000000" w:rsidR="00000000" w:rsidRPr="00000000">
              <w:rPr>
                <w:rtl w:val="0"/>
              </w:rPr>
            </w:r>
          </w:p>
        </w:tc>
      </w:tr>
    </w:tbl>
    <w:p w:rsidR="00000000" w:rsidDel="00000000" w:rsidP="00000000" w:rsidRDefault="00000000" w:rsidRPr="00000000" w14:paraId="00000156">
      <w:pPr>
        <w:spacing w:after="40" w:lineRule="auto"/>
        <w:rPr/>
      </w:pPr>
      <w:r w:rsidDel="00000000" w:rsidR="00000000" w:rsidRPr="00000000">
        <w:rPr>
          <w:rtl w:val="0"/>
        </w:rPr>
      </w:r>
    </w:p>
    <w:sectPr>
      <w:foot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SEGUROS AEGIS · Aegis Corporate OS · v1.0 · Confidencial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Arial" w:cs="Arial" w:eastAsia="Arial" w:hAnsi="Arial"/>
      <w:b w:val="1"/>
      <w:bCs w:val="1"/>
      <w:color w:val="1b3a6b"/>
      <w:sz w:val="32"/>
      <w:szCs w:val="32"/>
    </w:rPr>
  </w:style>
  <w:style w:type="paragraph" w:styleId="Heading2">
    <w:name w:val="heading 2"/>
    <w:basedOn w:val="Normal"/>
    <w:next w:val="Normal"/>
    <w:pPr>
      <w:keepNext w:val="1"/>
      <w:keepLines w:val="1"/>
      <w:spacing w:after="100" w:before="220" w:lineRule="auto"/>
    </w:pPr>
    <w:rPr>
      <w:rFonts w:ascii="Arial" w:cs="Arial" w:eastAsia="Arial" w:hAnsi="Arial"/>
      <w:b w:val="1"/>
      <w:bCs w:val="1"/>
      <w:color w:val="2e5f9e"/>
      <w:sz w:val="26"/>
      <w:szCs w:val="26"/>
    </w:rPr>
  </w:style>
  <w:style w:type="paragraph" w:styleId="Heading3">
    <w:name w:val="heading 3"/>
    <w:basedOn w:val="Normal"/>
    <w:next w:val="Normal"/>
    <w:pPr>
      <w:keepNext w:val="1"/>
      <w:keepLines w:val="1"/>
      <w:spacing w:after="60" w:before="160" w:lineRule="auto"/>
    </w:pPr>
    <w:rPr>
      <w:rFonts w:ascii="Arial" w:cs="Arial" w:eastAsia="Arial" w:hAnsi="Arial"/>
      <w:b w:val="1"/>
      <w:bCs w:val="1"/>
      <w:color w:val="1b3a6b"/>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