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6A748E29"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depends </w:t>
      </w:r>
      <w:r w:rsidR="00447B0E">
        <w:t xml:space="preserve">in large part </w:t>
      </w:r>
      <w:r>
        <w:t xml:space="preserve">on how efficiently it can connect </w:t>
      </w:r>
      <w:r w:rsidR="00447B0E">
        <w:t>job opportunities and workers to each other through economic, social, physical and intellectual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and transportation strategies can </w:t>
      </w:r>
      <w:r w:rsidR="005F7572">
        <w:t xml:space="preserve">facilitate </w:t>
      </w:r>
      <w:r w:rsidR="001C53A8">
        <w:t xml:space="preserve">this </w:t>
      </w:r>
      <w:r w:rsidR="005F7572">
        <w:t>by</w:t>
      </w:r>
      <w:r w:rsidR="00AA3032">
        <w:t xml:space="preserve"> </w:t>
      </w:r>
      <w:r w:rsidR="006C3E9F">
        <w:t xml:space="preserve">optimising </w:t>
      </w:r>
      <w:r w:rsidR="00AA3032">
        <w:t xml:space="preserve">the spatial distribution of residents and </w:t>
      </w:r>
      <w:r w:rsidR="00447B0E">
        <w:t>job opportunities</w:t>
      </w:r>
      <w:r w:rsidR="00AA3032">
        <w:t xml:space="preserve">, relative to the connectivity provided by the transport network, so </w:t>
      </w:r>
      <w:r w:rsidR="005F7572">
        <w:t xml:space="preserve">that the available transportation capacity can be used most efficiently </w:t>
      </w:r>
      <w:r w:rsidR="00AA3032">
        <w:t xml:space="preserve">to maximise the ability of </w:t>
      </w:r>
      <w:r w:rsidR="00447B0E">
        <w:t xml:space="preserve">workers </w:t>
      </w:r>
      <w:r w:rsidR="00AA3032">
        <w:t xml:space="preserve">to access the </w:t>
      </w:r>
      <w:r w:rsidR="00447B0E">
        <w:t xml:space="preserve">jobs </w:t>
      </w:r>
      <w:r w:rsidR="001C53A8">
        <w:t xml:space="preserve">that </w:t>
      </w:r>
      <w:r w:rsidR="00AA3032">
        <w:t xml:space="preserve">they </w:t>
      </w:r>
      <w:r w:rsidR="00447B0E">
        <w:t>seek</w:t>
      </w:r>
      <w:r w:rsidR="005F7572">
        <w:t>.</w:t>
      </w:r>
    </w:p>
    <w:p w14:paraId="2B54062C" w14:textId="2265D547" w:rsidR="005F7572" w:rsidRDefault="005F7572" w:rsidP="00FE2BCF">
      <w:pPr>
        <w:pStyle w:val="NoSpacing"/>
        <w:spacing w:line="480" w:lineRule="auto"/>
        <w:ind w:firstLine="567"/>
        <w:jc w:val="both"/>
      </w:pPr>
      <w:r>
        <w:t xml:space="preserve">To </w:t>
      </w:r>
      <w:r w:rsidR="006C3E9F">
        <w:t>support this</w:t>
      </w:r>
      <w:r>
        <w:t xml:space="preserve">, </w:t>
      </w:r>
      <w:r w:rsidR="006C3E9F">
        <w:t xml:space="preserve">methodologies are needed </w:t>
      </w:r>
      <w:r>
        <w:t xml:space="preserve">to analyse </w:t>
      </w:r>
      <w:r w:rsidR="00DA5EDD">
        <w:t xml:space="preserve">macro-scale </w:t>
      </w:r>
      <w:r w:rsidR="006C3E9F">
        <w:t xml:space="preserve">patterns in the distribution </w:t>
      </w:r>
      <w:r>
        <w:t xml:space="preserve">of </w:t>
      </w:r>
      <w:r w:rsidR="00447B0E">
        <w:t xml:space="preserve">job </w:t>
      </w:r>
      <w:r>
        <w:t xml:space="preserve">accessibility (defined as </w:t>
      </w:r>
      <w:r w:rsidR="006C3E9F">
        <w:t xml:space="preserve">residents’ </w:t>
      </w:r>
      <w:r>
        <w:t xml:space="preserve">ability to reach suitable </w:t>
      </w:r>
      <w:r w:rsidR="00447B0E">
        <w:t xml:space="preserve">job </w:t>
      </w:r>
      <w:r>
        <w:t>opportunities within a reasonable travel time or cost via the transport network)</w:t>
      </w:r>
      <w:sdt>
        <w:sdtPr>
          <w:id w:val="-1218584704"/>
          <w:citation/>
        </w:sdtPr>
        <w:sdtContent>
          <w:r>
            <w:fldChar w:fldCharType="begin"/>
          </w:r>
          <w:r>
            <w:instrText xml:space="preserve"> CITATION Hansen1959 \l 18441 </w:instrText>
          </w:r>
          <w:r>
            <w:fldChar w:fldCharType="separate"/>
          </w:r>
          <w:r>
            <w:rPr>
              <w:noProof/>
            </w:rPr>
            <w:t xml:space="preserve"> </w:t>
          </w:r>
          <w:r w:rsidRPr="007665BA">
            <w:rPr>
              <w:noProof/>
            </w:rPr>
            <w:t>(Hansen, 1959)</w:t>
          </w:r>
          <w:r>
            <w:fldChar w:fldCharType="end"/>
          </w:r>
        </w:sdtContent>
      </w:sdt>
      <w:r>
        <w:t>.  In the transportation research and urban planning literature, a wide range of accessibility indicators have been developed</w:t>
      </w:r>
      <w:r w:rsidR="00DA5EDD">
        <w:t>, but the measures that are used in practice tend to be those that are easiest to calculate and interpret</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rsidR="00DA5EDD">
        <w:t xml:space="preserve">this ease of use comes at a cost, as </w:t>
      </w:r>
      <w:r w:rsidR="006C3E9F">
        <w:t>the</w:t>
      </w:r>
      <w:r w:rsidR="00DA5EDD">
        <w:t>se indicators</w:t>
      </w:r>
      <w:r w:rsidR="006C3E9F">
        <w:t xml:space="preserve"> focus on the extent to which the </w:t>
      </w:r>
      <w:r w:rsidR="00144656">
        <w:t xml:space="preserve">overall </w:t>
      </w:r>
      <w:r w:rsidR="00447B0E">
        <w:t xml:space="preserve">job </w:t>
      </w:r>
      <w:r w:rsidR="006C3E9F">
        <w:t xml:space="preserve">supply is </w:t>
      </w:r>
      <w:proofErr w:type="spellStart"/>
      <w:r w:rsidR="006C3E9F">
        <w:t>spatio</w:t>
      </w:r>
      <w:proofErr w:type="spellEnd"/>
      <w:r w:rsidR="006C3E9F">
        <w:t xml:space="preserve">-temporally </w:t>
      </w:r>
      <w:r w:rsidR="00447B0E">
        <w:t>match</w:t>
      </w:r>
      <w:r w:rsidR="006C3E9F">
        <w:t xml:space="preserve">ed to </w:t>
      </w:r>
      <w:r w:rsidR="001C53A8">
        <w:t xml:space="preserve">the overall spatial distribution of workers’ residential locations, without accounting for </w:t>
      </w:r>
      <w:r w:rsidR="00144656">
        <w:t xml:space="preserve">worker characteristics (different workers may have different abilities to use the transport options available or to take advantage of the jobs that they can physically access), </w:t>
      </w:r>
      <w:r w:rsidR="00DA5EDD">
        <w:t xml:space="preserve">job </w:t>
      </w:r>
      <w:r w:rsidR="001C53A8">
        <w:t xml:space="preserve">characteristics </w:t>
      </w:r>
      <w:r w:rsidR="0010630F">
        <w:t>(</w:t>
      </w:r>
      <w:r w:rsidR="00144656">
        <w:t>such as required skills or reliance on certain economic sectors</w:t>
      </w:r>
      <w:r w:rsidR="0010630F">
        <w:t xml:space="preserve">) </w:t>
      </w:r>
      <w:r w:rsidR="006C3E9F">
        <w:t xml:space="preserve">and </w:t>
      </w:r>
      <w:r w:rsidR="0010630F">
        <w:t xml:space="preserve">travel time </w:t>
      </w:r>
      <w:r w:rsidR="00F820D8">
        <w:t>reliability</w:t>
      </w:r>
      <w:r w:rsidR="0010630F">
        <w:t xml:space="preserve"> (travellers need to account for a certain level of uncertainty in travel times on any given day)</w:t>
      </w:r>
      <w:r w:rsidR="006C3E9F">
        <w:t>.</w:t>
      </w:r>
    </w:p>
    <w:p w14:paraId="064DE44F" w14:textId="056BB788" w:rsidR="00DA5EDD" w:rsidRDefault="00DA5EDD" w:rsidP="00FE2BCF">
      <w:pPr>
        <w:pStyle w:val="NoSpacing"/>
        <w:spacing w:line="480" w:lineRule="auto"/>
        <w:ind w:firstLine="567"/>
        <w:jc w:val="both"/>
      </w:pPr>
      <w:r>
        <w:t xml:space="preserve">This study demonstrates how these </w:t>
      </w:r>
      <w:r w:rsidR="00144656">
        <w:t xml:space="preserve">three </w:t>
      </w:r>
      <w:r>
        <w:t xml:space="preserve">dimensions can be integrated with accessibility analyses in a way that preserves the attractive simplicity of the accessibility indicators while allowing a more nuanced interpretation of the distribution of accessibility among the working-age population.  </w:t>
      </w:r>
      <w:r w:rsidR="001C53A8">
        <w:t xml:space="preserve">Focusing on London, </w:t>
      </w:r>
      <w:r>
        <w:t>I develop a typology of neighbourhoods that categorise</w:t>
      </w:r>
      <w:r w:rsidR="00144656">
        <w:t>s</w:t>
      </w:r>
      <w:r>
        <w:t xml:space="preserve"> them by </w:t>
      </w:r>
      <w:r w:rsidR="00144656">
        <w:t xml:space="preserve">overall accessibility to jobs, the relative social disadvantage of their working-age population, the sectoral diversity of the available jobs and travel time </w:t>
      </w:r>
      <w:r w:rsidR="00F820D8">
        <w:t>reliability</w:t>
      </w:r>
      <w:r w:rsidR="00144656">
        <w:t xml:space="preserve">.  In addition to providing insights into how the </w:t>
      </w:r>
      <w:r w:rsidR="00144656">
        <w:lastRenderedPageBreak/>
        <w:t xml:space="preserve">large-scale spatial structure of London could be adjusted to improve job-worker </w:t>
      </w:r>
      <w:proofErr w:type="spellStart"/>
      <w:r w:rsidR="00144656">
        <w:t>spatio</w:t>
      </w:r>
      <w:proofErr w:type="spellEnd"/>
      <w:r w:rsidR="00144656">
        <w:t xml:space="preserve">-temporal matching, the results can also provide guidance for where to focus measures that </w:t>
      </w:r>
      <w:r w:rsidR="001C53A8">
        <w:t>support workers, encourage job growth in certain sectors</w:t>
      </w:r>
      <w:r w:rsidR="00144656">
        <w:t xml:space="preserve"> and </w:t>
      </w:r>
      <w:r w:rsidR="001C53A8">
        <w:t xml:space="preserve">improve </w:t>
      </w:r>
      <w:r w:rsidR="00144656">
        <w:t xml:space="preserve">public transport reliability, thus allowing for </w:t>
      </w:r>
      <w:r w:rsidR="001C53A8">
        <w:t>closer coordination between land-use, transport, economic and social strategies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57A5EC2D" w:rsidR="0010043D" w:rsidRDefault="004E69E5" w:rsidP="001C53A8">
      <w:pPr>
        <w:pStyle w:val="NoSpacing"/>
        <w:spacing w:line="480" w:lineRule="auto"/>
        <w:ind w:firstLine="567"/>
        <w:jc w:val="both"/>
      </w:pPr>
      <w:r>
        <w:t xml:space="preserve">Because of the importance of accessibility in understanding how cities function, researchers have </w:t>
      </w:r>
      <w:r w:rsidR="00BC75B9">
        <w:t>developed</w:t>
      </w:r>
      <w:r>
        <w:t xml:space="preserve"> </w:t>
      </w:r>
      <w:r w:rsidR="001C53A8">
        <w:t>a wide range of accessibility indicators</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t xml:space="preserve">Of these, </w:t>
      </w:r>
      <w:r w:rsidR="001C53A8">
        <w:t>“</w:t>
      </w:r>
      <w:r>
        <w:t>l</w:t>
      </w:r>
      <w:r w:rsidR="001C53A8">
        <w:t>ocation-based” measures</w:t>
      </w:r>
      <w:r w:rsidR="001C0A93">
        <w:t xml:space="preserve"> </w:t>
      </w:r>
      <w:r w:rsidR="001C0A93">
        <w:t>are widely 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patterns in the distribution of accessibility</w:t>
      </w:r>
      <w:sdt>
        <w:sdtPr>
          <w:id w:val="1708527989"/>
          <w:citation/>
        </w:sdtPr>
        <w:sdtContent>
          <w:r w:rsidR="001C53A8">
            <w:fldChar w:fldCharType="begin"/>
          </w:r>
          <w:r w:rsidR="001C53A8">
            <w:instrText xml:space="preserve"> CITATION Shen1998 \l 18441  \m sanchez1999 \m Kotavaara_2012 \m El_Geneidy_2016 \m Niehaus2016 \m Guzman2017 \m Guzman_2018 \m Deboosere2018</w:instrText>
          </w:r>
          <w:r w:rsidR="001C53A8">
            <w:fldChar w:fldCharType="separate"/>
          </w:r>
          <w:r w:rsidR="001C53A8">
            <w:rPr>
              <w:noProof/>
            </w:rPr>
            <w:t xml:space="preserve"> </w:t>
          </w:r>
          <w:r w:rsidR="001C53A8" w:rsidRPr="007665BA">
            <w:rPr>
              <w:noProof/>
            </w:rPr>
            <w:t>(Shen, 1998; Sanchez, 1999; Kotavaara, et al., 2012; El-Geneidy, et al., 2016; Neihaus, et al., 2016; Guzman, et al., 2017; Guzman &amp; Oviedo, 2018; Deboosere &amp; El-Geneidy, 2018)</w:t>
          </w:r>
          <w:r w:rsidR="001C53A8">
            <w:fldChar w:fldCharType="end"/>
          </w:r>
        </w:sdtContent>
      </w:sdt>
      <w:r w:rsidR="001C53A8">
        <w:t>.</w:t>
      </w:r>
      <w:r w:rsidR="0010043D">
        <w:t xml:space="preserve">  </w:t>
      </w:r>
      <w:r w:rsidR="001C0A93">
        <w:t xml:space="preserve">In general, analyses using location-based measures </w:t>
      </w:r>
      <w:r w:rsidR="0010043D">
        <w:t xml:space="preserve">show that accessibility levels vary widely </w:t>
      </w:r>
      <w:r w:rsidR="001C0A93">
        <w:t>within cities</w:t>
      </w:r>
      <w:r w:rsidR="0010043D">
        <w:t xml:space="preserve">, largely </w:t>
      </w:r>
      <w:r w:rsidR="001C0A93">
        <w:t xml:space="preserve">because job distributions tend to be highly clustered, </w:t>
      </w:r>
      <w:r w:rsidR="0010043D">
        <w:t xml:space="preserve">and transport connectivity </w:t>
      </w:r>
      <w:r w:rsidR="001C0A93">
        <w:t xml:space="preserve">is unevenly provided </w:t>
      </w:r>
      <w:r w:rsidR="0010043D">
        <w:t>(areas with higher density tend to be better connected with faster, higher-capacity transport links)</w:t>
      </w:r>
      <w:r w:rsidR="0010043D">
        <w:t>.</w:t>
      </w:r>
    </w:p>
    <w:p w14:paraId="1EB6016C" w14:textId="2884081E" w:rsidR="001C53A8" w:rsidRDefault="001C0A93" w:rsidP="00FE2BCF">
      <w:pPr>
        <w:pStyle w:val="NoSpacing"/>
        <w:spacing w:line="480" w:lineRule="auto"/>
        <w:ind w:firstLine="567"/>
        <w:jc w:val="both"/>
      </w:pPr>
      <w:r>
        <w:t>It is widely recognised that one drawback of location-based accessibility indicators is that they match workers to jobs as if every worker and every job were interchangeable.  To capture how accessibility levels vary across different types of workers and jobs</w:t>
      </w:r>
      <w:r w:rsidR="00BB0DA1">
        <w:t>, some studies calculate accessibility indicators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xml:space="preserve">, while others examine how accessibility levels vary </w:t>
      </w:r>
      <w:r w:rsidR="00F16B08">
        <w:t xml:space="preserve">by </w:t>
      </w:r>
      <w:r w:rsidR="00BB0DA1">
        <w:t>area</w:t>
      </w:r>
      <w:r w:rsidR="00F16B08">
        <w:t>-level</w:t>
      </w:r>
      <w:r w:rsidR="00BB0DA1">
        <w:t xml:space="preserve"> indicators of social disadvantage (such as neighbourhood average income, or an index measuring neighbourhood residents’ deprivation levels along multiple dimensions)</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t>
      </w:r>
      <w:r w:rsidR="00E97F74">
        <w:lastRenderedPageBreak/>
        <w:t>where more disadvantaged residents are burdened with poorer accessibility to jobs, though this seems to be a more systematic problem in poorer cities with less extensive public transport systems.</w:t>
      </w:r>
    </w:p>
    <w:p w14:paraId="6C383412" w14:textId="65BECA63" w:rsidR="00F16B08" w:rsidRDefault="00F16B08" w:rsidP="00F16B08">
      <w:pPr>
        <w:pStyle w:val="NoSpacing"/>
        <w:spacing w:line="480" w:lineRule="auto"/>
        <w:ind w:firstLine="567"/>
        <w:jc w:val="both"/>
      </w:pPr>
      <w:r>
        <w:t xml:space="preserve">In the context of London, </w:t>
      </w:r>
      <w:r>
        <w:t xml:space="preserve">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accessibility varies across different types of workers and jobs.  Nonetheless, </w:t>
      </w:r>
      <w:r>
        <w:t xml:space="preserve">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w:t>
      </w:r>
      <w:r>
        <w:t xml:space="preserve"> as well as other services like</w:t>
      </w:r>
      <w:r>
        <w:t xml:space="preserv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62C7C01F" w:rsidR="00F820D8" w:rsidRDefault="00F820D8" w:rsidP="00FE2BCF">
      <w:pPr>
        <w:pStyle w:val="NoSpacing"/>
        <w:spacing w:line="480" w:lineRule="auto"/>
        <w:ind w:firstLine="567"/>
        <w:jc w:val="both"/>
      </w:pPr>
      <w:r>
        <w:t xml:space="preserve">Researchers have also increasingly recognised that the spatial distributions of </w:t>
      </w:r>
      <w:r>
        <w:t xml:space="preserve">workers, jobs and connectivity </w:t>
      </w:r>
      <w:r>
        <w:t>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3 variables over a typical day and calculated accessibility measurements for each area at each time point.  However, the extant studies calculate accessibility based on “typical” (mean or ideal) values of these variables at each time point, without accounting for </w:t>
      </w:r>
      <w:r>
        <w:t xml:space="preserve">the stochastic distribution of possible values </w:t>
      </w:r>
      <w:r>
        <w:t>around the typical values.</w:t>
      </w:r>
      <w:r>
        <w:t xml:space="preserve">  </w:t>
      </w:r>
      <w:r w:rsidR="00E90C4E">
        <w:t>In particular, for travel times</w:t>
      </w:r>
      <w:r>
        <w:t xml:space="preserve">, while these studies account for large-scale variations </w:t>
      </w:r>
      <w:r w:rsidR="00E90C4E">
        <w:t>due to differences in service schedules over different parts of the day</w:t>
      </w:r>
      <w:r>
        <w:t xml:space="preserve">, they do not capture the </w:t>
      </w:r>
      <w:r w:rsidR="00E90C4E">
        <w:t>concept of reliability in that there is still a margin of uncertainty in travel times even if all components of the transport system are functioning as planned</w:t>
      </w:r>
      <w:r>
        <w:t>.</w:t>
      </w:r>
    </w:p>
    <w:p w14:paraId="63FF03D5" w14:textId="013EA253" w:rsidR="00E97F74" w:rsidRDefault="00F820D8" w:rsidP="00FE2BCF">
      <w:pPr>
        <w:pStyle w:val="NoSpacing"/>
        <w:spacing w:line="480" w:lineRule="auto"/>
        <w:ind w:firstLine="567"/>
        <w:jc w:val="both"/>
      </w:pPr>
      <w:r>
        <w:t>Methodological innovations in this direction have been hindered by a scarcity of d</w:t>
      </w:r>
      <w:r w:rsidR="00402BD7">
        <w:t xml:space="preserve">ata on </w:t>
      </w:r>
      <w:r>
        <w:t>the shapes of the stochastic distributions</w:t>
      </w:r>
      <w:r w:rsidR="00E90C4E">
        <w:t xml:space="preserve"> of travel times at the level of each trip</w:t>
      </w:r>
      <w:r>
        <w:t xml:space="preserve">.  </w:t>
      </w:r>
      <w:r w:rsidR="00E90C4E">
        <w:t xml:space="preserve">Such data </w:t>
      </w:r>
      <w:r w:rsidR="00402BD7">
        <w:t xml:space="preserve">has historically been </w:t>
      </w:r>
      <w:r w:rsidR="00F16B08">
        <w:t xml:space="preserve">collected through 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402BD7">
        <w:t>.</w:t>
      </w:r>
      <w:r w:rsidR="00F16B08">
        <w:t xml:space="preserve">  This </w:t>
      </w:r>
      <w:r w:rsidR="00E90C4E">
        <w:t xml:space="preserve">is </w:t>
      </w:r>
      <w:r w:rsidR="00F16B08">
        <w:t xml:space="preserve">expensive and </w:t>
      </w:r>
      <w:r w:rsidR="00F16B08">
        <w:lastRenderedPageBreak/>
        <w:t>labour-intensive, and limited the availability of travel time variability data to only a few origin-destination pairs and a few repeated observations.</w:t>
      </w:r>
      <w:r w:rsidR="00402BD7">
        <w:t xml:space="preserve">  However, recent advances in big data collection and dissemination in public transport systems, such as through systems for automatic fare collection, automatic vehicle location and real-time trip planning, have overcome this scarcity and allowed for new measures of travel time variability to be developed and applied at a large scale</w:t>
      </w:r>
      <w:r w:rsidR="00E90C4E">
        <w:t xml:space="preserve"> (+ citation)</w:t>
      </w:r>
      <w:r w:rsidR="00402BD7">
        <w:t xml:space="preserve">.  </w:t>
      </w:r>
      <w:proofErr w:type="gramStart"/>
      <w:r w:rsidR="00402BD7">
        <w:t xml:space="preserve">In particular, </w:t>
      </w:r>
      <w:proofErr w:type="spellStart"/>
      <w:r w:rsidR="00402BD7">
        <w:t>Uniman</w:t>
      </w:r>
      <w:proofErr w:type="spellEnd"/>
      <w:proofErr w:type="gramEnd"/>
      <w:r w:rsidR="00402BD7">
        <w:t xml:space="preserve"> et al (+ citation) have used fare collection data from London’s Oyster Card system to </w:t>
      </w:r>
      <w:r>
        <w:t xml:space="preserve">reveal </w:t>
      </w:r>
      <w:r w:rsidR="00402BD7">
        <w:t>the distribution of travel times for trips actually performed on the Underground network</w:t>
      </w:r>
      <w:r>
        <w:t xml:space="preserve">.  </w:t>
      </w:r>
      <w:proofErr w:type="gramStart"/>
      <w:r>
        <w:t>On the basis of</w:t>
      </w:r>
      <w:proofErr w:type="gramEnd"/>
      <w:r>
        <w:t xml:space="preserve"> this, they define </w:t>
      </w:r>
      <w:r w:rsidR="00402BD7">
        <w:t xml:space="preserve">the Reliability Buffer Time (RBT) as a measure of travel time </w:t>
      </w:r>
      <w:r>
        <w:t>reliability</w:t>
      </w:r>
      <w:r w:rsidR="00402BD7">
        <w:t>.  Simply put, the RBT is the difference between the 95</w:t>
      </w:r>
      <w:r w:rsidR="00402BD7" w:rsidRPr="00402BD7">
        <w:rPr>
          <w:vertAlign w:val="superscript"/>
        </w:rPr>
        <w:t>th</w:t>
      </w:r>
      <w:r w:rsidR="00402BD7">
        <w:t xml:space="preserve"> percentile of travel times (representing an unusually slow trip) and the median travel time (representing a typical trip), and reflects the extra time that a traveller needs to budget into her trip in order to be 95% certain that they will not arrive late on any given day.</w:t>
      </w:r>
    </w:p>
    <w:p w14:paraId="5AE5F2D6" w14:textId="1C3DD38A" w:rsidR="00E90C4E" w:rsidRDefault="00E90C4E" w:rsidP="00FE2BCF">
      <w:pPr>
        <w:pStyle w:val="NoSpacing"/>
        <w:spacing w:line="480" w:lineRule="auto"/>
        <w:ind w:firstLine="567"/>
        <w:jc w:val="both"/>
      </w:pPr>
      <w:r>
        <w:t>This study aims to bring together the methodological innovations in the measurement of accessibility across different subsets of workers and jobs, and in the measurement of travel time reliability, to characterise different neighbourhoods in London by job accessibility, job and worker characteristics and travel time reliability.  In the next section, I present the methodology of this study and the data sources I will use.</w:t>
      </w:r>
    </w:p>
    <w:p w14:paraId="7D006ACE" w14:textId="77777777" w:rsidR="001C53A8" w:rsidRDefault="001C53A8" w:rsidP="00FE2BCF">
      <w:pPr>
        <w:pStyle w:val="NoSpacing"/>
        <w:spacing w:line="480" w:lineRule="auto"/>
        <w:ind w:firstLine="567"/>
        <w:jc w:val="both"/>
      </w:pPr>
    </w:p>
    <w:p w14:paraId="66D07C32" w14:textId="5001F425"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w:t>
      </w:r>
      <w:r>
        <w:lastRenderedPageBreak/>
        <w:t xml:space="preserve">environment.  In this study, I use the IMD data to capture the </w:t>
      </w:r>
      <w:r w:rsidR="006427D2">
        <w:t xml:space="preserve">spatial distribution of </w:t>
      </w:r>
      <w:r>
        <w:t>deprivation</w:t>
      </w:r>
      <w:r w:rsidR="000A7BBD">
        <w:t xml:space="preserve">, and </w:t>
      </w:r>
      <w:r w:rsidR="006427D2">
        <w:t xml:space="preserve">I </w:t>
      </w:r>
      <w:r w:rsidR="000A7BBD">
        <w:t xml:space="preserve">follow the </w:t>
      </w:r>
      <w:r w:rsidR="008A15BC">
        <w:t>DHCLG guidance to focus on the relative ranking of the areas by IMD index scores, rather than on the raw scores themselves</w:t>
      </w:r>
      <w:r>
        <w:t>.</w:t>
      </w:r>
    </w:p>
    <w:p w14:paraId="348DE492" w14:textId="1444DDF2" w:rsidR="00B635DE" w:rsidRDefault="00B635DE" w:rsidP="008C312A">
      <w:pPr>
        <w:pStyle w:val="NoSpacing"/>
        <w:spacing w:line="480" w:lineRule="auto"/>
        <w:ind w:firstLine="567"/>
        <w:jc w:val="both"/>
      </w:pP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49AEBC39" w:rsidR="005F790A" w:rsidRDefault="005F790A" w:rsidP="005F790A">
      <w:pPr>
        <w:pStyle w:val="NoSpacing"/>
        <w:spacing w:line="480" w:lineRule="auto"/>
        <w:ind w:firstLine="567"/>
        <w:jc w:val="both"/>
      </w:pPr>
      <w:r>
        <w:t>This analysis will focus on accessibility to jobs from 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3FFBA2AB" w14:textId="6D1B9EC7" w:rsidR="0010043D" w:rsidRDefault="005D25AF" w:rsidP="0010043D">
      <w:pPr>
        <w:pStyle w:val="NoSpacing"/>
        <w:spacing w:line="480" w:lineRule="auto"/>
        <w:ind w:firstLine="567"/>
        <w:jc w:val="both"/>
      </w:pPr>
      <w:r>
        <w:t>Location-based accessibility measures are attractive for their ease of calculation and interpretation.  The s</w:t>
      </w:r>
      <w:r w:rsidR="0010043D">
        <w:t>imple</w:t>
      </w:r>
      <w:r>
        <w:t>st</w:t>
      </w:r>
      <w:r w:rsidR="0010043D">
        <w:t xml:space="preserve"> location-based measures report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within a certain travel time.  However, such measures </w:t>
      </w:r>
      <w:r w:rsidR="00E93678">
        <w:t xml:space="preserve">treat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rsidR="0010043D">
        <w:t>.  To address this</w:t>
      </w:r>
      <w:r w:rsidR="00E93678">
        <w:t xml:space="preserve"> theoretical drawback</w:t>
      </w:r>
      <w:r w:rsidR="0010043D">
        <w:t xml:space="preserve">, Shen </w:t>
      </w:r>
      <w:sdt>
        <w:sdtPr>
          <w:id w:val="1019514325"/>
          <w:citation/>
        </w:sdtPr>
        <w:sdtContent>
          <w:r w:rsidR="0010043D">
            <w:fldChar w:fldCharType="begin"/>
          </w:r>
          <w:r w:rsidR="0010043D">
            <w:instrText xml:space="preserve">CITATION Shen1998 \n  \l 18441 </w:instrText>
          </w:r>
          <w:r w:rsidR="0010043D">
            <w:fldChar w:fldCharType="separate"/>
          </w:r>
          <w:r w:rsidR="0010043D" w:rsidRPr="00FA21C6">
            <w:rPr>
              <w:noProof/>
            </w:rPr>
            <w:t>(1998)</w:t>
          </w:r>
          <w:r w:rsidR="0010043D">
            <w:fldChar w:fldCharType="end"/>
          </w:r>
        </w:sdtContent>
      </w:sdt>
      <w:r w:rsidR="0010043D">
        <w:t xml:space="preserve"> first proposed </w:t>
      </w:r>
      <w:r w:rsidR="00E93678">
        <w:t xml:space="preserve">certain adaptations to the </w:t>
      </w:r>
      <w:r w:rsidR="0010043D">
        <w:t xml:space="preserve">measure, which </w:t>
      </w:r>
      <w:r w:rsidR="00E93678">
        <w:t xml:space="preserve">were </w:t>
      </w:r>
      <w:r w:rsidR="0010043D">
        <w:t xml:space="preserve">then further developed in the public health literature </w:t>
      </w:r>
      <w:sdt>
        <w:sdtPr>
          <w:id w:val="-578365048"/>
          <w:citation/>
        </w:sdtPr>
        <w:sdtContent>
          <w:r w:rsidR="0010043D">
            <w:fldChar w:fldCharType="begin"/>
          </w:r>
          <w:r w:rsidR="0010043D">
            <w:instrText xml:space="preserve"> CITATION Luo_2003 \l 18441  \m Luo_2009 \m Wang_2012</w:instrText>
          </w:r>
          <w:r w:rsidR="0010043D">
            <w:fldChar w:fldCharType="separate"/>
          </w:r>
          <w:r w:rsidR="0010043D" w:rsidRPr="002D584E">
            <w:rPr>
              <w:noProof/>
            </w:rPr>
            <w:t>(Luo &amp; Wang, 2003; Luo &amp; Qi, 2009; Wang, 2012)</w:t>
          </w:r>
          <w:r w:rsidR="0010043D">
            <w:fldChar w:fldCharType="end"/>
          </w:r>
        </w:sdtContent>
      </w:sdt>
      <w:r w:rsidR="0010043D">
        <w:t xml:space="preserve"> as the two-stage floating catchment area approach.  This measure expresses accessibility as a ratio of jobs per working-age resident who can reach them (i.e. are within their catchment areas), and is a function of 1) the spatial distribution of the job supply, 2) the spatial distribution of the working-age population, and 3) the connectivity between areas.</w:t>
      </w:r>
    </w:p>
    <w:p w14:paraId="339C40EE" w14:textId="574E0DB4" w:rsidR="0010043D" w:rsidRDefault="0010043D" w:rsidP="0010043D">
      <w:pPr>
        <w:pStyle w:val="NoSpacing"/>
        <w:spacing w:line="480" w:lineRule="auto"/>
        <w:ind w:firstLine="567"/>
        <w:jc w:val="both"/>
      </w:pPr>
      <w:r>
        <w:lastRenderedPageBreak/>
        <w:t xml:space="preserve">An </w:t>
      </w:r>
      <w:r>
        <w:rPr>
          <w:rFonts w:eastAsiaTheme="minorEastAsia"/>
        </w:rPr>
        <w:t xml:space="preserve">important property of this measure is </w:t>
      </w:r>
      <w:r>
        <w:rPr>
          <w:rFonts w:eastAsiaTheme="minorEastAsia"/>
        </w:rPr>
        <w:t xml:space="preserve">that </w:t>
      </w:r>
      <w:r>
        <w:rPr>
          <w:rFonts w:eastAsiaTheme="minorEastAsia"/>
        </w:rPr>
        <w:t xml:space="preserve">it allocates every job exactly once to potential workers in an excludable way (i.e. if </w:t>
      </w:r>
      <w:r w:rsidR="00E93678">
        <w:rPr>
          <w:rFonts w:eastAsiaTheme="minorEastAsia"/>
        </w:rPr>
        <w:t xml:space="preserve">a </w:t>
      </w:r>
      <w:r>
        <w:rPr>
          <w:rFonts w:eastAsiaTheme="minorEastAsia"/>
        </w:rPr>
        <w:t>job</w:t>
      </w:r>
      <w:r w:rsidR="00E93678">
        <w:rPr>
          <w:rFonts w:eastAsiaTheme="minorEastAsia"/>
        </w:rPr>
        <w:t xml:space="preserve"> is allocated to a particular worker</w:t>
      </w:r>
      <w:r>
        <w:rPr>
          <w:rFonts w:eastAsiaTheme="minorEastAsia"/>
        </w:rPr>
        <w:t xml:space="preserve">, that job is no longer available </w:t>
      </w:r>
      <w:r w:rsidR="00E93678">
        <w:rPr>
          <w:rFonts w:eastAsiaTheme="minorEastAsia"/>
        </w:rPr>
        <w:t xml:space="preserve">to </w:t>
      </w:r>
      <w:r>
        <w:rPr>
          <w:rFonts w:eastAsiaTheme="minorEastAsia"/>
        </w:rPr>
        <w:t>other workers), so that there is no double-counting of workers or jobs</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ratio accounts for both connectivity and competition effects: as the number of jobs within an area’s catchment increases, the ratio will increase, but as the number of potential workers who can reach the same catchment (and thus compete for the same jobs) increases, the ratio will decrease.  This property is especially useful for assessing whether the local supply of jobs </w:t>
      </w:r>
      <w:proofErr w:type="gramStart"/>
      <w:r>
        <w:rPr>
          <w:rFonts w:eastAsiaTheme="minorEastAsia"/>
        </w:rPr>
        <w:t>is more or less</w:t>
      </w:r>
      <w:proofErr w:type="gramEnd"/>
      <w:r>
        <w:rPr>
          <w:rFonts w:eastAsiaTheme="minorEastAsia"/>
        </w:rPr>
        <w:t xml:space="preserve"> than what is needed by the local demand, and methods to assess the degree of inequality in distributions such as Lorenz curves can be straightforwardly applied.</w:t>
      </w:r>
    </w:p>
    <w:p w14:paraId="228612C5" w14:textId="0659697A" w:rsidR="00975A95" w:rsidRDefault="00975A95" w:rsidP="005F790A">
      <w:pPr>
        <w:pStyle w:val="NoSpacing"/>
        <w:spacing w:line="480" w:lineRule="auto"/>
        <w:ind w:firstLine="567"/>
        <w:jc w:val="both"/>
      </w:pPr>
      <w:r>
        <w:t>The two-stage floating catchment area method involves 3 components:</w:t>
      </w:r>
    </w:p>
    <w:p w14:paraId="785C893A" w14:textId="09EA0380" w:rsidR="00975A95" w:rsidRDefault="00975A95" w:rsidP="00975A95">
      <w:pPr>
        <w:pStyle w:val="NoSpacing"/>
        <w:numPr>
          <w:ilvl w:val="0"/>
          <w:numId w:val="5"/>
        </w:numPr>
        <w:spacing w:line="480" w:lineRule="auto"/>
        <w:jc w:val="both"/>
      </w:pPr>
      <w:r>
        <w:t>The spatial distribution of jobs,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74F67844"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spellStart"/>
      <w:proofErr w:type="gramStart"/>
      <w:r>
        <w:rPr>
          <w:rFonts w:eastAsiaTheme="minorEastAsia"/>
        </w:rPr>
        <w:t>c</w:t>
      </w:r>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is a</w:t>
      </w:r>
      <w:r w:rsidR="00EA5A90">
        <w:t xml:space="preserve">n </w:t>
      </w:r>
      <w:r>
        <w:t xml:space="preserve">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w:t>
      </w:r>
      <w:r w:rsidR="00CF4017">
        <w:t xml:space="preserve">of travel from </w:t>
      </w:r>
      <w:proofErr w:type="spellStart"/>
      <w:r w:rsidR="00CF4017">
        <w:t>i</w:t>
      </w:r>
      <w:proofErr w:type="spellEnd"/>
      <w:r w:rsidR="00CF4017">
        <w:t xml:space="preserve">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w:lastRenderedPageBreak/>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53D0639D" w:rsidR="00975A95" w:rsidRDefault="00975A95" w:rsidP="00975A95">
      <w:pPr>
        <w:pStyle w:val="NoSpacing"/>
        <w:spacing w:line="480" w:lineRule="auto"/>
        <w:jc w:val="both"/>
      </w:pPr>
      <w:r>
        <w:t xml:space="preserve">where </w:t>
      </w:r>
      <m:oMath>
        <m:r>
          <w:rPr>
            <w:rFonts w:ascii="Cambria Math" w:hAnsi="Cambria Math"/>
          </w:rPr>
          <m:t>C'⋅P</m:t>
        </m:r>
      </m:oMath>
      <w:r>
        <w:rPr>
          <w:rFonts w:eastAsiaTheme="minorEastAsia"/>
        </w:rPr>
        <w:t xml:space="preserve"> gives the weighted sum of the number of clients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within each area’s catchment</w:t>
      </w:r>
      <w:r>
        <w:rPr>
          <w:rFonts w:eastAsiaTheme="minorEastAsia"/>
        </w:rPr>
        <w:t>.</w:t>
      </w:r>
      <w:r w:rsidR="00EA5A90">
        <w:rPr>
          <w:rFonts w:eastAsiaTheme="minorEastAsia"/>
        </w:rPr>
        <w:t xml:space="preserve">  Because the resulting quantities in the matrix </w:t>
      </w:r>
      <w:r w:rsidR="00A904E7">
        <w:rPr>
          <w:rFonts w:eastAsiaTheme="minorEastAsia"/>
        </w:rPr>
        <w:t>R</w:t>
      </w:r>
      <w:r w:rsidR="00EA5A90">
        <w:rPr>
          <w:rFonts w:eastAsiaTheme="minorEastAsia"/>
        </w:rPr>
        <w:t xml:space="preserve"> can be interpreted as ratios allocating jobs within each area’s catchment to working-age residents in a mutually exclusive way, I will term these quantities Job Provision Ratios (JPRs).</w:t>
      </w:r>
    </w:p>
    <w:p w14:paraId="076CFB32" w14:textId="24253F2A"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A918F1F"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EA5A90">
        <w:t xml:space="preserve">define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rsidR="00EA5A90">
        <w:rPr>
          <w:rFonts w:eastAsiaTheme="minorEastAsia"/>
        </w:rPr>
        <w:t xml:space="preserve">to </w:t>
      </w:r>
      <w:r>
        <w:t xml:space="preserve">decrease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r w:rsidR="00EA5A90">
        <w:t xml:space="preserve"> (such as by using power or exponential functions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A5A90">
        <w:t>)</w:t>
      </w:r>
      <w:r>
        <w:t xml:space="preserve">, resulting </w:t>
      </w:r>
      <w:r>
        <w:lastRenderedPageBreak/>
        <w:t xml:space="preserve">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xml:space="preserve">.  However, origin-destination flow data and additional modelling is needed to estimate the </w:t>
      </w:r>
      <w:r w:rsidR="00EA5A90">
        <w:t xml:space="preserve">parameters for the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0744D1F4"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5D2D888C" w14:textId="7C8A5C97"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 xml:space="preserve">researchers have full knowledge of the underlying network data and routing assumptions used </w:t>
      </w:r>
      <w:r>
        <w:lastRenderedPageBreak/>
        <w:t>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630F15E6" w14:textId="752C9496" w:rsidR="00E93678" w:rsidRDefault="00E93678" w:rsidP="00FE2BCF">
      <w:pPr>
        <w:pStyle w:val="NoSpacing"/>
        <w:spacing w:line="480" w:lineRule="auto"/>
        <w:ind w:firstLine="567"/>
        <w:jc w:val="both"/>
      </w:pPr>
      <w:r>
        <w:t xml:space="preserve">An alternative that has become feasible in recent years is to use automated fare collection data to construct the time needed to </w:t>
      </w:r>
      <w:proofErr w:type="gramStart"/>
      <w:r>
        <w:t>actually complete</w:t>
      </w:r>
      <w:proofErr w:type="gramEnd"/>
      <w:r>
        <w:t xml:space="preserve"> trips in the public transport network (+ citation).  This data source is </w:t>
      </w:r>
      <w:r w:rsidR="000143C1">
        <w:t xml:space="preserve">especially promising </w:t>
      </w:r>
      <w:r>
        <w:t xml:space="preserve">because it reflects the full distribution of actual travel behaviours in the transport network.  However, two factors limit its effectiveness in the context of London.  First, </w:t>
      </w:r>
      <w:r w:rsidR="000143C1">
        <w:t>while TfL’s automated fare collection system captures the boarding location of all travellers paying by contactless fare media, the alighting locations of customers using buses are not recorded, and need to be imputed using modelling, which 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p>
    <w:p w14:paraId="731E2F42" w14:textId="3746F2FA" w:rsidR="00DF3A66" w:rsidRDefault="008B6B72" w:rsidP="00FE2BCF">
      <w:pPr>
        <w:pStyle w:val="NoSpacing"/>
        <w:spacing w:line="480" w:lineRule="auto"/>
        <w:ind w:firstLine="567"/>
        <w:jc w:val="both"/>
      </w:pPr>
      <w:r>
        <w:t>In contrast,</w:t>
      </w:r>
      <w:r w:rsidR="001F0E9E">
        <w:t xml:space="preserve"> </w:t>
      </w:r>
      <w:r>
        <w:t xml:space="preserve">I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that pro</w:t>
      </w:r>
      <w:bookmarkStart w:id="0" w:name="_GoBack"/>
      <w:bookmarkEnd w:id="0"/>
      <w:r w:rsidR="00A6668E">
        <w:t xml:space="preserve">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to provide </w:t>
      </w:r>
      <w:r w:rsidR="00BD5A12">
        <w:t>information on travel time variability due to real-time fluctuations in transport service performance</w:t>
      </w:r>
      <w:r w:rsidR="006E7AA6">
        <w:t>.</w:t>
      </w:r>
    </w:p>
    <w:p w14:paraId="7A540128" w14:textId="77777777" w:rsidR="0081540B" w:rsidRDefault="0081540B" w:rsidP="0081540B">
      <w:pPr>
        <w:pStyle w:val="NoSpacing"/>
        <w:spacing w:line="480" w:lineRule="auto"/>
        <w:ind w:firstLine="567"/>
        <w:jc w:val="both"/>
      </w:pPr>
      <w:r>
        <w:t xml:space="preserve">The methodological benefits of using the Journey Planner data are compelling enough to justify its use in this study, but this does impose some constraints on this study’s design.  This is because the </w:t>
      </w:r>
      <w:r>
        <w:lastRenderedPageBreak/>
        <w:t xml:space="preserve">Journey Planner provides information only for trips that do not involve cars or </w:t>
      </w:r>
      <w:proofErr w:type="gramStart"/>
      <w:r>
        <w:t>taxis, and</w:t>
      </w:r>
      <w:proofErr w:type="gramEnd"/>
      <w:r>
        <w:t xml:space="preserve"> is most reliable for trips within the GLA boundary.  As such, my analysis will concentrate only on areas within the GLA boundary and will exclude travel by car or taxi.  Fortunately, 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show that only 37% of trips within the GLA in 2017 used cars or taxis, while 80% of trips within the GLA boundary were by GLA residents.  Nonetheless, I recognise that my results will be distorted by the fact that they omit accessibility by car and taxi, and do not account for trans-boundary effects (that is, the competition effects of the job and labour pools provided by areas outside the GLA boundary).</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1D74DD02" w:rsidR="00B4229E" w:rsidRDefault="00B4229E" w:rsidP="00FE2BCF">
      <w:pPr>
        <w:pStyle w:val="NoSpacing"/>
        <w:numPr>
          <w:ilvl w:val="0"/>
          <w:numId w:val="3"/>
        </w:numPr>
        <w:spacing w:line="480" w:lineRule="auto"/>
        <w:jc w:val="both"/>
      </w:pPr>
      <w:r>
        <w:t xml:space="preserve">The travel options for trips </w:t>
      </w:r>
      <w:r w:rsidR="00F71F14">
        <w:t>from</w:t>
      </w:r>
      <w:r w:rsidR="00F2270D">
        <w:t xml:space="preserve"> </w:t>
      </w:r>
      <w:r w:rsidR="00F71F14">
        <w:t xml:space="preserve">each MSOA’s population-weighted centroid to every MSOA’s job-weighted centroid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w:t>
      </w:r>
      <w:r w:rsidR="009D067B">
        <w:t xml:space="preserve">966,289 origin-destination pairs </w:t>
      </w:r>
      <w:r w:rsidR="00F2270D">
        <w:t xml:space="preserve">for </w:t>
      </w:r>
      <w:r w:rsidR="009D067B">
        <w:t>a typical</w:t>
      </w:r>
      <w:r w:rsidR="00F2270D">
        <w:t xml:space="preserv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collection </w:t>
      </w:r>
      <w:r w:rsidR="009D067B">
        <w:t xml:space="preserve">of this database </w:t>
      </w:r>
      <w:r w:rsidR="00FB6237">
        <w:t xml:space="preserve">occurred </w:t>
      </w:r>
      <w:r w:rsidR="00F2270D">
        <w:t xml:space="preserve">over </w:t>
      </w:r>
      <w:r w:rsidR="002D06D1">
        <w:t>1</w:t>
      </w:r>
      <w:r w:rsidR="00F2270D">
        <w:t xml:space="preserve"> month.</w:t>
      </w:r>
    </w:p>
    <w:p w14:paraId="09694119" w14:textId="061B58BE" w:rsidR="00F2270D" w:rsidRDefault="00F2270D" w:rsidP="00FE2BCF">
      <w:pPr>
        <w:pStyle w:val="NoSpacing"/>
        <w:numPr>
          <w:ilvl w:val="0"/>
          <w:numId w:val="3"/>
        </w:numPr>
        <w:spacing w:line="480" w:lineRule="auto"/>
        <w:jc w:val="both"/>
      </w:pPr>
      <w:r>
        <w:t xml:space="preserve">The travel options for </w:t>
      </w:r>
      <w:r w:rsidR="00C3055A">
        <w:t xml:space="preserve">selected </w:t>
      </w:r>
      <w:r>
        <w:t xml:space="preserve">trips beginning between 0600 and 0800 </w:t>
      </w:r>
      <w:r w:rsidR="009D067B">
        <w:t xml:space="preserve">over </w:t>
      </w:r>
      <w:r>
        <w:t xml:space="preserve">50 </w:t>
      </w:r>
      <w:r w:rsidR="009D067B">
        <w:t>week</w:t>
      </w:r>
      <w:r>
        <w:t>days</w:t>
      </w:r>
      <w:r w:rsidR="00FB6237">
        <w:t xml:space="preserve"> between 29 January 2019 and 25 April 2019</w:t>
      </w:r>
      <w:r>
        <w:t xml:space="preserve">.  This </w:t>
      </w:r>
      <w:r w:rsidR="009D067B">
        <w:t>captures the</w:t>
      </w:r>
      <w:r>
        <w:t xml:space="preserve"> “real-time” </w:t>
      </w:r>
      <w:r w:rsidR="009D067B">
        <w:t xml:space="preserve">variability in </w:t>
      </w:r>
      <w:r>
        <w:t>travel option</w:t>
      </w:r>
      <w:r w:rsidR="009D067B">
        <w:t>s</w:t>
      </w:r>
      <w:r>
        <w:t xml:space="preserve"> during the</w:t>
      </w:r>
      <w:r w:rsidR="007949A2">
        <w:t xml:space="preserve"> weekday</w:t>
      </w:r>
      <w:r>
        <w:t xml:space="preserve"> AM peak.  Because of the </w:t>
      </w:r>
      <w:r w:rsidR="00252AA7">
        <w:t xml:space="preserve">API request </w:t>
      </w:r>
      <w:r>
        <w:t xml:space="preserve">limit, I </w:t>
      </w:r>
      <w:r w:rsidR="00FB6237">
        <w:t xml:space="preserve">only </w:t>
      </w:r>
      <w:r>
        <w:t>gather</w:t>
      </w:r>
      <w:r w:rsidR="00FB6237">
        <w:t>ed</w:t>
      </w:r>
      <w:r>
        <w:t xml:space="preserve"> data on trips starting from all 983 MSOAs</w:t>
      </w:r>
      <w:r w:rsidR="00F71F14">
        <w:t>’ population-weighted centroids</w:t>
      </w:r>
      <w:r>
        <w:t xml:space="preserve"> </w:t>
      </w:r>
      <w:r w:rsidR="008622BD">
        <w:t xml:space="preserve">that </w:t>
      </w:r>
      <w:r>
        <w:t xml:space="preserve">end at </w:t>
      </w:r>
      <w:r w:rsidR="00F71F14">
        <w:t xml:space="preserve">the job-weighted centroids of </w:t>
      </w:r>
      <w:r>
        <w:t xml:space="preserve">7 MSOAs that correspond to 7 key transport nodes evenly spaced across </w:t>
      </w:r>
      <w:r w:rsidR="00F77821">
        <w:t>London</w:t>
      </w:r>
      <w:r w:rsidR="009D067B">
        <w:t>, totalling 6,881 origin-destination pairs</w:t>
      </w:r>
      <w:r>
        <w:t>.</w:t>
      </w:r>
      <w:r w:rsidR="00C3055A">
        <w:t xml:space="preserve">  See Appendix XX for details on how the 7 destinations were selected.</w:t>
      </w:r>
    </w:p>
    <w:p w14:paraId="5B0847B5" w14:textId="3BD54868" w:rsidR="008622BD" w:rsidRDefault="0081540B" w:rsidP="008622BD">
      <w:pPr>
        <w:pStyle w:val="NoSpacing"/>
        <w:spacing w:line="480" w:lineRule="auto"/>
        <w:ind w:firstLine="567"/>
        <w:jc w:val="both"/>
      </w:pPr>
      <w:r>
        <w:t xml:space="preserve">With the baseline database, the matrix C can be easily constructed, and JPRs and job accessibility analyses can proceed along the lines that are well-established in the literature.  In addition, the real-time database allows this study to make an initial foray into analysing how travel time variability affects job accessibility.  Ideally, the real-time database should contain the distribution </w:t>
      </w:r>
      <w:r>
        <w:lastRenderedPageBreak/>
        <w:t>of travel times for all origin-destination pairs over 50 days, which would then allow the matrix C and the resulting JPRs to be adjusted to account for travel time variability.  Unfortunately, the API call limit makes this impossible.  Nonetheless, it is possible to visualise how travel times to the 7 selected destinations vary across all 983 origins, as well as to analyse how different modes of transport contribute to travel time variability for these 6,881 origin-destination pairs.  I will also analyse how the spatial distribution of social disadvantage coincides with job accessibility and travel time variability.</w:t>
      </w:r>
    </w:p>
    <w:p w14:paraId="104D25E1" w14:textId="77777777" w:rsidR="0081540B" w:rsidRDefault="0081540B"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26A268EB" w:rsidR="000A7BBD" w:rsidRDefault="008A15BC" w:rsidP="008A15BC">
      <w:pPr>
        <w:pStyle w:val="NoSpacing"/>
        <w:spacing w:line="480" w:lineRule="auto"/>
        <w:ind w:firstLine="567"/>
        <w:jc w:val="both"/>
        <w:rPr>
          <w:bCs/>
        </w:rPr>
      </w:pPr>
      <w:r>
        <w:rPr>
          <w:bCs/>
        </w:rPr>
        <w:t xml:space="preserve">As conceptualised in this study, each area’s </w:t>
      </w:r>
      <w:r w:rsidR="0081540B">
        <w:rPr>
          <w:bCs/>
        </w:rPr>
        <w:t xml:space="preserve">job </w:t>
      </w:r>
      <w:r>
        <w:rPr>
          <w:bCs/>
        </w:rPr>
        <w:t xml:space="preserve">accessibility is a function of 3 components: the spatial distributions of working-age population and jobs, and the connectivity provided by the public transport system.  Figure XX </w:t>
      </w:r>
      <w:r w:rsidR="00F71F14">
        <w:rPr>
          <w:bCs/>
        </w:rPr>
        <w:t xml:space="preserve">visualises </w:t>
      </w:r>
      <w:r>
        <w:rPr>
          <w:bCs/>
        </w:rPr>
        <w:t xml:space="preserve">the first two components.  </w:t>
      </w:r>
      <w:proofErr w:type="gramStart"/>
      <w:r>
        <w:rPr>
          <w:bCs/>
        </w:rPr>
        <w:t>It is clear that the</w:t>
      </w:r>
      <w:proofErr w:type="gramEnd"/>
      <w:r>
        <w:rPr>
          <w:bCs/>
        </w:rPr>
        <w:t xml:space="preserve"> distribution of jobs is extremely concentrated in the centre of the GLA area, where the City of London, Westminster and Southbank are located.  However, there are also smaller concentrations of jobs around some stations in the GLA’s </w:t>
      </w:r>
      <w:r w:rsidR="00F71F14">
        <w:rPr>
          <w:bCs/>
        </w:rPr>
        <w:t xml:space="preserve">rail </w:t>
      </w:r>
      <w:r>
        <w:rPr>
          <w:bCs/>
        </w:rPr>
        <w:t>network (black lines in the figure</w:t>
      </w:r>
      <w:r w:rsidR="00F71F14">
        <w:rPr>
          <w:bCs/>
        </w:rPr>
        <w:t>, including National Rail, Underground, Overground and Docklands Light Railway networks</w:t>
      </w:r>
      <w:r>
        <w:rPr>
          <w:bCs/>
        </w:rPr>
        <w:t xml:space="preserve">), most notably at Canary Wharf.  In contrast, the distribution of working-age residents is more even, with lower residential densities in the areas with the most jobs near the centre, higher densities in a ring around the central job-rich </w:t>
      </w:r>
      <w:proofErr w:type="gramStart"/>
      <w:r>
        <w:rPr>
          <w:bCs/>
        </w:rPr>
        <w:t>core, and</w:t>
      </w:r>
      <w:proofErr w:type="gramEnd"/>
      <w:r>
        <w:rPr>
          <w:bCs/>
        </w:rPr>
        <w:t xml:space="preserve"> decreasing densities as one moves away from the centre.</w:t>
      </w:r>
    </w:p>
    <w:p w14:paraId="5E28C7A2" w14:textId="0D051C08"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w:t>
      </w:r>
      <w:r w:rsidR="00F71F14">
        <w:rPr>
          <w:bCs/>
        </w:rPr>
        <w:t>captured in the matrix C</w:t>
      </w:r>
      <w:r>
        <w:rPr>
          <w:bCs/>
        </w:rPr>
        <w:t xml:space="preserve">.  </w:t>
      </w:r>
      <w:r w:rsidR="00F71F14">
        <w:rPr>
          <w:bCs/>
        </w:rPr>
        <w:t xml:space="preserve">Each value of </w:t>
      </w:r>
      <w:proofErr w:type="spellStart"/>
      <w:proofErr w:type="gramStart"/>
      <w:r w:rsidR="00F71F14">
        <w:rPr>
          <w:bCs/>
        </w:rPr>
        <w:t>c</w:t>
      </w:r>
      <w:r w:rsidR="00F71F14">
        <w:rPr>
          <w:bCs/>
          <w:vertAlign w:val="subscript"/>
        </w:rPr>
        <w:t>i,j</w:t>
      </w:r>
      <w:proofErr w:type="spellEnd"/>
      <w:proofErr w:type="gramEnd"/>
      <w:r w:rsidR="00F71F14">
        <w:rPr>
          <w:bCs/>
        </w:rPr>
        <w:t xml:space="preserve"> in C</w:t>
      </w:r>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i.e. the row vector</w:t>
      </w:r>
      <w:r w:rsidR="005B1838">
        <w:rPr>
          <w:bCs/>
        </w:rPr>
        <w:t xml:space="preserve">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w:t>
      </w:r>
      <w:r w:rsidR="005B1838">
        <w:rPr>
          <w:bCs/>
        </w:rPr>
        <w:t>,</w:t>
      </w:r>
      <w:r>
        <w:rPr>
          <w:bCs/>
        </w:rPr>
        <w:t xml:space="preserve"> with </w:t>
      </w:r>
      <w:r w:rsidR="005B1838">
        <w:rPr>
          <w:bCs/>
        </w:rPr>
        <w:t>all areas within 45min travel time from Stratford (i.e. the areas where f(c</w:t>
      </w:r>
      <w:r w:rsidR="005B1838">
        <w:rPr>
          <w:bCs/>
          <w:vertAlign w:val="subscript"/>
        </w:rPr>
        <w:t>E02000726,</w:t>
      </w:r>
      <w:r w:rsidR="00F50291">
        <w:rPr>
          <w:bCs/>
          <w:vertAlign w:val="subscript"/>
        </w:rPr>
        <w:t>j</w:t>
      </w:r>
      <w:r w:rsidR="005B1838">
        <w:rPr>
          <w:bCs/>
        </w:rPr>
        <w:t xml:space="preserve">) = 1) outlined in blue and a dot density map of </w:t>
      </w:r>
      <w:r w:rsidR="005B1838">
        <w:rPr>
          <w:bCs/>
        </w:rPr>
        <w:lastRenderedPageBreak/>
        <w:t xml:space="preserve">the </w:t>
      </w:r>
      <w:r>
        <w:rPr>
          <w:bCs/>
        </w:rPr>
        <w:t xml:space="preserve">distribution of jobs superimposed.  </w:t>
      </w:r>
      <w:r w:rsidR="005B1838">
        <w:rPr>
          <w:bCs/>
        </w:rPr>
        <w:t xml:space="preserve">In the JPR calculations, each MSOA </w:t>
      </w:r>
      <w:r w:rsidR="00F50291">
        <w:rPr>
          <w:bCs/>
        </w:rPr>
        <w:t xml:space="preserve">j </w:t>
      </w:r>
      <w:r w:rsidR="005B1838">
        <w:rPr>
          <w:bCs/>
        </w:rPr>
        <w:t>within the blue boundary will contribute some of its jobs to each work</w:t>
      </w:r>
      <w:r w:rsidR="00F50291">
        <w:rPr>
          <w:bCs/>
        </w:rPr>
        <w:t>ing-age resident</w:t>
      </w:r>
      <w:r w:rsidR="005B1838">
        <w:rPr>
          <w:bCs/>
        </w:rPr>
        <w:t xml:space="preserve"> in Stratford</w:t>
      </w:r>
      <w:r w:rsidR="00F50291">
        <w:rPr>
          <w:bCs/>
        </w:rPr>
        <w:t>; exactly how much each MSOA j contributes to Stratford depends on how many other working-age residents live in areas where they can also reach each MSOA j within 45min</w:t>
      </w:r>
      <w:r w:rsidR="00FE0648">
        <w:rPr>
          <w:rFonts w:eastAsiaTheme="minorEastAsia"/>
          <w:bCs/>
        </w:rPr>
        <w:t>.</w:t>
      </w:r>
    </w:p>
    <w:p w14:paraId="04C2E6A5" w14:textId="19657A24"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w:t>
      </w:r>
      <w:r w:rsidR="005B1838">
        <w:rPr>
          <w:rFonts w:eastAsiaTheme="minorEastAsia"/>
          <w:bCs/>
        </w:rPr>
        <w:t xml:space="preserve">social </w:t>
      </w:r>
      <w:r>
        <w:rPr>
          <w:rFonts w:eastAsiaTheme="minorEastAsia"/>
          <w:bCs/>
        </w:rPr>
        <w:t xml:space="preserve">deprivation of different MSOAs is also </w:t>
      </w:r>
      <w:r w:rsidR="005B1838">
        <w:rPr>
          <w:rFonts w:eastAsiaTheme="minorEastAsia"/>
          <w:bCs/>
        </w:rPr>
        <w:t>of interest</w:t>
      </w:r>
      <w:r>
        <w:rPr>
          <w:rFonts w:eastAsiaTheme="minorEastAsia"/>
          <w:bCs/>
        </w:rPr>
        <w:t>.  Figure XX shows the ranking of each MSOA by IMD scores, together with 3 raw indicators of social disadvantage, namely the modelled mean household income in 2015 (post-housing costs and equivalised for household size)</w:t>
      </w:r>
      <w:r w:rsidR="00F50291">
        <w:rPr>
          <w:rFonts w:eastAsiaTheme="minorEastAsia"/>
          <w:bCs/>
        </w:rPr>
        <w:t xml:space="preserve"> (+ citation)</w:t>
      </w:r>
      <w:r>
        <w:rPr>
          <w:rFonts w:eastAsiaTheme="minorEastAsia"/>
          <w:bCs/>
        </w:rPr>
        <w:t>, the estimated proportion of households in poverty in 2014</w:t>
      </w:r>
      <w:r w:rsidR="00F50291">
        <w:rPr>
          <w:rFonts w:eastAsiaTheme="minorEastAsia"/>
          <w:bCs/>
        </w:rPr>
        <w:t xml:space="preserve"> (+ citation)</w:t>
      </w:r>
      <w:r>
        <w:rPr>
          <w:rFonts w:eastAsiaTheme="minorEastAsia"/>
          <w:bCs/>
        </w:rPr>
        <w:t>, and the unemployment rate among working-age residents in 2017</w:t>
      </w:r>
      <w:r w:rsidR="00F50291">
        <w:rPr>
          <w:rFonts w:eastAsiaTheme="minorEastAsia"/>
          <w:bCs/>
        </w:rPr>
        <w:t xml:space="preserve"> (+ citation)</w:t>
      </w:r>
      <w:r>
        <w:rPr>
          <w:rFonts w:eastAsiaTheme="minorEastAsia"/>
          <w:bCs/>
        </w:rPr>
        <w:t xml:space="preserve">.  For all 4 maps, MSOAs are binned into deciles by the distributions of each </w:t>
      </w:r>
      <w:r w:rsidR="00F50291">
        <w:rPr>
          <w:rFonts w:eastAsiaTheme="minorEastAsia"/>
          <w:bCs/>
        </w:rPr>
        <w:t>indicator</w:t>
      </w:r>
      <w:r>
        <w:rPr>
          <w:rFonts w:eastAsiaTheme="minorEastAsia"/>
          <w:bCs/>
        </w:rPr>
        <w:t xml:space="preserve">, with </w:t>
      </w:r>
      <w:r w:rsidR="005B1838">
        <w:rPr>
          <w:rFonts w:eastAsiaTheme="minorEastAsia"/>
          <w:bCs/>
        </w:rPr>
        <w:t xml:space="preserve">the lowest decile of </w:t>
      </w:r>
      <w:r>
        <w:rPr>
          <w:rFonts w:eastAsiaTheme="minorEastAsia"/>
          <w:bCs/>
        </w:rPr>
        <w:t xml:space="preserve">MSOAs </w:t>
      </w:r>
      <w:r w:rsidR="005B1838">
        <w:rPr>
          <w:rFonts w:eastAsiaTheme="minorEastAsia"/>
          <w:bCs/>
        </w:rPr>
        <w:t xml:space="preserve">(corresponding to the highest deprivation) </w:t>
      </w:r>
      <w:r>
        <w:rPr>
          <w:rFonts w:eastAsiaTheme="minorEastAsia"/>
          <w:bCs/>
        </w:rPr>
        <w:t xml:space="preserve">visualised in dark red and </w:t>
      </w:r>
      <w:r w:rsidR="005B1838">
        <w:rPr>
          <w:rFonts w:eastAsiaTheme="minorEastAsia"/>
          <w:bCs/>
        </w:rPr>
        <w:t xml:space="preserve">the highest decile (the least deprived MSOAs) </w:t>
      </w:r>
      <w:r>
        <w:rPr>
          <w:rFonts w:eastAsiaTheme="minorEastAsia"/>
          <w:bCs/>
        </w:rPr>
        <w:t xml:space="preserve">in dark green.  In general, </w:t>
      </w:r>
      <w:r w:rsidR="0022295E">
        <w:rPr>
          <w:rFonts w:eastAsiaTheme="minorEastAsia"/>
          <w:bCs/>
        </w:rPr>
        <w:t xml:space="preserve">the </w:t>
      </w:r>
      <w:r w:rsidR="005B1838">
        <w:rPr>
          <w:rFonts w:eastAsiaTheme="minorEastAsia"/>
          <w:bCs/>
        </w:rPr>
        <w:t xml:space="preserve">spatial distribution of </w:t>
      </w:r>
      <w:r w:rsidR="0022295E">
        <w:rPr>
          <w:rFonts w:eastAsiaTheme="minorEastAsia"/>
          <w:bCs/>
        </w:rPr>
        <w:t xml:space="preserve">IMD rankings correspond quite well to the </w:t>
      </w:r>
      <w:r w:rsidR="005B1838">
        <w:rPr>
          <w:rFonts w:eastAsiaTheme="minorEastAsia"/>
          <w:bCs/>
        </w:rPr>
        <w:t xml:space="preserve">distributions of the </w:t>
      </w:r>
      <w:r w:rsidR="0022295E">
        <w:rPr>
          <w:rFonts w:eastAsiaTheme="minorEastAsia"/>
          <w:bCs/>
        </w:rPr>
        <w:t>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27AF4D81" w:rsidR="0022295E" w:rsidRPr="0022295E" w:rsidRDefault="0022295E" w:rsidP="0022295E">
      <w:pPr>
        <w:pStyle w:val="NoSpacing"/>
        <w:spacing w:line="480" w:lineRule="auto"/>
        <w:jc w:val="both"/>
        <w:rPr>
          <w:rFonts w:eastAsiaTheme="minorEastAsia"/>
          <w:bCs/>
          <w:i/>
          <w:iCs/>
        </w:rPr>
      </w:pPr>
      <w:r>
        <w:rPr>
          <w:rFonts w:eastAsiaTheme="minorEastAsia"/>
          <w:bCs/>
          <w:i/>
          <w:iCs/>
        </w:rPr>
        <w:t xml:space="preserve">Analysis of </w:t>
      </w:r>
      <w:r w:rsidR="005B1838">
        <w:rPr>
          <w:rFonts w:eastAsiaTheme="minorEastAsia"/>
          <w:bCs/>
          <w:i/>
          <w:iCs/>
        </w:rPr>
        <w:t>Job Provision Ratios</w:t>
      </w:r>
    </w:p>
    <w:p w14:paraId="40380375" w14:textId="28FBD5CF"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working-age residents who can reach each 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also </w:t>
      </w:r>
      <w:r>
        <w:rPr>
          <w:rFonts w:eastAsiaTheme="minorEastAsia"/>
        </w:rPr>
        <w:t xml:space="preserve">superimposed.  </w:t>
      </w:r>
      <w:r w:rsidR="005A61AF">
        <w:rPr>
          <w:rFonts w:eastAsiaTheme="minorEastAsia"/>
        </w:rPr>
        <w:t xml:space="preserve">It is clearly evident that the public transport system heavily emphasises fast connections to the centre of the GLA area, with central areas being within 45min travel time of the most working-age residents, and the number of residents 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by many residents within 45min, as they </w:t>
      </w:r>
      <w:r w:rsidR="005A61AF">
        <w:rPr>
          <w:rFonts w:eastAsiaTheme="minorEastAsia"/>
        </w:rPr>
        <w:lastRenderedPageBreak/>
        <w:t xml:space="preserve">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13969868"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increases but decreases as the number of working-age residents 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the sheer volume of jobs available offsets the high number of working-age residents who can reach it,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within small, sparsely populated local catchments).</w:t>
      </w:r>
    </w:p>
    <w:p w14:paraId="420190AC" w14:textId="0B9B7FF7" w:rsidR="00A904E7" w:rsidRDefault="00A904E7" w:rsidP="00A904E7">
      <w:pPr>
        <w:pStyle w:val="NoSpacing"/>
        <w:spacing w:line="480" w:lineRule="auto"/>
        <w:ind w:firstLine="567"/>
        <w:jc w:val="both"/>
        <w:rPr>
          <w:rFonts w:eastAsiaTheme="minorEastAsia" w:cstheme="minorHAnsi"/>
          <w:bCs/>
        </w:rPr>
      </w:pPr>
      <w:r>
        <w:rPr>
          <w:rFonts w:eastAsiaTheme="minorEastAsia"/>
        </w:rPr>
        <w:t>Finally, Figure XX displays the JPR for each MSOA</w:t>
      </w:r>
      <w:r w:rsidR="00F50291">
        <w:rPr>
          <w:rFonts w:eastAsiaTheme="minorEastAsia"/>
        </w:rPr>
        <w:t xml:space="preserve"> </w:t>
      </w:r>
      <w:proofErr w:type="spellStart"/>
      <w:r w:rsidR="00F50291">
        <w:rPr>
          <w:rFonts w:eastAsiaTheme="minorEastAsia"/>
        </w:rPr>
        <w:t>i</w:t>
      </w:r>
      <w:proofErr w:type="spellEnd"/>
      <w:r>
        <w:rPr>
          <w:rFonts w:eastAsiaTheme="minorEastAsia"/>
        </w:rPr>
        <w:t xml:space="preserve">, which is the sum of all the jobs contributed per working-age resident from </w:t>
      </w:r>
      <w:r w:rsidR="00F50291">
        <w:rPr>
          <w:rFonts w:eastAsiaTheme="minorEastAsia"/>
        </w:rPr>
        <w:t xml:space="preserve">each </w:t>
      </w:r>
      <w:r>
        <w:rPr>
          <w:rFonts w:eastAsiaTheme="minorEastAsia"/>
        </w:rPr>
        <w:t>MSOA</w:t>
      </w:r>
      <w:r w:rsidR="00F50291">
        <w:rPr>
          <w:rFonts w:eastAsiaTheme="minorEastAsia"/>
        </w:rPr>
        <w:t xml:space="preserve"> j </w:t>
      </w:r>
      <w:r>
        <w:rPr>
          <w:rFonts w:eastAsiaTheme="minorEastAsia"/>
        </w:rPr>
        <w:t>within reach</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working-age resident.  </w:t>
      </w:r>
      <w:r>
        <w:rPr>
          <w:rFonts w:eastAsiaTheme="minorEastAsia"/>
          <w:bCs/>
        </w:rPr>
        <w:t xml:space="preserve">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645EA63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w:t>
      </w:r>
      <w:r>
        <w:rPr>
          <w:rFonts w:eastAsiaTheme="minorEastAsia" w:cstheme="minorHAnsi"/>
          <w:bCs/>
        </w:rPr>
        <w:lastRenderedPageBreak/>
        <w:t xml:space="preserve">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connections between Heathrow and areas in the west are relatively good.</w:t>
      </w:r>
    </w:p>
    <w:p w14:paraId="1E1B441B" w14:textId="018CD3FB"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 distribution of jobs among working-age residents in an excludable way, it is straightforward to construct a Lorenz curve for the distribution of jobs among working-age residents, by sorting the MSOAs in ascending order by JPRs.  This neatly summarises the extent to which the job allocation is uneven.  This Lorenz curve is in the inset of Figure XX.  Because jobs are highly concentrated in the centre while working-age residents are relatively spread out throughout the GLA area, there is significant unevenness in the job allocation, with the bottom 50% of working-age residents in the more job-poor areas sharing only roughly 20% of the jobs, while the top 10% of working-age residents in the most job-rich areas share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7BB8ECD0" w:rsidR="004B65AB" w:rsidRDefault="004C3000" w:rsidP="004B65AB">
      <w:pPr>
        <w:pStyle w:val="NoSpacing"/>
        <w:spacing w:line="480" w:lineRule="auto"/>
        <w:ind w:firstLine="567"/>
        <w:jc w:val="both"/>
        <w:rPr>
          <w:bCs/>
        </w:rPr>
      </w:pPr>
      <w:r>
        <w:rPr>
          <w:bCs/>
        </w:rPr>
        <w:t xml:space="preserve">The job distribution data disaggregates jobs by Standard Industrial Classification Codes (SICCs).  This allows </w:t>
      </w:r>
      <w:r w:rsidR="00D34FAB">
        <w:rPr>
          <w:bCs/>
        </w:rPr>
        <w:t xml:space="preserve">me </w:t>
      </w:r>
      <w:r>
        <w:rPr>
          <w:bCs/>
        </w:rPr>
        <w:t xml:space="preserve">to </w:t>
      </w:r>
      <w:r w:rsidR="009A5672">
        <w:rPr>
          <w:bCs/>
        </w:rPr>
        <w:t xml:space="preserve">calculate JPRs </w:t>
      </w:r>
      <w:r>
        <w:rPr>
          <w:bCs/>
        </w:rPr>
        <w:t>by sector</w:t>
      </w:r>
      <w:r w:rsidR="00DE5377">
        <w:rPr>
          <w:bCs/>
        </w:rPr>
        <w:t xml:space="preserve"> and analyse the extent to which </w:t>
      </w:r>
      <w:r w:rsidR="009A5672">
        <w:rPr>
          <w:bCs/>
        </w:rPr>
        <w:t>accessibility to jobs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63415CB9" w:rsidR="004C3000" w:rsidRDefault="00AE402B" w:rsidP="004C3000">
      <w:pPr>
        <w:pStyle w:val="NoSpacing"/>
        <w:spacing w:line="480" w:lineRule="auto"/>
        <w:ind w:firstLine="567"/>
        <w:jc w:val="both"/>
        <w:rPr>
          <w:bCs/>
        </w:rPr>
      </w:pPr>
      <w:r>
        <w:rPr>
          <w:bCs/>
        </w:rPr>
        <w:lastRenderedPageBreak/>
        <w:t xml:space="preserve">The pie chart in </w:t>
      </w:r>
      <w:r w:rsidR="00C22C1F">
        <w:rPr>
          <w:bCs/>
        </w:rPr>
        <w:t xml:space="preserve">Figure XX shows the proportion of all jobs in the GLA area that belong to each sector.  The </w:t>
      </w:r>
      <w:r w:rsidR="00DE5377">
        <w:rPr>
          <w:bCs/>
        </w:rPr>
        <w:t xml:space="preserve">high-end services </w:t>
      </w:r>
      <w:r w:rsidR="00C22C1F">
        <w:rPr>
          <w:bCs/>
        </w:rPr>
        <w:t xml:space="preserve">sector is the largest in the GLA area, followed by </w:t>
      </w:r>
      <w:r w:rsidR="00DE5377">
        <w:rPr>
          <w:bCs/>
        </w:rPr>
        <w:t xml:space="preserve">consumer services </w:t>
      </w:r>
      <w:r w:rsidR="00C22C1F">
        <w:rPr>
          <w:bCs/>
        </w:rPr>
        <w:t xml:space="preserve">and the public sector.  </w:t>
      </w:r>
      <w:r w:rsidR="004C3000">
        <w:rPr>
          <w:bCs/>
        </w:rPr>
        <w:t xml:space="preserve">Figure XX plots the distribution of jobs in each sector as a dot density map.  </w:t>
      </w:r>
      <w:r w:rsidR="00C22C1F">
        <w:rPr>
          <w:bCs/>
        </w:rPr>
        <w:t xml:space="preserve">Industrial </w:t>
      </w:r>
      <w:r>
        <w:rPr>
          <w:bCs/>
        </w:rPr>
        <w:t xml:space="preserve">and consumer services </w:t>
      </w:r>
      <w:r w:rsidR="00C22C1F">
        <w:rPr>
          <w:bCs/>
        </w:rPr>
        <w:t xml:space="preserve">jobs are the most evenly spread out across the GLA area,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18B71B0A"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w:r w:rsidR="00DE5377">
        <w:rPr>
          <w:bCs/>
        </w:rPr>
        <w:t xml:space="preserve">JPR </w:t>
      </w:r>
      <w:r w:rsidR="004C3000">
        <w:rPr>
          <w:rFonts w:eastAsiaTheme="minorEastAsia"/>
          <w:bCs/>
        </w:rPr>
        <w:t xml:space="preserve">values using the job distribution for each sector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The top left panel of Figure XX reproduces the map in the </w:t>
      </w:r>
      <w:r w:rsidR="009A5672">
        <w:rPr>
          <w:rFonts w:eastAsiaTheme="minorEastAsia"/>
          <w:bCs/>
        </w:rPr>
        <w:t>bottom</w:t>
      </w:r>
      <w:r w:rsidR="004C3000">
        <w:rPr>
          <w:rFonts w:eastAsiaTheme="minorEastAsia"/>
          <w:bCs/>
        </w:rPr>
        <w:t xml:space="preserve">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jobs is most unevenly distributed, with large swaths of MSOAs in the south, east and north having almost no jobs from this sector allocated per working-age resident</w:t>
      </w:r>
      <w:r w:rsidR="00BF3239">
        <w:rPr>
          <w:rFonts w:eastAsiaTheme="minorEastAsia"/>
          <w:bCs/>
        </w:rPr>
        <w:t>, while MSOAs in the centre are allocated between 200% and 3</w:t>
      </w:r>
      <w:r w:rsidR="00E15D01">
        <w:rPr>
          <w:rFonts w:eastAsiaTheme="minorEastAsia"/>
          <w:bCs/>
        </w:rPr>
        <w:t>6</w:t>
      </w:r>
      <w:r w:rsidR="00BF3239">
        <w:rPr>
          <w:rFonts w:eastAsiaTheme="minorEastAsia"/>
          <w:bCs/>
        </w:rPr>
        <w:t>0% as many high-end services jobs per working-age resident as the overall GLA average</w:t>
      </w:r>
      <w:r>
        <w:rPr>
          <w:rFonts w:eastAsiaTheme="minorEastAsia"/>
          <w:bCs/>
        </w:rPr>
        <w:t>.</w:t>
      </w:r>
    </w:p>
    <w:p w14:paraId="098912BC" w14:textId="32717EAF"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 xml:space="preserve">and public sectors are closer to the diagonal than the curve for all jobs, but the curves for the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two sectors tends to make accessibility to jobs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3E3AAAEF" w14:textId="22AE2FF8" w:rsidR="009A5672" w:rsidRDefault="009A5672" w:rsidP="004C3000">
      <w:pPr>
        <w:pStyle w:val="NoSpacing"/>
        <w:spacing w:line="480" w:lineRule="auto"/>
        <w:ind w:firstLine="567"/>
        <w:jc w:val="both"/>
        <w:rPr>
          <w:rFonts w:eastAsiaTheme="minorEastAsia"/>
          <w:bCs/>
        </w:rPr>
      </w:pPr>
      <w:r>
        <w:rPr>
          <w:rFonts w:eastAsiaTheme="minorEastAsia"/>
          <w:bCs/>
        </w:rPr>
        <w:lastRenderedPageBreak/>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extent to which each MSOA is reliant on each sector for its job allocation</w:t>
      </w:r>
      <w:r w:rsidR="00AE402B">
        <w:rPr>
          <w:rFonts w:eastAsiaTheme="minorEastAsia"/>
          <w:bCs/>
        </w:rPr>
        <w:t xml:space="preserve">.  </w:t>
      </w:r>
      <w:r w:rsidR="00BF3239">
        <w:rPr>
          <w:rFonts w:eastAsiaTheme="minorEastAsia"/>
          <w:bCs/>
        </w:rPr>
        <w:t xml:space="preserve">Figure XX visualises these sectoral contribution proportions, with each map visualising each sector’s proportional contribution to each MSOA’s JPR using </w:t>
      </w:r>
      <w:r w:rsidR="00B03C4E">
        <w:rPr>
          <w:rFonts w:eastAsiaTheme="minorEastAsia"/>
          <w:bCs/>
        </w:rPr>
        <w:t xml:space="preserve">quintiles of the distribution of sectoral proportional contributions.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257C23" w14:textId="77777777" w:rsidR="00C355AC" w:rsidRDefault="00C355AC" w:rsidP="00C355AC">
      <w:pPr>
        <w:pStyle w:val="NoSpacing"/>
        <w:spacing w:line="480" w:lineRule="auto"/>
        <w:jc w:val="both"/>
        <w:rPr>
          <w:rFonts w:eastAsiaTheme="minorEastAsia"/>
          <w:bCs/>
        </w:rPr>
      </w:pPr>
    </w:p>
    <w:p w14:paraId="43703AAF" w14:textId="2E7D5508"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Job</w:t>
      </w:r>
      <w:r w:rsidR="00671F72">
        <w:rPr>
          <w:rFonts w:eastAsiaTheme="minorEastAsia"/>
          <w:bCs/>
          <w:i/>
          <w:iCs/>
        </w:rPr>
        <w:t xml:space="preserve"> Provision</w:t>
      </w:r>
    </w:p>
    <w:p w14:paraId="11AFA83D" w14:textId="59EA5F62" w:rsidR="004C3000" w:rsidRDefault="00671F72" w:rsidP="00C355AC">
      <w:pPr>
        <w:pStyle w:val="NoSpacing"/>
        <w:spacing w:line="480" w:lineRule="auto"/>
        <w:ind w:firstLine="567"/>
        <w:jc w:val="both"/>
        <w:rPr>
          <w:rFonts w:eastAsiaTheme="minorEastAsia"/>
          <w:bCs/>
        </w:rPr>
      </w:pPr>
      <w:r>
        <w:rPr>
          <w:rFonts w:eastAsiaTheme="minorEastAsia"/>
          <w:bCs/>
        </w:rPr>
        <w:t xml:space="preserve">As we have seen above, accessibility to jobs as measured by JPRs vary considerably across space and by job sector, with some locations having significantly fewer jobs allocated per working-age resident and/or higher reliance on certain sectors for their job allocations.  When these disparities coincide with other dimensions of social deprivation, two types of problems may </w:t>
      </w:r>
      <w:r w:rsidR="00B03C4E">
        <w:rPr>
          <w:rFonts w:eastAsiaTheme="minorEastAsia"/>
          <w:bCs/>
        </w:rPr>
        <w:t>arise</w:t>
      </w:r>
      <w:r>
        <w:rPr>
          <w:rFonts w:eastAsiaTheme="minorEastAsia"/>
          <w:bCs/>
        </w:rPr>
        <w:t xml:space="preserve">.  Firstly, if more socially deprived areas have lower JPRs, this indicates that there are too few jobs within 45min travel time from more socially disadvantaged residents, and this may constrain their ability to find </w:t>
      </w:r>
      <w:r w:rsidR="00B03C4E">
        <w:rPr>
          <w:rFonts w:eastAsiaTheme="minorEastAsia"/>
          <w:bCs/>
        </w:rPr>
        <w:t xml:space="preserve">and secure </w:t>
      </w:r>
      <w:r>
        <w:rPr>
          <w:rFonts w:eastAsiaTheme="minorEastAsia"/>
          <w:bCs/>
        </w:rPr>
        <w:t>employment and/or force them to endure longer commutes.  Secondly, if more socially deprived areas are more reliant on certain sectors for jobs, then the more disadvantaged residents there may be more vulnerable to skills mismatch (if the sectors of the available jobs require qualifications or experience that more disadvantaged residents are less likely to have) or sectoral shocks to the labour market (since there are fewer jobs in alternative sectors available).</w:t>
      </w:r>
    </w:p>
    <w:p w14:paraId="24E759A4" w14:textId="45AE4609" w:rsidR="0050735C" w:rsidRDefault="00C355AC" w:rsidP="00C355AC">
      <w:pPr>
        <w:pStyle w:val="NoSpacing"/>
        <w:spacing w:line="480" w:lineRule="auto"/>
        <w:ind w:firstLine="567"/>
        <w:jc w:val="both"/>
        <w:rPr>
          <w:rFonts w:eastAsiaTheme="minorEastAsia"/>
          <w:bCs/>
        </w:rPr>
      </w:pPr>
      <w:r>
        <w:rPr>
          <w:rFonts w:eastAsiaTheme="minorEastAsia"/>
          <w:bCs/>
        </w:rPr>
        <w:lastRenderedPageBreak/>
        <w:t xml:space="preserve">To </w:t>
      </w:r>
      <w:r w:rsidR="00671F72">
        <w:rPr>
          <w:rFonts w:eastAsiaTheme="minorEastAsia"/>
          <w:bCs/>
        </w:rPr>
        <w:t xml:space="preserve">identify locations where low JPRs, high sectoral reliance and </w:t>
      </w:r>
      <w:r w:rsidR="00B03C4E">
        <w:rPr>
          <w:rFonts w:eastAsiaTheme="minorEastAsia"/>
          <w:bCs/>
        </w:rPr>
        <w:t xml:space="preserve">high </w:t>
      </w:r>
      <w:r w:rsidR="00671F72">
        <w:rPr>
          <w:rFonts w:eastAsiaTheme="minorEastAsia"/>
          <w:bCs/>
        </w:rPr>
        <w:t xml:space="preserve">social </w:t>
      </w:r>
      <w:r w:rsidR="00B03C4E">
        <w:rPr>
          <w:rFonts w:eastAsiaTheme="minorEastAsia"/>
          <w:bCs/>
        </w:rPr>
        <w:t xml:space="preserve">deprivation </w:t>
      </w:r>
      <w:r w:rsidR="00671F72">
        <w:rPr>
          <w:rFonts w:eastAsiaTheme="minorEastAsia"/>
          <w:bCs/>
        </w:rPr>
        <w:t>coincide</w:t>
      </w:r>
      <w:r>
        <w:rPr>
          <w:rFonts w:eastAsiaTheme="minorEastAsia"/>
          <w:bCs/>
        </w:rPr>
        <w:t xml:space="preserve">, I carry out k-means clustering </w:t>
      </w:r>
      <w:r w:rsidR="00671F72">
        <w:rPr>
          <w:rFonts w:eastAsiaTheme="minorEastAsia"/>
          <w:bCs/>
        </w:rPr>
        <w:t xml:space="preserve">on MSOAs’ overall JPRs, proportion of job allocation </w:t>
      </w:r>
      <w:r w:rsidR="00B03C4E">
        <w:rPr>
          <w:rFonts w:eastAsiaTheme="minorEastAsia"/>
          <w:bCs/>
        </w:rPr>
        <w:t xml:space="preserve">contributed by the </w:t>
      </w:r>
      <w:r w:rsidR="00671F72">
        <w:rPr>
          <w:rFonts w:eastAsiaTheme="minorEastAsia"/>
          <w:bCs/>
        </w:rPr>
        <w:t>industrial, consumer services, high-end services or public sectors, and IMD rank</w:t>
      </w:r>
      <w:r>
        <w:rPr>
          <w:rFonts w:eastAsiaTheme="minorEastAsia"/>
          <w:bCs/>
        </w:rPr>
        <w:t xml:space="preserve">.  The results for </w:t>
      </w:r>
      <w:r w:rsidR="00671F72">
        <w:rPr>
          <w:rFonts w:eastAsiaTheme="minorEastAsia"/>
          <w:bCs/>
        </w:rPr>
        <w:t>7 clusters</w:t>
      </w:r>
      <w:r>
        <w:rPr>
          <w:rFonts w:eastAsiaTheme="minorEastAsia"/>
          <w:bCs/>
        </w:rPr>
        <w:t xml:space="preserve"> are presented in Figure XX.  The upper left panel visualises the distribution of IMD ranks in each cluster.  </w:t>
      </w:r>
      <w:r w:rsidR="00671F72">
        <w:rPr>
          <w:rFonts w:eastAsiaTheme="minorEastAsia"/>
          <w:bCs/>
        </w:rPr>
        <w:t>Clusters 4 and 5 are most deprived, Clusters 0, 1 and 2 are less deprived and Clusters 3 and 6 are least deprived</w:t>
      </w:r>
      <w:r>
        <w:rPr>
          <w:rFonts w:eastAsiaTheme="minorEastAsia"/>
          <w:bCs/>
        </w:rPr>
        <w:t>.</w:t>
      </w:r>
    </w:p>
    <w:p w14:paraId="3837A9D7" w14:textId="79D01D07" w:rsidR="00C355AC" w:rsidRDefault="00C355AC" w:rsidP="00C355AC">
      <w:pPr>
        <w:pStyle w:val="NoSpacing"/>
        <w:spacing w:line="480" w:lineRule="auto"/>
        <w:ind w:firstLine="567"/>
        <w:jc w:val="both"/>
        <w:rPr>
          <w:rFonts w:eastAsiaTheme="minorEastAsia"/>
          <w:bCs/>
        </w:rPr>
      </w:pPr>
      <w:r>
        <w:rPr>
          <w:rFonts w:eastAsiaTheme="minorEastAsia"/>
          <w:bCs/>
        </w:rPr>
        <w:t>The upper right panel visualises the distribution of</w:t>
      </w:r>
      <w:r w:rsidR="00671F72">
        <w:rPr>
          <w:rFonts w:eastAsiaTheme="minorEastAsia"/>
          <w:bCs/>
        </w:rPr>
        <w:t xml:space="preserve"> JPR values per cluster</w:t>
      </w:r>
      <w:r>
        <w:rPr>
          <w:rFonts w:eastAsiaTheme="minorEastAsia"/>
          <w:bCs/>
        </w:rPr>
        <w:t xml:space="preserve">.  Among the </w:t>
      </w:r>
      <w:r w:rsidR="00671F72">
        <w:rPr>
          <w:rFonts w:eastAsiaTheme="minorEastAsia"/>
          <w:bCs/>
        </w:rPr>
        <w:t xml:space="preserve">most </w:t>
      </w:r>
      <w:r>
        <w:rPr>
          <w:rFonts w:eastAsiaTheme="minorEastAsia"/>
          <w:bCs/>
        </w:rPr>
        <w:t xml:space="preserve">deprived clusters, Cluster </w:t>
      </w:r>
      <w:r w:rsidR="00671F72">
        <w:rPr>
          <w:rFonts w:eastAsiaTheme="minorEastAsia"/>
          <w:bCs/>
        </w:rPr>
        <w:t>4</w:t>
      </w:r>
      <w:r>
        <w:rPr>
          <w:rFonts w:eastAsiaTheme="minorEastAsia"/>
          <w:bCs/>
        </w:rPr>
        <w:t xml:space="preserve"> </w:t>
      </w:r>
      <w:r w:rsidR="00671F72">
        <w:rPr>
          <w:rFonts w:eastAsiaTheme="minorEastAsia"/>
          <w:bCs/>
        </w:rPr>
        <w:t xml:space="preserve">tends to have JPR values below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indicating </w:t>
      </w:r>
      <w:r w:rsidR="0050735C">
        <w:rPr>
          <w:rFonts w:eastAsiaTheme="minorEastAsia"/>
          <w:bCs/>
        </w:rPr>
        <w:t>that these areas tend to have insufficient jobs within reach of their residents</w:t>
      </w:r>
      <w:r>
        <w:rPr>
          <w:rFonts w:eastAsiaTheme="minorEastAsia"/>
          <w:bCs/>
        </w:rPr>
        <w:t xml:space="preserve">.  However, </w:t>
      </w:r>
      <w:r w:rsidR="0050735C">
        <w:rPr>
          <w:rFonts w:eastAsiaTheme="minorEastAsia"/>
          <w:bCs/>
        </w:rPr>
        <w:t xml:space="preserve">Cluster 5 tends to have JPR values above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0735C">
        <w:rPr>
          <w:rFonts w:eastAsiaTheme="minorEastAsia"/>
          <w:bCs/>
        </w:rPr>
        <w:t>, indicating that there are plenty of jobs available for their residents</w:t>
      </w:r>
      <w:r>
        <w:rPr>
          <w:rFonts w:eastAsiaTheme="minorEastAsia"/>
          <w:bCs/>
        </w:rPr>
        <w:t>.</w:t>
      </w:r>
      <w:r w:rsidR="0050735C">
        <w:rPr>
          <w:rFonts w:eastAsiaTheme="minorEastAsia"/>
          <w:bCs/>
        </w:rPr>
        <w:t xml:space="preserve">  Of the less deprived clusters, Cluster 0 experiences the greatest shortages of jobs, while Cluster 1 has a large surplus of jobs.  For the least deprived clusters, Cluster 3 suffers from job shortages while the job allocation per working-age resident in Cluster 6 tends to be more balanced.</w:t>
      </w:r>
    </w:p>
    <w:p w14:paraId="3176E509" w14:textId="6B67F520"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w:r w:rsidR="0050735C">
        <w:rPr>
          <w:rFonts w:eastAsiaTheme="minorEastAsia"/>
          <w:bCs/>
        </w:rPr>
        <w:t>contributions to JPR v</w:t>
      </w:r>
      <w:r>
        <w:rPr>
          <w:rFonts w:eastAsiaTheme="minorEastAsia"/>
          <w:bCs/>
        </w:rPr>
        <w:t xml:space="preserve">alues per </w:t>
      </w:r>
      <w:r w:rsidR="0050735C">
        <w:rPr>
          <w:rFonts w:eastAsiaTheme="minorEastAsia"/>
          <w:bCs/>
        </w:rPr>
        <w:t xml:space="preserve">MSOA in each </w:t>
      </w:r>
      <w:r>
        <w:rPr>
          <w:rFonts w:eastAsiaTheme="minorEastAsia"/>
          <w:bCs/>
        </w:rPr>
        <w:t xml:space="preserve">cluster.  </w:t>
      </w:r>
      <w:r w:rsidR="0050735C">
        <w:rPr>
          <w:rFonts w:eastAsiaTheme="minorEastAsia"/>
          <w:bCs/>
        </w:rPr>
        <w:t xml:space="preserve">This sheds </w:t>
      </w:r>
      <w:proofErr w:type="gramStart"/>
      <w:r w:rsidR="0050735C">
        <w:rPr>
          <w:rFonts w:eastAsiaTheme="minorEastAsia"/>
          <w:bCs/>
        </w:rPr>
        <w:t>more light</w:t>
      </w:r>
      <w:proofErr w:type="gramEnd"/>
      <w:r w:rsidR="0050735C">
        <w:rPr>
          <w:rFonts w:eastAsiaTheme="minorEastAsia"/>
          <w:bCs/>
        </w:rPr>
        <w:t xml:space="preserve"> on the nature of the job allocation situation in the most disadvantaged clusters.  While MSOAs in Cluster 4</w:t>
      </w:r>
      <w:r w:rsidR="00B03C4E">
        <w:rPr>
          <w:rFonts w:eastAsiaTheme="minorEastAsia"/>
          <w:bCs/>
        </w:rPr>
        <w:t xml:space="preserve"> (containing about 15% of all working-age residents)</w:t>
      </w:r>
      <w:r w:rsidR="0050735C">
        <w:rPr>
          <w:rFonts w:eastAsiaTheme="minorEastAsia"/>
          <w:bCs/>
        </w:rPr>
        <w:t xml:space="preserve"> suffer from job shortages within 45min travel time, they tend to rely equally on the consumer services, high-end services and public sectors for their jobs; though there are too few jobs available, the available jobs exhibit sectoral diversity.  On the other hand, while MSOAs in Cluster 5</w:t>
      </w:r>
      <w:r w:rsidR="00B03C4E">
        <w:rPr>
          <w:rFonts w:eastAsiaTheme="minorEastAsia"/>
          <w:bCs/>
        </w:rPr>
        <w:t xml:space="preserve"> (containing about 16% of all working-age residents)</w:t>
      </w:r>
      <w:r w:rsidR="0050735C">
        <w:rPr>
          <w:rFonts w:eastAsiaTheme="minorEastAsia"/>
          <w:bCs/>
        </w:rPr>
        <w:t xml:space="preserve"> enjoy many jobs per working-age resident, more than half of these jobs tend to come from high-end services.  This may indicate that disadvantaged residents in these MSOAs are more likely to face a skills mismatch (they may lack the skills needed for jobs in the high-end services sector, especially for the most well-paid positions) and are more vulnerable to sudden shocks to employment in this sector.</w:t>
      </w:r>
    </w:p>
    <w:p w14:paraId="27D21080" w14:textId="319FB23F" w:rsidR="00633400" w:rsidRDefault="00651C83" w:rsidP="00C355AC">
      <w:pPr>
        <w:pStyle w:val="NoSpacing"/>
        <w:spacing w:line="480" w:lineRule="auto"/>
        <w:ind w:firstLine="567"/>
        <w:jc w:val="both"/>
        <w:rPr>
          <w:rFonts w:eastAsiaTheme="minorEastAsia"/>
          <w:bCs/>
        </w:rPr>
      </w:pPr>
      <w:r>
        <w:rPr>
          <w:rFonts w:eastAsiaTheme="minorEastAsia"/>
          <w:bCs/>
        </w:rPr>
        <w:t xml:space="preserve">It is also worth highlighting the situations for two other less socially deprived clusters.  Cluster 1 </w:t>
      </w:r>
      <w:r w:rsidR="00B03C4E">
        <w:rPr>
          <w:rFonts w:eastAsiaTheme="minorEastAsia"/>
          <w:bCs/>
        </w:rPr>
        <w:t xml:space="preserve">(with 16% of all working-age residents) </w:t>
      </w:r>
      <w:r>
        <w:rPr>
          <w:rFonts w:eastAsiaTheme="minorEastAsia"/>
          <w:bCs/>
        </w:rPr>
        <w:t xml:space="preserve">has </w:t>
      </w:r>
      <w:r w:rsidR="00B03C4E">
        <w:rPr>
          <w:rFonts w:eastAsiaTheme="minorEastAsia"/>
          <w:bCs/>
        </w:rPr>
        <w:t>the largest</w:t>
      </w:r>
      <w:r>
        <w:rPr>
          <w:rFonts w:eastAsiaTheme="minorEastAsia"/>
          <w:bCs/>
        </w:rPr>
        <w:t xml:space="preserve"> overprovision of jobs per working-age </w:t>
      </w:r>
      <w:r>
        <w:rPr>
          <w:rFonts w:eastAsiaTheme="minorEastAsia"/>
          <w:bCs/>
        </w:rPr>
        <w:lastRenderedPageBreak/>
        <w:t xml:space="preserve">resident, and MSOAs in this cluster tend to be </w:t>
      </w:r>
      <w:r w:rsidR="00B03C4E">
        <w:rPr>
          <w:rFonts w:eastAsiaTheme="minorEastAsia"/>
          <w:bCs/>
        </w:rPr>
        <w:t xml:space="preserve">more </w:t>
      </w:r>
      <w:r>
        <w:rPr>
          <w:rFonts w:eastAsiaTheme="minorEastAsia"/>
          <w:bCs/>
        </w:rPr>
        <w:t>reliant on high-end services for their job provision.  The residents in the MSOAs in this cluster may be more able to benefit from the plentiful amount of jobs in high-end services available</w:t>
      </w:r>
      <w:r w:rsidR="00B03C4E">
        <w:rPr>
          <w:rFonts w:eastAsiaTheme="minorEastAsia"/>
          <w:bCs/>
        </w:rPr>
        <w:t>, and the sheer number of jobs available to them may better insulate them from sectoral shocks in the labour market</w:t>
      </w:r>
      <w:r>
        <w:rPr>
          <w:rFonts w:eastAsiaTheme="minorEastAsia"/>
          <w:bCs/>
        </w:rPr>
        <w:t>.  Cluster 2</w:t>
      </w:r>
      <w:r w:rsidR="00B03C4E">
        <w:rPr>
          <w:rFonts w:eastAsiaTheme="minorEastAsia"/>
          <w:bCs/>
        </w:rPr>
        <w:t xml:space="preserve"> (with about 8% of all working-age residents)</w:t>
      </w:r>
      <w:r>
        <w:rPr>
          <w:rFonts w:eastAsiaTheme="minorEastAsia"/>
          <w:bCs/>
        </w:rPr>
        <w:t>, on the other hand, has relatively balanced job provision and is most reliant on consumer services jobs.  This captures the proximity of the MSOAs in Cluster 2 to Heathrow and the ecosystem of jobs that it provides.</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167484CD" w:rsidR="00FB0347" w:rsidRDefault="00FB0347" w:rsidP="004C3000">
      <w:pPr>
        <w:pStyle w:val="NoSpacing"/>
        <w:spacing w:line="480" w:lineRule="auto"/>
        <w:ind w:firstLine="567"/>
        <w:jc w:val="both"/>
        <w:rPr>
          <w:bCs/>
        </w:rPr>
      </w:pPr>
      <w:r>
        <w:rPr>
          <w:bCs/>
        </w:rPr>
        <w:t xml:space="preserve">In addition to collecting data on the options to travel between every pair of MSOAs assuming all services run as scheduled, I collected AM peak travel option data on trips </w:t>
      </w:r>
      <w:r w:rsidR="00EA1B49">
        <w:rPr>
          <w:bCs/>
        </w:rPr>
        <w:t>starting from the population-weighted centroids of</w:t>
      </w:r>
      <w:r>
        <w:rPr>
          <w:bCs/>
        </w:rPr>
        <w:t xml:space="preserve"> all MSOAs </w:t>
      </w:r>
      <w:r w:rsidR="00EA1B49">
        <w:rPr>
          <w:bCs/>
        </w:rPr>
        <w:t>and ending at the job-weighted centroids of</w:t>
      </w:r>
      <w:r>
        <w:rPr>
          <w:bCs/>
        </w:rPr>
        <w:t xml:space="preserve"> 7 strategically </w:t>
      </w:r>
      <w:r w:rsidR="00205652">
        <w:rPr>
          <w:bCs/>
        </w:rPr>
        <w:t>located</w:t>
      </w:r>
      <w:r>
        <w:rPr>
          <w:bCs/>
        </w:rPr>
        <w:t xml:space="preserve"> destinations over 50 days in real time.  Thus, for each of these 6881 </w:t>
      </w:r>
      <w:r w:rsidR="00EA1B49">
        <w:rPr>
          <w:bCs/>
        </w:rPr>
        <w:t>origin-destination pairs</w:t>
      </w:r>
      <w:r>
        <w:rPr>
          <w:bCs/>
        </w:rPr>
        <w:t xml:space="preserve">, I obtained a distribution of 50 </w:t>
      </w:r>
      <w:r w:rsidR="00EA1B49">
        <w:rPr>
          <w:bCs/>
        </w:rPr>
        <w:t xml:space="preserve">minimum </w:t>
      </w:r>
      <w:r>
        <w:rPr>
          <w:bCs/>
        </w:rPr>
        <w:t>travel times.</w:t>
      </w:r>
      <w:r w:rsidR="00EA1B49">
        <w:rPr>
          <w:bCs/>
        </w:rPr>
        <w:t xml:space="preserve">  From this data, I then calculate the width of the 90% highest probability density interval (hereafter the interval width) for each origin-destination pair.  The interval width indicates how compact the distribution of observed travel times is for each origin-destination pair; for example, an interval width of 5min means that the 95</w:t>
      </w:r>
      <w:r w:rsidR="00EA1B49" w:rsidRPr="00287A1C">
        <w:rPr>
          <w:bCs/>
          <w:vertAlign w:val="superscript"/>
        </w:rPr>
        <w:t>th</w:t>
      </w:r>
      <w:r w:rsidR="00EA1B49">
        <w:rPr>
          <w:bCs/>
        </w:rPr>
        <w:t xml:space="preserve"> percentile observed travel time (for an unusually slow trip) is only 5min more than the 5</w:t>
      </w:r>
      <w:r w:rsidR="00EA1B49" w:rsidRPr="00287A1C">
        <w:rPr>
          <w:bCs/>
          <w:vertAlign w:val="superscript"/>
        </w:rPr>
        <w:t>th</w:t>
      </w:r>
      <w:r w:rsidR="00EA1B49">
        <w:rPr>
          <w:bCs/>
        </w:rPr>
        <w:t xml:space="preserve"> percentile (for an unusually fast trip), indicating that travel times between that origin-destination pair are relatively reliable.  </w:t>
      </w:r>
    </w:p>
    <w:p w14:paraId="545E0538" w14:textId="28EC2686" w:rsidR="00287A1C"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 xml:space="preserve">the </w:t>
      </w:r>
      <w:r w:rsidR="00EA1B49">
        <w:rPr>
          <w:bCs/>
        </w:rPr>
        <w:t xml:space="preserve">interval width of </w:t>
      </w:r>
      <w:r>
        <w:rPr>
          <w:bCs/>
        </w:rPr>
        <w:t xml:space="preserve">trips originating in each MSOA and terminating at one of the 7 destinations (outlined in red in each map).  </w:t>
      </w:r>
      <w:r w:rsidR="0088101E">
        <w:rPr>
          <w:bCs/>
        </w:rPr>
        <w:t>To facilitate comparison of interval widths between different destinations, all maps use the same binning scheme to visualise the interval widths.</w:t>
      </w:r>
      <w:r w:rsidR="00EA1B49">
        <w:rPr>
          <w:bCs/>
        </w:rPr>
        <w:t xml:space="preserve">  </w:t>
      </w: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w:t>
      </w:r>
      <w:r w:rsidR="0088101E">
        <w:rPr>
          <w:bCs/>
        </w:rPr>
        <w:lastRenderedPageBreak/>
        <w:t xml:space="preserve">blocked, and even if a route is blocked, the high density of the walkable network means that travellers are likely to </w:t>
      </w:r>
      <w:r w:rsidR="00DC6177">
        <w:rPr>
          <w:bCs/>
        </w:rPr>
        <w:t>easily</w:t>
      </w:r>
      <w:r w:rsidR="0088101E">
        <w:rPr>
          <w:bCs/>
        </w:rPr>
        <w:t xml:space="preserve">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Areas that are not directly connected to a destination by rail and that are too far to walk tend to have wider intervals, even if they are relatively near the destination.  </w:t>
      </w:r>
      <w:r w:rsidR="0088101E">
        <w:rPr>
          <w:bCs/>
        </w:rPr>
        <w:t xml:space="preserve">Such areas tend to rely more on buses to connect to each destination, and </w:t>
      </w:r>
      <w:r w:rsidR="00EA1B49">
        <w:rPr>
          <w:bCs/>
        </w:rPr>
        <w:t xml:space="preserve">this indicates </w:t>
      </w:r>
      <w:r w:rsidR="0088101E">
        <w:rPr>
          <w:bCs/>
        </w:rPr>
        <w:t>that travel times by bus are less reliable</w:t>
      </w:r>
      <w:r w:rsidR="00230F8A">
        <w:rPr>
          <w:bCs/>
        </w:rPr>
        <w:t xml:space="preserve">.  Also, </w:t>
      </w:r>
      <w:r w:rsidR="00EA1B49">
        <w:rPr>
          <w:bCs/>
        </w:rPr>
        <w:t xml:space="preserve">trips originating from </w:t>
      </w:r>
      <w:r w:rsidR="00230F8A">
        <w:rPr>
          <w:bCs/>
        </w:rPr>
        <w:t xml:space="preserve">locations further from a destination tend to have wider intervals, as these </w:t>
      </w:r>
      <w:r w:rsidR="00EA1B49">
        <w:rPr>
          <w:bCs/>
        </w:rPr>
        <w:t>trips cover greater distances and tend to involve more interchanging</w:t>
      </w:r>
      <w:r w:rsidR="00230F8A">
        <w:rPr>
          <w:bCs/>
        </w:rPr>
        <w:t xml:space="preserve">,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EA1B49">
        <w:rPr>
          <w:bCs/>
        </w:rPr>
        <w:t xml:space="preserve"> and the number of interchanges</w:t>
      </w:r>
      <w:r w:rsidR="00230F8A">
        <w:rPr>
          <w:bCs/>
        </w:rPr>
        <w:t>.</w:t>
      </w:r>
    </w:p>
    <w:p w14:paraId="38F6E838" w14:textId="2BEF7943"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w:t>
      </w:r>
      <w:r w:rsidR="00777615">
        <w:rPr>
          <w:bCs/>
        </w:rPr>
        <w:t>due</w:t>
      </w:r>
      <w:r>
        <w:rPr>
          <w:bCs/>
        </w:rPr>
        <w:t xml:space="preserve"> to the more </w:t>
      </w:r>
      <w:r w:rsidR="00175E79">
        <w:rPr>
          <w:bCs/>
        </w:rPr>
        <w:t>grid-like</w:t>
      </w:r>
      <w:r>
        <w:rPr>
          <w:bCs/>
        </w:rPr>
        <w:t xml:space="preserve"> rail network north of the Thames, which provides commuters with more alternative </w:t>
      </w:r>
      <w:r w:rsidR="00175E79">
        <w:rPr>
          <w:bCs/>
        </w:rPr>
        <w:t xml:space="preserve">rail </w:t>
      </w:r>
      <w:r>
        <w:rPr>
          <w:bCs/>
        </w:rPr>
        <w:t>routes</w:t>
      </w:r>
      <w:r w:rsidR="00175E79">
        <w:rPr>
          <w:bCs/>
        </w:rPr>
        <w:t xml:space="preserve"> if a </w:t>
      </w:r>
      <w:proofErr w:type="gramStart"/>
      <w:r w:rsidR="00175E79">
        <w:rPr>
          <w:bCs/>
        </w:rPr>
        <w:t>particular section</w:t>
      </w:r>
      <w:proofErr w:type="gramEnd"/>
      <w:r w:rsidR="00175E79">
        <w:rPr>
          <w:bCs/>
        </w:rPr>
        <w:t xml:space="preserve"> of the rail network fails.  In contrast, travel times to Lewisham and Streatham tend to be more variable, possibly reflecting the more tree-like structure of the rail network there, which provides less network </w:t>
      </w:r>
      <w:r w:rsidR="00777615">
        <w:rPr>
          <w:bCs/>
        </w:rPr>
        <w:t xml:space="preserve">resilience </w:t>
      </w:r>
      <w:r w:rsidR="00175E79">
        <w:rPr>
          <w:bCs/>
        </w:rPr>
        <w:t xml:space="preserve">against failures </w:t>
      </w:r>
      <w:r w:rsidR="00EA1B49">
        <w:rPr>
          <w:bCs/>
        </w:rPr>
        <w:t>along the</w:t>
      </w:r>
      <w:r w:rsidR="00175E79">
        <w:rPr>
          <w:bCs/>
        </w:rPr>
        <w:t xml:space="preserve"> line</w:t>
      </w:r>
      <w:r w:rsidR="00EA1B49">
        <w:rPr>
          <w:bCs/>
        </w:rPr>
        <w:t>s</w:t>
      </w:r>
      <w:r w:rsidR="00175E79">
        <w:rPr>
          <w:bCs/>
        </w:rPr>
        <w:t xml:space="preserve">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1E517AE2" w:rsidR="00480FBF" w:rsidRDefault="008464C1" w:rsidP="004C3000">
      <w:pPr>
        <w:pStyle w:val="NoSpacing"/>
        <w:spacing w:line="480" w:lineRule="auto"/>
        <w:ind w:firstLine="567"/>
        <w:jc w:val="both"/>
        <w:rPr>
          <w:bCs/>
        </w:rPr>
      </w:pPr>
      <w:r>
        <w:rPr>
          <w:bCs/>
        </w:rPr>
        <w:t xml:space="preserve">An important question to investigate is the extent to which areas that are burdened by high travel times and/or low travel time reliability are also more socially deprived.  To do this, I carry out </w:t>
      </w:r>
      <w:r w:rsidR="00777615">
        <w:rPr>
          <w:bCs/>
        </w:rPr>
        <w:t xml:space="preserve">another </w:t>
      </w:r>
      <w:r>
        <w:rPr>
          <w:bCs/>
        </w:rPr>
        <w:t xml:space="preserve">K-means clustering </w:t>
      </w:r>
      <w:r w:rsidR="00777615">
        <w:rPr>
          <w:bCs/>
        </w:rPr>
        <w:t>analysis</w:t>
      </w:r>
      <w:r>
        <w:rPr>
          <w:bCs/>
        </w:rPr>
        <w:t xml:space="preserve">, considering </w:t>
      </w:r>
      <w:r w:rsidR="001F53E9">
        <w:rPr>
          <w:bCs/>
        </w:rPr>
        <w:t xml:space="preserve">each MSOA’s median observed travel time and interval width for trips to the City (the MSOA that contains the most jobs), the median observed travel </w:t>
      </w:r>
      <w:r w:rsidR="001F53E9">
        <w:rPr>
          <w:bCs/>
        </w:rPr>
        <w:lastRenderedPageBreak/>
        <w:t>time and interval width for trips to one of the 6 other destinations that is closest to each MSOA (to capture the extent to which each MSOA is well connected to its local neighbours), and its IMD rank.</w:t>
      </w:r>
    </w:p>
    <w:p w14:paraId="3C0D6CB6" w14:textId="19881BEE" w:rsidR="008464C1" w:rsidRDefault="00480FBF" w:rsidP="004C3000">
      <w:pPr>
        <w:pStyle w:val="NoSpacing"/>
        <w:spacing w:line="480" w:lineRule="auto"/>
        <w:ind w:firstLine="567"/>
        <w:jc w:val="both"/>
        <w:rPr>
          <w:bCs/>
        </w:rPr>
      </w:pPr>
      <w:r>
        <w:rPr>
          <w:bCs/>
        </w:rPr>
        <w:t>Figure XX presents the characteristics of each cluster when 7 clusters are identified.  Clusters</w:t>
      </w:r>
      <w:r w:rsidR="00777615">
        <w:rPr>
          <w:bCs/>
        </w:rPr>
        <w:t xml:space="preserve"> 1,</w:t>
      </w:r>
      <w:r>
        <w:rPr>
          <w:bCs/>
        </w:rPr>
        <w:t xml:space="preserve"> </w:t>
      </w:r>
      <w:r w:rsidR="00777615">
        <w:rPr>
          <w:bCs/>
        </w:rPr>
        <w:t xml:space="preserve">4, 5 and 6 </w:t>
      </w:r>
      <w:r>
        <w:rPr>
          <w:bCs/>
        </w:rPr>
        <w:t xml:space="preserve">tend to have lower IMD ranks that reflect higher social deprivation.  Among these, Cluster </w:t>
      </w:r>
      <w:r w:rsidR="00777615">
        <w:rPr>
          <w:bCs/>
        </w:rPr>
        <w:t>5 (containing about 24% of all working-age residents)</w:t>
      </w:r>
      <w:r>
        <w:rPr>
          <w:bCs/>
        </w:rPr>
        <w:t xml:space="preserve"> tends to have lower and less variable travel times to the City and to their local </w:t>
      </w:r>
      <w:r w:rsidR="001F53E9">
        <w:rPr>
          <w:bCs/>
        </w:rPr>
        <w:t>destination</w:t>
      </w:r>
      <w:r>
        <w:rPr>
          <w:bCs/>
        </w:rPr>
        <w:t xml:space="preserve">.  MSOAs in this cluster tend to be more centrally located and to have direct access to the rail system.  Cluster </w:t>
      </w:r>
      <w:r w:rsidR="00777615">
        <w:rPr>
          <w:bCs/>
        </w:rPr>
        <w:t>6 (with 12% of the working-age population)</w:t>
      </w:r>
      <w:r>
        <w:rPr>
          <w:bCs/>
        </w:rPr>
        <w:t xml:space="preserve"> tends to have higher but less variable travel times to the City and their local </w:t>
      </w:r>
      <w:r w:rsidR="001F53E9">
        <w:rPr>
          <w:bCs/>
        </w:rPr>
        <w:t>destination</w:t>
      </w:r>
      <w:r>
        <w:rPr>
          <w:bCs/>
        </w:rPr>
        <w:t xml:space="preserve">.  These tend to also have direct access to the rail </w:t>
      </w:r>
      <w:proofErr w:type="gramStart"/>
      <w:r>
        <w:rPr>
          <w:bCs/>
        </w:rPr>
        <w:t>network, but</w:t>
      </w:r>
      <w:proofErr w:type="gramEnd"/>
      <w:r>
        <w:rPr>
          <w:bCs/>
        </w:rPr>
        <w:t xml:space="preserve"> are located further from the </w:t>
      </w:r>
      <w:r w:rsidR="001F53E9">
        <w:rPr>
          <w:bCs/>
        </w:rPr>
        <w:t>City</w:t>
      </w:r>
      <w:r>
        <w:rPr>
          <w:bCs/>
        </w:rPr>
        <w:t xml:space="preserve"> than MSOAs in Cluster </w:t>
      </w:r>
      <w:r w:rsidR="00777615">
        <w:rPr>
          <w:bCs/>
        </w:rPr>
        <w:t>5</w:t>
      </w:r>
      <w:r>
        <w:rPr>
          <w:bCs/>
        </w:rPr>
        <w:t xml:space="preserve">.  </w:t>
      </w:r>
      <w:r w:rsidR="00777615">
        <w:rPr>
          <w:bCs/>
        </w:rPr>
        <w:t xml:space="preserve">Cluster 1 (with 10% of all working-age residents) tends to have more reliable travel times to their local destination but less reliable times to the City, even though they may be located quite near the centre, indicating that there are reliability problems with the radial connections from these areas to the City.  </w:t>
      </w:r>
      <w:r>
        <w:rPr>
          <w:bCs/>
        </w:rPr>
        <w:t>On the other hand, Cluster 4</w:t>
      </w:r>
      <w:r w:rsidR="00777615">
        <w:rPr>
          <w:bCs/>
        </w:rPr>
        <w:t xml:space="preserve"> (containing 10% of the working-age population)</w:t>
      </w:r>
      <w:r>
        <w:rPr>
          <w:bCs/>
        </w:rPr>
        <w:t xml:space="preserve"> tends to have more variable travel times to the City and the</w:t>
      </w:r>
      <w:r w:rsidR="00777615">
        <w:rPr>
          <w:bCs/>
        </w:rPr>
        <w:t>i</w:t>
      </w:r>
      <w:r>
        <w:rPr>
          <w:bCs/>
        </w:rPr>
        <w:t xml:space="preserve">r local </w:t>
      </w:r>
      <w:r w:rsidR="001F53E9">
        <w:rPr>
          <w:bCs/>
        </w:rPr>
        <w:t>destination</w:t>
      </w:r>
      <w:r>
        <w:rPr>
          <w:bCs/>
        </w:rPr>
        <w:t>.  While MSOAs in this cluster may also be relatively centrally located, they tend to not have direct access to the rail system</w:t>
      </w:r>
      <w:r w:rsidR="001F53E9">
        <w:rPr>
          <w:bCs/>
        </w:rPr>
        <w:t>,</w:t>
      </w:r>
      <w:r>
        <w:rPr>
          <w:bCs/>
        </w:rPr>
        <w:t xml:space="preserve"> or </w:t>
      </w:r>
      <w:r w:rsidR="001F53E9">
        <w:rPr>
          <w:bCs/>
        </w:rPr>
        <w:t xml:space="preserve">the </w:t>
      </w:r>
      <w:r>
        <w:rPr>
          <w:bCs/>
        </w:rPr>
        <w:t xml:space="preserve">rail lines that </w:t>
      </w:r>
      <w:r w:rsidR="001F53E9">
        <w:rPr>
          <w:bCs/>
        </w:rPr>
        <w:t xml:space="preserve">they can access do not </w:t>
      </w:r>
      <w:r>
        <w:rPr>
          <w:bCs/>
        </w:rPr>
        <w:t>run radially to the centre of the network</w:t>
      </w:r>
      <w:r w:rsidR="001F53E9">
        <w:rPr>
          <w:bCs/>
        </w:rPr>
        <w:t>.  Thus</w:t>
      </w:r>
      <w:r>
        <w:rPr>
          <w:bCs/>
        </w:rPr>
        <w:t xml:space="preserve">, </w:t>
      </w:r>
      <w:r w:rsidR="001F53E9">
        <w:rPr>
          <w:bCs/>
        </w:rPr>
        <w:t xml:space="preserve">residents in these MSOAs </w:t>
      </w:r>
      <w:r>
        <w:rPr>
          <w:bCs/>
        </w:rPr>
        <w:t>may need to rely more on slower and less reliable buses or to make longer rail trips with more interchanges</w:t>
      </w:r>
      <w:r w:rsidR="001F53E9">
        <w:rPr>
          <w:bCs/>
        </w:rPr>
        <w:t>, both of which would make their journey times less reliable</w:t>
      </w:r>
      <w:r>
        <w:rPr>
          <w:bCs/>
        </w:rPr>
        <w:t>.</w:t>
      </w:r>
    </w:p>
    <w:p w14:paraId="31D2F0ED" w14:textId="7D974646"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proofErr w:type="gramStart"/>
      <w:r w:rsidR="00777615">
        <w:rPr>
          <w:bCs/>
        </w:rPr>
        <w:t>In particular</w:t>
      </w:r>
      <w:r>
        <w:rPr>
          <w:bCs/>
        </w:rPr>
        <w:t>, MSOAs</w:t>
      </w:r>
      <w:proofErr w:type="gramEnd"/>
      <w:r>
        <w:rPr>
          <w:bCs/>
        </w:rPr>
        <w:t xml:space="preserve"> in </w:t>
      </w:r>
      <w:r w:rsidR="00777615">
        <w:rPr>
          <w:bCs/>
        </w:rPr>
        <w:t xml:space="preserve">Clusters 2 and 3 (together accounting for nearly a third of the working-age population) </w:t>
      </w:r>
      <w:r>
        <w:rPr>
          <w:bCs/>
        </w:rPr>
        <w:t xml:space="preserve">tend to be located near the outskirts of the GLA area.  </w:t>
      </w:r>
      <w:r w:rsidR="006670C7">
        <w:rPr>
          <w:bCs/>
        </w:rPr>
        <w:t>Residents in these areas may find public transport less useful and reliable for connecting to important destinations</w:t>
      </w:r>
      <w:r>
        <w:rPr>
          <w:bCs/>
        </w:rPr>
        <w:t>.</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0C065BB5" w:rsidR="006A4F83" w:rsidRDefault="006A4F83" w:rsidP="004C3000">
      <w:pPr>
        <w:pStyle w:val="NoSpacing"/>
        <w:spacing w:line="480" w:lineRule="auto"/>
        <w:ind w:firstLine="567"/>
        <w:jc w:val="both"/>
        <w:rPr>
          <w:bCs/>
        </w:rPr>
      </w:pPr>
      <w:r>
        <w:rPr>
          <w:bCs/>
        </w:rPr>
        <w:lastRenderedPageBreak/>
        <w:t xml:space="preserve">As we have seen, </w:t>
      </w:r>
      <w:r w:rsidR="00094334">
        <w:rPr>
          <w:bCs/>
        </w:rPr>
        <w:t xml:space="preserve">the level of </w:t>
      </w:r>
      <w:r>
        <w:rPr>
          <w:bCs/>
        </w:rPr>
        <w:t xml:space="preserve">travel time variability </w:t>
      </w:r>
      <w:r w:rsidR="00094334">
        <w:rPr>
          <w:bCs/>
        </w:rPr>
        <w:t xml:space="preserve">differs </w:t>
      </w:r>
      <w:r>
        <w:rPr>
          <w:bCs/>
        </w:rPr>
        <w:t xml:space="preserve">across trips.  But why do some trips have more variable travel times than others?  </w:t>
      </w:r>
      <w:r w:rsidR="00094334">
        <w:rPr>
          <w:bCs/>
        </w:rPr>
        <w:t xml:space="preserve">Three factors have already been mentioned: </w:t>
      </w:r>
      <w:r>
        <w:rPr>
          <w:bCs/>
        </w:rPr>
        <w:t>the distance covered for each trip</w:t>
      </w:r>
      <w:r w:rsidR="00094334">
        <w:rPr>
          <w:bCs/>
        </w:rPr>
        <w:t>,</w:t>
      </w:r>
      <w:r>
        <w:rPr>
          <w:bCs/>
        </w:rPr>
        <w:t xml:space="preserve"> </w:t>
      </w:r>
      <w:r w:rsidR="00094334">
        <w:rPr>
          <w:bCs/>
        </w:rPr>
        <w:t xml:space="preserve">(as </w:t>
      </w:r>
      <w:r>
        <w:rPr>
          <w:bCs/>
        </w:rPr>
        <w:t xml:space="preserve">the probability that a disruption occurs at any point along a trip </w:t>
      </w:r>
      <w:r w:rsidR="001F53E9">
        <w:rPr>
          <w:bCs/>
        </w:rPr>
        <w:t xml:space="preserve">probably </w:t>
      </w:r>
      <w:r>
        <w:rPr>
          <w:bCs/>
        </w:rPr>
        <w:t>increases with the length of the trip</w:t>
      </w:r>
      <w:r w:rsidR="00094334">
        <w:rPr>
          <w:bCs/>
        </w:rPr>
        <w:t xml:space="preserve">), the reliability of different </w:t>
      </w:r>
      <w:r>
        <w:rPr>
          <w:bCs/>
        </w:rPr>
        <w:t>travel modes (walking</w:t>
      </w:r>
      <w:r w:rsidR="00094334">
        <w:rPr>
          <w:bCs/>
        </w:rPr>
        <w:t xml:space="preserve"> or</w:t>
      </w:r>
      <w:r>
        <w:rPr>
          <w:bCs/>
        </w:rPr>
        <w:t xml:space="preserve"> rail </w:t>
      </w:r>
      <w:r w:rsidR="00094334">
        <w:rPr>
          <w:bCs/>
        </w:rPr>
        <w:t>seem to be more reliable than the bus</w:t>
      </w:r>
      <w:r>
        <w:rPr>
          <w:bCs/>
        </w:rPr>
        <w:t>)</w:t>
      </w:r>
      <w:r w:rsidR="00094334">
        <w:rPr>
          <w:bCs/>
        </w:rPr>
        <w:t xml:space="preserve">, and location-specific factors (like the extent to which the local network is </w:t>
      </w:r>
      <w:proofErr w:type="spellStart"/>
      <w:r w:rsidR="00094334">
        <w:rPr>
          <w:bCs/>
        </w:rPr>
        <w:t>gridlike</w:t>
      </w:r>
      <w:proofErr w:type="spellEnd"/>
      <w:r w:rsidR="00094334">
        <w:rPr>
          <w:bCs/>
        </w:rPr>
        <w:t xml:space="preserve"> rather than treelike, or the operators that provide services in the area</w:t>
      </w:r>
      <w:r>
        <w:rPr>
          <w:bCs/>
        </w:rPr>
        <w:t>).</w:t>
      </w:r>
    </w:p>
    <w:p w14:paraId="5215767B" w14:textId="4F4E81BC" w:rsidR="00822C10" w:rsidRDefault="00822C10" w:rsidP="004C3000">
      <w:pPr>
        <w:pStyle w:val="NoSpacing"/>
        <w:spacing w:line="480" w:lineRule="auto"/>
        <w:ind w:firstLine="567"/>
        <w:jc w:val="both"/>
        <w:rPr>
          <w:bCs/>
        </w:rPr>
      </w:pPr>
      <w:r>
        <w:rPr>
          <w:bCs/>
        </w:rPr>
        <w:t xml:space="preserve">To investigate the factors shaping travel time variability across trips, I carry out a set of linear regression analyses on </w:t>
      </w:r>
      <w:r w:rsidR="00094334">
        <w:rPr>
          <w:bCs/>
        </w:rPr>
        <w:t xml:space="preserve">the </w:t>
      </w:r>
      <w:r>
        <w:rPr>
          <w:bCs/>
        </w:rPr>
        <w:t>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by each mode</w:t>
      </w:r>
      <w:r w:rsidR="00271085" w:rsidRPr="00271085">
        <w:rPr>
          <w:bCs/>
        </w:rPr>
        <w:t xml:space="preserve"> </w:t>
      </w:r>
      <w:r w:rsidR="00271085">
        <w:rPr>
          <w:bCs/>
        </w:rPr>
        <w:t>for the fastest option</w:t>
      </w:r>
      <w:r>
        <w:rPr>
          <w:bCs/>
        </w:rPr>
        <w:t>, assuming all services run as scheduled.</w:t>
      </w:r>
    </w:p>
    <w:p w14:paraId="406145F4" w14:textId="5AD2DD79" w:rsidR="006A4F83" w:rsidRDefault="00822C10" w:rsidP="004C3000">
      <w:pPr>
        <w:pStyle w:val="NoSpacing"/>
        <w:spacing w:line="480" w:lineRule="auto"/>
        <w:ind w:firstLine="567"/>
        <w:jc w:val="both"/>
        <w:rPr>
          <w:bCs/>
        </w:rPr>
      </w:pPr>
      <w:r>
        <w:rPr>
          <w:bCs/>
        </w:rPr>
        <w:t>The results for this model are shown in Column 1 of Table XX</w:t>
      </w:r>
      <w:r w:rsidR="00094334">
        <w:rPr>
          <w:bCs/>
        </w:rPr>
        <w:t>.  The statistically significant results indicate that in general, increasing distance travelled by any mode tends to increase interval widths</w:t>
      </w:r>
      <w:r>
        <w:rPr>
          <w:bCs/>
        </w:rPr>
        <w:t xml:space="preserve">, </w:t>
      </w:r>
      <w:r w:rsidR="00094334">
        <w:rPr>
          <w:bCs/>
        </w:rPr>
        <w:t xml:space="preserve">in line with the idea that longer trips are more vulnerable to disruptions.  Individual coefficient estimates also </w:t>
      </w:r>
      <w:r>
        <w:rPr>
          <w:bCs/>
        </w:rPr>
        <w:t xml:space="preserve">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Every additional kilometre travelled by Overground also increases the interval width by 0.1min.  The Overground was conceived to take over the operation of some National Rail lines to increase service reliability</w:t>
      </w:r>
      <w:sdt>
        <w:sdtPr>
          <w:rPr>
            <w:bCs/>
          </w:rPr>
          <w:id w:val="-682819148"/>
          <w:citation/>
        </w:sdtPr>
        <w:sdtContent>
          <w:r w:rsidR="00094334">
            <w:rPr>
              <w:bCs/>
            </w:rPr>
            <w:fldChar w:fldCharType="begin"/>
          </w:r>
          <w:r w:rsidR="00094334">
            <w:rPr>
              <w:bCs/>
            </w:rPr>
            <w:instrText xml:space="preserve"> CITATION GLA2018 \l 18441 </w:instrText>
          </w:r>
          <w:r w:rsidR="00094334">
            <w:rPr>
              <w:bCs/>
            </w:rPr>
            <w:fldChar w:fldCharType="separate"/>
          </w:r>
          <w:r w:rsidR="00094334">
            <w:rPr>
              <w:bCs/>
              <w:noProof/>
            </w:rPr>
            <w:t xml:space="preserve"> </w:t>
          </w:r>
          <w:r w:rsidR="00094334" w:rsidRPr="00094334">
            <w:rPr>
              <w:noProof/>
            </w:rPr>
            <w:t>(Greater London Authority, 2018)</w:t>
          </w:r>
          <w:r w:rsidR="00094334">
            <w:rPr>
              <w:bCs/>
            </w:rPr>
            <w:fldChar w:fldCharType="end"/>
          </w:r>
        </w:sdtContent>
      </w:sdt>
      <w:r w:rsidR="00DD7F6F">
        <w:rPr>
          <w:bCs/>
        </w:rPr>
        <w:t xml:space="preserve">, so this result is discouraging.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w:t>
      </w:r>
      <w:r w:rsidR="00094334">
        <w:rPr>
          <w:bCs/>
        </w:rPr>
        <w:t xml:space="preserve">earlier indications </w:t>
      </w:r>
      <w:r>
        <w:rPr>
          <w:bCs/>
        </w:rPr>
        <w:t xml:space="preserve">that walking is </w:t>
      </w:r>
      <w:r w:rsidR="00094334">
        <w:rPr>
          <w:bCs/>
        </w:rPr>
        <w:t xml:space="preserve">a </w:t>
      </w:r>
      <w:r>
        <w:rPr>
          <w:bCs/>
        </w:rPr>
        <w:t xml:space="preserve">reliable mode of </w:t>
      </w:r>
      <w:proofErr w:type="gramStart"/>
      <w:r>
        <w:rPr>
          <w:bCs/>
        </w:rPr>
        <w:t>transport, but</w:t>
      </w:r>
      <w:proofErr w:type="gramEnd"/>
      <w:r>
        <w:rPr>
          <w:bCs/>
        </w:rPr>
        <w:t xml:space="preserve"> can reflect that trips that involve more interchang</w:t>
      </w:r>
      <w:r w:rsidR="00094334">
        <w:rPr>
          <w:bCs/>
        </w:rPr>
        <w:t>ing</w:t>
      </w:r>
      <w:r>
        <w:rPr>
          <w:bCs/>
        </w:rPr>
        <w:t xml:space="preserve"> also require more walking, and </w:t>
      </w:r>
      <w:r w:rsidR="009E24B3">
        <w:rPr>
          <w:bCs/>
        </w:rPr>
        <w:t xml:space="preserve">the coefficient for </w:t>
      </w:r>
      <w:r w:rsidR="009E24B3">
        <w:rPr>
          <w:bCs/>
        </w:rPr>
        <w:lastRenderedPageBreak/>
        <w:t>distance walked reflects the increased vulnerability of trips with more interchanges to disrupt</w:t>
      </w:r>
      <w:r w:rsidR="00094334">
        <w:rPr>
          <w:bCs/>
        </w:rPr>
        <w:t>ions</w:t>
      </w:r>
      <w:r w:rsidR="009E24B3">
        <w:rPr>
          <w:bCs/>
        </w:rPr>
        <w:t xml:space="preserve"> </w:t>
      </w:r>
      <w:proofErr w:type="spellStart"/>
      <w:r w:rsidR="009E24B3">
        <w:rPr>
          <w:bCs/>
        </w:rPr>
        <w:t>en</w:t>
      </w:r>
      <w:proofErr w:type="spellEnd"/>
      <w:r w:rsidR="009E24B3">
        <w:rPr>
          <w:bCs/>
        </w:rPr>
        <w:t xml:space="preserve"> route.</w:t>
      </w:r>
    </w:p>
    <w:p w14:paraId="0DB8A49C" w14:textId="77777777" w:rsidR="007F5E8F" w:rsidRDefault="00094334" w:rsidP="004C3000">
      <w:pPr>
        <w:pStyle w:val="NoSpacing"/>
        <w:spacing w:line="480" w:lineRule="auto"/>
        <w:ind w:firstLine="567"/>
        <w:jc w:val="both"/>
        <w:rPr>
          <w:bCs/>
        </w:rPr>
      </w:pPr>
      <w:r>
        <w:rPr>
          <w:bCs/>
        </w:rPr>
        <w:t>B</w:t>
      </w:r>
      <w:r w:rsidR="0017381D">
        <w:rPr>
          <w:bCs/>
        </w:rPr>
        <w:t xml:space="preserve">ecause all the MSOAs are connected to each other via the same transport network, </w:t>
      </w:r>
      <w:r w:rsidR="00271085">
        <w:rPr>
          <w:bCs/>
        </w:rPr>
        <w:t>there is likely to be a mutual correlation structure between the interval widths of different trips</w:t>
      </w:r>
      <w:r w:rsidR="0017381D">
        <w:rPr>
          <w:bCs/>
        </w:rPr>
        <w:t xml:space="preserve">.  For instance, two MSOAs that are located along the </w:t>
      </w:r>
      <w:r>
        <w:rPr>
          <w:bCs/>
        </w:rPr>
        <w:t>transport</w:t>
      </w:r>
      <w:r w:rsidR="0017381D">
        <w:rPr>
          <w:bCs/>
        </w:rPr>
        <w:t xml:space="preserve"> line can be expected to have similar interval widths for trips </w:t>
      </w:r>
      <w:r>
        <w:rPr>
          <w:bCs/>
        </w:rPr>
        <w:t>via that line</w:t>
      </w:r>
      <w:r w:rsidR="0017381D">
        <w:rPr>
          <w:bCs/>
        </w:rPr>
        <w:t xml:space="preserve">, as both will be affected by any disruptions along that line.  </w:t>
      </w:r>
      <w:r>
        <w:rPr>
          <w:bCs/>
        </w:rPr>
        <w:t>If the non-independence of the interval widths between trips is not accounted for, the correlation structures among different observations of the interval widths may distort the coefficient estimates for the covariates included in the model.</w:t>
      </w:r>
    </w:p>
    <w:p w14:paraId="6E50FF14" w14:textId="77777777" w:rsidR="007F5E8F" w:rsidRDefault="0017381D" w:rsidP="004C3000">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w:t>
      </w:r>
      <w:r w:rsidR="007F5E8F">
        <w:rPr>
          <w:bCs/>
        </w:rPr>
        <w:t xml:space="preserve">This captures the idea that areas that are near each other tend to be similarly connected to the larger network of areas and thus should experience similar network-related effects.  </w:t>
      </w:r>
      <w:r>
        <w:rPr>
          <w:bCs/>
        </w:rPr>
        <w:t>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sidR="004417C5">
        <w:rPr>
          <w:bCs/>
        </w:rPr>
        <w:t>similar to</w:t>
      </w:r>
      <w:proofErr w:type="gramEnd"/>
      <w:r w:rsidR="004417C5">
        <w:rPr>
          <w:bCs/>
        </w:rPr>
        <w:t xml:space="preserve">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w:t>
      </w:r>
    </w:p>
    <w:p w14:paraId="50FE73DB" w14:textId="049F9E41" w:rsidR="004417C5" w:rsidRDefault="007F5E8F" w:rsidP="004C3000">
      <w:pPr>
        <w:pStyle w:val="NoSpacing"/>
        <w:spacing w:line="480" w:lineRule="auto"/>
        <w:ind w:firstLine="567"/>
        <w:jc w:val="both"/>
        <w:rPr>
          <w:bCs/>
        </w:rPr>
      </w:pPr>
      <w:r>
        <w:rPr>
          <w:bCs/>
        </w:rPr>
        <w:t>Figure XX displays the interval width and corresponding local mean of the interval widths among the 3 nearest neighbours for each of the 6881 origin-destination pairs, and C</w:t>
      </w:r>
      <w:r w:rsidR="004417C5">
        <w:rPr>
          <w:bCs/>
        </w:rPr>
        <w:t xml:space="preserve">olumn 2 in Table XX presents the results for this model.  </w:t>
      </w:r>
      <w:r>
        <w:rPr>
          <w:bCs/>
        </w:rPr>
        <w:t xml:space="preserve">Because of the high correlation between the two quantities, including this local mean as a covariate in the linear regression model </w:t>
      </w:r>
      <w:r w:rsidR="004417C5">
        <w:rPr>
          <w:bCs/>
        </w:rPr>
        <w:t>significantly improves the fit of the model</w:t>
      </w:r>
      <w:r>
        <w:rPr>
          <w:bCs/>
        </w:rPr>
        <w:t>.  The local mean interval width also</w:t>
      </w:r>
      <w:r w:rsidR="004417C5">
        <w:rPr>
          <w:bCs/>
        </w:rPr>
        <w:t xml:space="preserve"> allows </w:t>
      </w:r>
      <w:r>
        <w:rPr>
          <w:bCs/>
        </w:rPr>
        <w:t xml:space="preserve">the model </w:t>
      </w:r>
      <w:r w:rsidR="004417C5">
        <w:rPr>
          <w:bCs/>
        </w:rPr>
        <w:t xml:space="preserve">to better capture the correlation between the interval widths of MSOAs that arise due to their locations in the transport network.  </w:t>
      </w:r>
      <w:r w:rsidR="004417C5">
        <w:rPr>
          <w:bCs/>
        </w:rPr>
        <w:lastRenderedPageBreak/>
        <w:t xml:space="preserve">Specifically, </w:t>
      </w:r>
      <w:r w:rsidR="00C61665">
        <w:rPr>
          <w:bCs/>
        </w:rPr>
        <w:t xml:space="preserve">as </w:t>
      </w:r>
      <w:r w:rsidR="004417C5">
        <w:rPr>
          <w:bCs/>
        </w:rPr>
        <w:t>the local mean interval width</w:t>
      </w:r>
      <w:r w:rsidR="00C61665">
        <w:rPr>
          <w:bCs/>
        </w:rPr>
        <w:t xml:space="preserve"> increases by one minute</w:t>
      </w:r>
      <w:r w:rsidR="004417C5">
        <w:rPr>
          <w:bCs/>
        </w:rPr>
        <w:t xml:space="preserve">, the interval width of the MSOA in question tends to increase by 0.6min.  The inclusion of the local mean also reduces the </w:t>
      </w:r>
      <w:r>
        <w:rPr>
          <w:bCs/>
        </w:rPr>
        <w:t xml:space="preserve">confounding of the </w:t>
      </w:r>
      <w:r w:rsidR="004417C5">
        <w:rPr>
          <w:bCs/>
        </w:rPr>
        <w:t>estimated coefficient</w:t>
      </w:r>
      <w:r>
        <w:rPr>
          <w:bCs/>
        </w:rPr>
        <w:t>s</w:t>
      </w:r>
      <w:r w:rsidR="004417C5">
        <w:rPr>
          <w:bCs/>
        </w:rPr>
        <w:t xml:space="preserve"> for the other covariates</w:t>
      </w:r>
      <w:r>
        <w:rPr>
          <w:bCs/>
        </w:rPr>
        <w:t xml:space="preserve"> due to network effects</w:t>
      </w:r>
      <w:r w:rsidR="004417C5">
        <w:rPr>
          <w:bCs/>
        </w:rPr>
        <w:t>,</w:t>
      </w:r>
      <w:r>
        <w:rPr>
          <w:bCs/>
        </w:rPr>
        <w:t xml:space="preserve"> reducing the magnitude of the estimates</w:t>
      </w:r>
      <w:r w:rsidR="004417C5">
        <w:rPr>
          <w:bCs/>
        </w:rPr>
        <w:t xml:space="preserve">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w:t>
      </w:r>
      <w:proofErr w:type="gramStart"/>
      <w:r w:rsidR="004417C5">
        <w:rPr>
          <w:bCs/>
        </w:rPr>
        <w:t>estimate</w:t>
      </w:r>
      <w:proofErr w:type="gramEnd"/>
      <w:r w:rsidR="004417C5">
        <w:rPr>
          <w:bCs/>
        </w:rPr>
        <w:t xml:space="preserve"> for walking obtained from the 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to disruptions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02DFBBA" w:rsidR="008C4D5E" w:rsidRDefault="00DD7F6F" w:rsidP="004C3000">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t>
      </w:r>
      <w:r w:rsidR="00C61665">
        <w:rPr>
          <w:bCs/>
        </w:rPr>
        <w:t xml:space="preserve">I </w:t>
      </w:r>
      <w:r>
        <w:rPr>
          <w:bCs/>
        </w:rPr>
        <w:t xml:space="preserve">use </w:t>
      </w:r>
      <w:proofErr w:type="gramStart"/>
      <w:r>
        <w:rPr>
          <w:bCs/>
        </w:rPr>
        <w:t>locally-weighted</w:t>
      </w:r>
      <w:proofErr w:type="gramEnd"/>
      <w:r>
        <w:rPr>
          <w:bCs/>
        </w:rPr>
        <w:t xml:space="preserve">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to fit a linear regression model to generate one estimate for each coefficient for each MSOA.  I define</w:t>
      </w:r>
      <w:r w:rsidR="00834E15">
        <w:rPr>
          <w:bCs/>
        </w:rPr>
        <w:t xml:space="preserve"> as neighbours</w:t>
      </w:r>
      <w:r>
        <w:rPr>
          <w:bCs/>
        </w:rPr>
        <w:t xml:space="preserve"> the 30 MSOAs whose travel times to the 7 destinations are most </w:t>
      </w:r>
      <w:proofErr w:type="gramStart"/>
      <w:r>
        <w:rPr>
          <w:bCs/>
        </w:rPr>
        <w:t>similar to</w:t>
      </w:r>
      <w:proofErr w:type="gramEnd"/>
      <w:r>
        <w:rPr>
          <w:bCs/>
        </w:rPr>
        <w:t xml:space="preserve"> those of the MSOA in question </w:t>
      </w:r>
      <w:r w:rsidR="00C61665">
        <w:rPr>
          <w:bCs/>
        </w:rPr>
        <w:t>(using the same Euclidean distance calculation as the derivation of the local mean interval width)</w:t>
      </w:r>
      <w:r>
        <w:rPr>
          <w:bCs/>
        </w:rPr>
        <w:t xml:space="preserve">.  Figure XX </w:t>
      </w:r>
      <w:r w:rsidR="00C61665">
        <w:rPr>
          <w:bCs/>
        </w:rPr>
        <w:t xml:space="preserve">illustrates </w:t>
      </w:r>
      <w:r>
        <w:rPr>
          <w:bCs/>
        </w:rPr>
        <w:t xml:space="preserve">for Stratford, which MSOAs are included in the </w:t>
      </w:r>
      <w:proofErr w:type="gramStart"/>
      <w:r>
        <w:rPr>
          <w:bCs/>
        </w:rPr>
        <w:t>locally-weighted</w:t>
      </w:r>
      <w:proofErr w:type="gramEnd"/>
      <w:r>
        <w:rPr>
          <w:bCs/>
        </w:rPr>
        <w:t xml:space="preserve"> regression and which are further considered for calculating the local mean of the interval width.</w:t>
      </w:r>
      <w:r w:rsidR="00C61665">
        <w:rPr>
          <w:bCs/>
        </w:rPr>
        <w:t xml:space="preserve">  As the travel time vectors for each MSOA are unique, the local regression for each MSOA is very likely to use a subset of local neighbours that is unique to that MSOA, and this will thus yield a vector of coefficient estimates that is unique to each MSOA.</w:t>
      </w:r>
    </w:p>
    <w:p w14:paraId="690E560C" w14:textId="589F7912" w:rsidR="007B0EED" w:rsidRDefault="007B0EED" w:rsidP="004C3000">
      <w:pPr>
        <w:pStyle w:val="NoSpacing"/>
        <w:spacing w:line="480" w:lineRule="auto"/>
        <w:ind w:firstLine="567"/>
        <w:jc w:val="both"/>
        <w:rPr>
          <w:bCs/>
        </w:rPr>
      </w:pPr>
      <w:r>
        <w:rPr>
          <w:bCs/>
        </w:rPr>
        <w:lastRenderedPageBreak/>
        <w:t xml:space="preserve">First, we examine some diagnostics of the locally weighted regression implementation.  </w:t>
      </w:r>
      <w:r w:rsidR="00E9617A">
        <w:rPr>
          <w:bCs/>
        </w:rPr>
        <w:t>Figure XX maps out the</w:t>
      </w:r>
      <w:r w:rsidR="00E15D01">
        <w:rPr>
          <w:bCs/>
        </w:rPr>
        <w:t xml:space="preserve"> adjusted</w:t>
      </w:r>
      <w:r w:rsidR="00E9617A">
        <w:rPr>
          <w:bCs/>
        </w:rPr>
        <w:t xml:space="preserve"> R</w:t>
      </w:r>
      <w:r w:rsidR="00E9617A" w:rsidRPr="00E9617A">
        <w:rPr>
          <w:bCs/>
          <w:vertAlign w:val="superscript"/>
        </w:rPr>
        <w:t>2</w:t>
      </w:r>
      <w:r w:rsidR="00E9617A">
        <w:rPr>
          <w:bCs/>
        </w:rPr>
        <w:t xml:space="preserve"> values for the locally fitted regression models</w:t>
      </w:r>
      <w:r w:rsidR="00E15D01">
        <w:rPr>
          <w:bCs/>
        </w:rPr>
        <w:t xml:space="preserve">.  </w:t>
      </w:r>
      <w:r>
        <w:rPr>
          <w:bCs/>
        </w:rPr>
        <w:t xml:space="preserve">The </w:t>
      </w:r>
      <w:r w:rsidR="00E15D01">
        <w:rPr>
          <w:bCs/>
        </w:rPr>
        <w:t xml:space="preserve">median </w:t>
      </w:r>
      <w:r>
        <w:rPr>
          <w:bCs/>
        </w:rPr>
        <w:t>local</w:t>
      </w:r>
      <w:r w:rsidR="00E15D01">
        <w:rPr>
          <w:bCs/>
        </w:rPr>
        <w:t xml:space="preserve"> adjusted</w:t>
      </w:r>
      <w:r>
        <w:rPr>
          <w:bCs/>
        </w:rPr>
        <w:t xml:space="preserve"> R</w:t>
      </w:r>
      <w:r w:rsidRPr="007B0EED">
        <w:rPr>
          <w:bCs/>
          <w:vertAlign w:val="superscript"/>
        </w:rPr>
        <w:t>2</w:t>
      </w:r>
      <w:r>
        <w:rPr>
          <w:bCs/>
        </w:rPr>
        <w:t xml:space="preserve"> </w:t>
      </w:r>
      <w:r w:rsidR="00E15D01">
        <w:rPr>
          <w:bCs/>
        </w:rPr>
        <w:t xml:space="preserve">is 0.36, </w:t>
      </w:r>
      <w:proofErr w:type="gramStart"/>
      <w:r w:rsidR="00E15D01">
        <w:rPr>
          <w:bCs/>
        </w:rPr>
        <w:t>similar to</w:t>
      </w:r>
      <w:proofErr w:type="gramEnd"/>
      <w:r w:rsidR="00E15D01">
        <w:rPr>
          <w:bCs/>
        </w:rPr>
        <w:t xml:space="preserve"> the adjusted R</w:t>
      </w:r>
      <w:r w:rsidR="00E15D01" w:rsidRPr="00E15D01">
        <w:rPr>
          <w:bCs/>
          <w:vertAlign w:val="superscript"/>
        </w:rPr>
        <w:t>2</w:t>
      </w:r>
      <w:r w:rsidR="00E15D01">
        <w:rPr>
          <w:bCs/>
        </w:rPr>
        <w:t xml:space="preserve"> of the model in Column 2 of Table XX, but the local adjusted R2 can vary from as low as 0.09 in the east to 0.77 near Pimlico.  The local adjusted R2 tends to be higher near the centre where the rail network is densest, but are quite low towards the outskirts; this indicates that travel time variability in the outskirts is </w:t>
      </w:r>
      <w:r w:rsidR="00370982">
        <w:rPr>
          <w:bCs/>
        </w:rPr>
        <w:t>less</w:t>
      </w:r>
      <w:r w:rsidR="00E15D01">
        <w:rPr>
          <w:bCs/>
        </w:rPr>
        <w:t xml:space="preserve"> correlated with distance travelled by mode</w:t>
      </w:r>
      <w:r w:rsidR="00370982">
        <w:rPr>
          <w:bCs/>
        </w:rPr>
        <w:t xml:space="preserve"> than with other factors that have not been included in the model</w:t>
      </w:r>
      <w:r w:rsidR="00E15D01">
        <w:rPr>
          <w:bCs/>
        </w:rPr>
        <w:t>.  Next, Figure XX maps out the p-values for each coefficient estimate for each MSOA</w:t>
      </w:r>
      <w:r w:rsidR="00370982">
        <w:rPr>
          <w:bCs/>
        </w:rPr>
        <w:t xml:space="preserve">. </w:t>
      </w:r>
      <w:r w:rsidR="00E15D01">
        <w:rPr>
          <w:bCs/>
        </w:rPr>
        <w:t xml:space="preserve"> </w:t>
      </w:r>
      <w:r w:rsidR="00370982">
        <w:rPr>
          <w:bCs/>
        </w:rPr>
        <w:t xml:space="preserve">Dark blue areas are where the coefficient estimates obtained were not statistically significantly different from 0.  Grey areas are </w:t>
      </w:r>
      <w:r w:rsidR="00E15D01">
        <w:rPr>
          <w:bCs/>
        </w:rPr>
        <w:t>where p-values are missing</w:t>
      </w:r>
      <w:r w:rsidR="00370982">
        <w:rPr>
          <w:bCs/>
        </w:rPr>
        <w:t>;</w:t>
      </w:r>
      <w:r w:rsidR="00E15D01">
        <w:rPr>
          <w:bCs/>
        </w:rPr>
        <w:t xml:space="preserve"> this indicates that there was no estimate for the coefficient for that MSOA, because there was no variation in that covariate among the MSOAs considered in the local regression</w:t>
      </w:r>
      <w:r w:rsidR="00370982">
        <w:rPr>
          <w:bCs/>
        </w:rPr>
        <w:t>.</w:t>
      </w:r>
    </w:p>
    <w:p w14:paraId="58146DE6" w14:textId="7C613B44" w:rsidR="00DD7F6F" w:rsidRDefault="007B0EED" w:rsidP="004C3000">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w:t>
      </w:r>
      <w:proofErr w:type="gramStart"/>
      <w:r>
        <w:rPr>
          <w:bCs/>
        </w:rPr>
        <w:t>contains</w:t>
      </w:r>
      <w:proofErr w:type="gramEnd"/>
      <w:r>
        <w:rPr>
          <w:bCs/>
        </w:rPr>
        <w:t xml:space="preserve"> the global estimates from Column 2, but capture the variation in the mode-specific effects across space.  </w:t>
      </w:r>
      <w:r w:rsidR="00E9617A">
        <w:rPr>
          <w:bCs/>
        </w:rPr>
        <w:t xml:space="preserve">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r w:rsidR="00C61665">
        <w:rPr>
          <w:bCs/>
        </w:rPr>
        <w:t xml:space="preserve"> or were </w:t>
      </w:r>
      <w:r w:rsidR="00586750">
        <w:rPr>
          <w:bCs/>
        </w:rPr>
        <w:t>not available</w:t>
      </w:r>
      <w:r w:rsidR="00781288">
        <w:rPr>
          <w:bCs/>
        </w:rPr>
        <w:t>.</w:t>
      </w:r>
    </w:p>
    <w:p w14:paraId="7D8516F3" w14:textId="0DDC62FD" w:rsidR="00781288" w:rsidRDefault="00BE788F" w:rsidP="004C3000">
      <w:pPr>
        <w:pStyle w:val="NoSpacing"/>
        <w:spacing w:line="480" w:lineRule="auto"/>
        <w:ind w:firstLine="567"/>
        <w:jc w:val="both"/>
        <w:rPr>
          <w:bCs/>
        </w:rPr>
      </w:pPr>
      <w:r>
        <w:rPr>
          <w:bCs/>
        </w:rPr>
        <w:t>At the local level</w:t>
      </w:r>
      <w:r w:rsidR="00E9617A">
        <w:rPr>
          <w:bCs/>
        </w:rPr>
        <w:t xml:space="preserve">, travel by </w:t>
      </w:r>
      <w:r w:rsidR="00370982">
        <w:rPr>
          <w:bCs/>
        </w:rPr>
        <w:t>Underground</w:t>
      </w:r>
      <w:r w:rsidR="00E9617A">
        <w:rPr>
          <w:bCs/>
        </w:rPr>
        <w:t xml:space="preserve">, tram and Docklands Light Railway tends to reduce interval widths, reinforcing the </w:t>
      </w:r>
      <w:r>
        <w:rPr>
          <w:bCs/>
        </w:rPr>
        <w:t xml:space="preserve">earlier </w:t>
      </w:r>
      <w:r w:rsidR="00E9617A">
        <w:rPr>
          <w:bCs/>
        </w:rPr>
        <w:t xml:space="preserve">finding that </w:t>
      </w:r>
      <w:r>
        <w:rPr>
          <w:bCs/>
        </w:rPr>
        <w:t xml:space="preserve">some </w:t>
      </w:r>
      <w:r w:rsidR="00E9617A">
        <w:rPr>
          <w:bCs/>
        </w:rPr>
        <w:t xml:space="preserve">rail-based modes are </w:t>
      </w:r>
      <w:r>
        <w:rPr>
          <w:bCs/>
        </w:rPr>
        <w:t xml:space="preserve">more </w:t>
      </w:r>
      <w:r w:rsidR="00E9617A">
        <w:rPr>
          <w:bCs/>
        </w:rPr>
        <w:t xml:space="preserve">reliable.  </w:t>
      </w:r>
      <w:r>
        <w:rPr>
          <w:bCs/>
        </w:rPr>
        <w:t xml:space="preserve">In contrast, travel by bus does not reduce interval widths anywhere in the GLA area, although </w:t>
      </w:r>
      <w:r w:rsidR="00781288">
        <w:rPr>
          <w:bCs/>
        </w:rPr>
        <w:t xml:space="preserve">there are areas near the outskirts of the GLA area and in a western wedge where </w:t>
      </w:r>
      <w:r>
        <w:rPr>
          <w:bCs/>
        </w:rPr>
        <w:t xml:space="preserve">the contribution of distance travelled </w:t>
      </w:r>
      <w:r w:rsidR="00E9617A">
        <w:rPr>
          <w:bCs/>
        </w:rPr>
        <w:t xml:space="preserve">by bus </w:t>
      </w:r>
      <w:r>
        <w:rPr>
          <w:bCs/>
        </w:rPr>
        <w:t>to interval widths is relatively smaller</w:t>
      </w:r>
      <w:r w:rsidR="00781288">
        <w:rPr>
          <w:bCs/>
        </w:rPr>
        <w:t>.  However, in a swath of MSOAs running from the northeast to the south, bus travel seems to contribute disproportionately more to travel time variability.  This could reflect the effect of congestion</w:t>
      </w:r>
      <w:r>
        <w:rPr>
          <w:bCs/>
        </w:rPr>
        <w:t xml:space="preserve"> on roads leading to </w:t>
      </w:r>
      <w:r w:rsidR="00781288">
        <w:rPr>
          <w:bCs/>
        </w:rPr>
        <w:t>the City.</w:t>
      </w:r>
    </w:p>
    <w:p w14:paraId="2805D418" w14:textId="6AB9C33E" w:rsidR="00781288" w:rsidRDefault="00781288" w:rsidP="004C3000">
      <w:pPr>
        <w:pStyle w:val="NoSpacing"/>
        <w:spacing w:line="480" w:lineRule="auto"/>
        <w:ind w:firstLine="567"/>
        <w:jc w:val="both"/>
        <w:rPr>
          <w:bCs/>
        </w:rPr>
      </w:pPr>
      <w:r>
        <w:rPr>
          <w:bCs/>
        </w:rPr>
        <w:lastRenderedPageBreak/>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However, travel on National Rail also seems to increase travel time variability more in the northwest and northeast.  This could be because</w:t>
      </w:r>
      <w:r w:rsidR="00586750">
        <w:rPr>
          <w:bCs/>
        </w:rPr>
        <w:t xml:space="preserve"> orbital rail connections from these areas are poor, and</w:t>
      </w:r>
      <w:r w:rsidR="007A3E93">
        <w:rPr>
          <w:bCs/>
        </w:rPr>
        <w:t xml:space="preserve"> National Rail lines from these areas terminate outside the City of London (at stations like Paddington, Marylebone, Kings Cross, Moorgate and Liverpool Street).  Thus, passengers travelling via National Rail from these areas to any of the 7 destinations probably need to interchange for onward travel via </w:t>
      </w:r>
      <w:r w:rsidR="00586750">
        <w:rPr>
          <w:bCs/>
        </w:rPr>
        <w:t xml:space="preserve">Underground, Overground </w:t>
      </w:r>
      <w:r w:rsidR="007A3E93">
        <w:rPr>
          <w:bCs/>
        </w:rPr>
        <w:t xml:space="preserve">or local bus services.  This </w:t>
      </w:r>
      <w:r w:rsidR="00BE788F">
        <w:rPr>
          <w:bCs/>
        </w:rPr>
        <w:t>need to interchange</w:t>
      </w:r>
      <w:r w:rsidR="007A3E93">
        <w:rPr>
          <w:bCs/>
        </w:rPr>
        <w:t xml:space="preserve"> may make these trips more vulnerable to disruption.  Finally, although travel by National Rail does tend to increase travel time variability overall, there are isolated locations in the southwest and the north where National Rail is dependable enough to </w:t>
      </w:r>
      <w:proofErr w:type="gramStart"/>
      <w:r w:rsidR="007A3E93">
        <w:rPr>
          <w:bCs/>
        </w:rPr>
        <w:t>actually reduce</w:t>
      </w:r>
      <w:proofErr w:type="gramEnd"/>
      <w:r w:rsidR="007A3E93">
        <w:rPr>
          <w:bCs/>
        </w:rPr>
        <w:t xml:space="preserve"> interval widths.</w:t>
      </w:r>
    </w:p>
    <w:p w14:paraId="6735C519" w14:textId="15EE1C87" w:rsidR="007A3E93" w:rsidRDefault="007A3E93" w:rsidP="004C3000">
      <w:pPr>
        <w:pStyle w:val="NoSpacing"/>
        <w:spacing w:line="480" w:lineRule="auto"/>
        <w:ind w:firstLine="567"/>
        <w:jc w:val="both"/>
        <w:rPr>
          <w:bCs/>
        </w:rPr>
      </w:pPr>
      <w:r>
        <w:rPr>
          <w:bCs/>
        </w:rPr>
        <w:t xml:space="preserve">The results for Overground travel indicate that the Overground </w:t>
      </w:r>
      <w:r w:rsidR="00BE788F">
        <w:rPr>
          <w:bCs/>
        </w:rPr>
        <w:t xml:space="preserve">is </w:t>
      </w:r>
      <w:r>
        <w:rPr>
          <w:bCs/>
        </w:rPr>
        <w:t xml:space="preserve">less reliable north of the Thames and more reliable in the south.  This seems to make sense, as north of the Thames, </w:t>
      </w:r>
      <w:r w:rsidR="00586750">
        <w:rPr>
          <w:bCs/>
        </w:rPr>
        <w:t xml:space="preserve">Underground </w:t>
      </w:r>
      <w:r>
        <w:rPr>
          <w:bCs/>
        </w:rPr>
        <w:t xml:space="preserve">services are much more available and reliable, while south of the Thames, where </w:t>
      </w:r>
      <w:r w:rsidR="00586750">
        <w:rPr>
          <w:bCs/>
        </w:rPr>
        <w:t xml:space="preserve">Underground </w:t>
      </w:r>
      <w:r>
        <w:rPr>
          <w:bCs/>
        </w:rPr>
        <w:t xml:space="preserve">coverage is </w:t>
      </w:r>
      <w:r w:rsidR="00586750">
        <w:rPr>
          <w:bCs/>
        </w:rPr>
        <w:t>poorer</w:t>
      </w:r>
      <w:r>
        <w:rPr>
          <w:bCs/>
        </w:rPr>
        <w:t>, the Overground may be an effective and more reliable alternative to National Rail and bus services.</w:t>
      </w:r>
      <w:r w:rsidR="00E9617A">
        <w:rPr>
          <w:bCs/>
        </w:rPr>
        <w:t xml:space="preserve">  For the new TfL Rail service, the western sector seems to be particularly unreliable.</w:t>
      </w:r>
    </w:p>
    <w:p w14:paraId="0DEBCC09" w14:textId="00579B4B" w:rsidR="00E9617A" w:rsidRDefault="00E9617A" w:rsidP="004C3000">
      <w:pPr>
        <w:pStyle w:val="NoSpacing"/>
        <w:spacing w:line="480" w:lineRule="auto"/>
        <w:ind w:firstLine="567"/>
        <w:jc w:val="both"/>
        <w:rPr>
          <w:bCs/>
        </w:rPr>
      </w:pPr>
      <w:r>
        <w:rPr>
          <w:bCs/>
        </w:rPr>
        <w:t xml:space="preserve">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w:t>
      </w:r>
      <w:r w:rsidR="00BE788F">
        <w:rPr>
          <w:bCs/>
        </w:rPr>
        <w:t xml:space="preserve">trips involving more </w:t>
      </w:r>
      <w:r>
        <w:rPr>
          <w:bCs/>
        </w:rPr>
        <w:t>walk</w:t>
      </w:r>
      <w:r w:rsidR="00BE788F">
        <w:rPr>
          <w:bCs/>
        </w:rPr>
        <w:t>ing</w:t>
      </w:r>
      <w:r>
        <w:rPr>
          <w:bCs/>
        </w:rPr>
        <w:t xml:space="preserve"> </w:t>
      </w:r>
      <w:r w:rsidR="00BE788F">
        <w:rPr>
          <w:bCs/>
        </w:rPr>
        <w:t xml:space="preserve">tend to </w:t>
      </w:r>
      <w:r>
        <w:rPr>
          <w:bCs/>
        </w:rPr>
        <w:t>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5BC16DB4" w:rsidR="00E9617A" w:rsidRDefault="00151596" w:rsidP="004C3000">
      <w:pPr>
        <w:pStyle w:val="NoSpacing"/>
        <w:spacing w:line="480" w:lineRule="auto"/>
        <w:ind w:firstLine="567"/>
        <w:jc w:val="both"/>
        <w:rPr>
          <w:bCs/>
        </w:rPr>
      </w:pPr>
      <w:r>
        <w:rPr>
          <w:bCs/>
        </w:rPr>
        <w:lastRenderedPageBreak/>
        <w:t xml:space="preserve">A final question to investigate is the extent to which areas where certain travel modes are particularly unreliable are also socially disadvantaged.  Again, I carry out a K-means clustering analysis using the MSOA-level coefficient estimates from the locally weighted regression (considering only </w:t>
      </w:r>
      <w:r w:rsidR="00091F8F">
        <w:rPr>
          <w:bCs/>
        </w:rPr>
        <w:t xml:space="preserve">distance travelled by </w:t>
      </w:r>
      <w:r>
        <w:rPr>
          <w:bCs/>
        </w:rPr>
        <w:t xml:space="preserve">bus, National Rail, </w:t>
      </w:r>
      <w:r w:rsidR="00091F8F">
        <w:rPr>
          <w:bCs/>
        </w:rPr>
        <w:t xml:space="preserve">Underground </w:t>
      </w:r>
      <w:r>
        <w:rPr>
          <w:bCs/>
        </w:rPr>
        <w:t>and walking,</w:t>
      </w:r>
      <w:r w:rsidR="00586750">
        <w:rPr>
          <w:bCs/>
        </w:rPr>
        <w:t xml:space="preserve"> as coefficient estimates for these covariates are available for all MSOAs</w:t>
      </w:r>
      <w:r>
        <w:rPr>
          <w:bCs/>
        </w:rPr>
        <w:t>) and the MSOA-level IMD rank.  The results for 6 clusters are shown in Figure XX.</w:t>
      </w:r>
    </w:p>
    <w:p w14:paraId="019695E3" w14:textId="1E0B8E55" w:rsidR="00151596" w:rsidRDefault="00151596" w:rsidP="004C3000">
      <w:pPr>
        <w:pStyle w:val="NoSpacing"/>
        <w:spacing w:line="480" w:lineRule="auto"/>
        <w:ind w:firstLine="567"/>
        <w:jc w:val="both"/>
        <w:rPr>
          <w:bCs/>
        </w:rPr>
      </w:pPr>
      <w:r>
        <w:rPr>
          <w:bCs/>
        </w:rPr>
        <w:t xml:space="preserve">Cluster </w:t>
      </w:r>
      <w:r w:rsidR="00091F8F">
        <w:rPr>
          <w:bCs/>
        </w:rPr>
        <w:t>5</w:t>
      </w:r>
      <w:r>
        <w:rPr>
          <w:bCs/>
        </w:rPr>
        <w:t xml:space="preserve"> </w:t>
      </w:r>
      <w:r w:rsidR="00586750">
        <w:rPr>
          <w:bCs/>
        </w:rPr>
        <w:t xml:space="preserve">(containing 2% of working-age residents) </w:t>
      </w:r>
      <w:r>
        <w:rPr>
          <w:bCs/>
        </w:rPr>
        <w:t>immediately stands out as the MSOAs where National Rail services are particularly unreliable</w:t>
      </w:r>
      <w:r w:rsidR="00091F8F">
        <w:rPr>
          <w:bCs/>
        </w:rPr>
        <w:t>, while bus, Underground or walking tend to be more reliable</w:t>
      </w:r>
      <w:r>
        <w:rPr>
          <w:bCs/>
        </w:rPr>
        <w:t xml:space="preserve">.  These are areas </w:t>
      </w:r>
      <w:r w:rsidR="00091F8F">
        <w:rPr>
          <w:bCs/>
        </w:rPr>
        <w:t xml:space="preserve">with direct access to stations </w:t>
      </w:r>
      <w:r>
        <w:rPr>
          <w:bCs/>
        </w:rPr>
        <w:t xml:space="preserve">served by Southern and </w:t>
      </w:r>
      <w:proofErr w:type="spellStart"/>
      <w:r>
        <w:rPr>
          <w:bCs/>
        </w:rPr>
        <w:t>Southeastern</w:t>
      </w:r>
      <w:proofErr w:type="spellEnd"/>
      <w:r>
        <w:rPr>
          <w:bCs/>
        </w:rPr>
        <w:t xml:space="preserve"> </w:t>
      </w:r>
      <w:r w:rsidR="00A42C27">
        <w:rPr>
          <w:bCs/>
        </w:rPr>
        <w:t>Railways</w:t>
      </w:r>
      <w:r>
        <w:rPr>
          <w:bCs/>
        </w:rPr>
        <w:t xml:space="preserve">, which are known to have reliability issues.  Clusters </w:t>
      </w:r>
      <w:r w:rsidR="00A42C27">
        <w:rPr>
          <w:bCs/>
        </w:rPr>
        <w:t>2</w:t>
      </w:r>
      <w:r>
        <w:rPr>
          <w:bCs/>
        </w:rPr>
        <w:t xml:space="preserve"> and </w:t>
      </w:r>
      <w:r w:rsidR="00A42C27">
        <w:rPr>
          <w:bCs/>
        </w:rPr>
        <w:t>3</w:t>
      </w:r>
      <w:r>
        <w:rPr>
          <w:bCs/>
        </w:rPr>
        <w:t xml:space="preserve"> tend to contain MSOAs with lower IMD ranks and thus higher social deprivation.  </w:t>
      </w:r>
      <w:r w:rsidR="00A42C27">
        <w:rPr>
          <w:bCs/>
        </w:rPr>
        <w:t>The distributions of the coefficients for Underground and walking for these clusters indicate that they enjoy similar levels of reliability for these modes.  However, buses and National Rail contribute more to travel time variability for Cluster 2</w:t>
      </w:r>
      <w:r>
        <w:rPr>
          <w:bCs/>
        </w:rPr>
        <w:t xml:space="preserve">.  </w:t>
      </w:r>
      <w:r w:rsidR="00A42C27">
        <w:rPr>
          <w:bCs/>
        </w:rPr>
        <w:t>The areas in Cluster 2</w:t>
      </w:r>
      <w:r w:rsidR="00586750">
        <w:rPr>
          <w:bCs/>
        </w:rPr>
        <w:t xml:space="preserve"> (containing 15% of the working-age population and</w:t>
      </w:r>
      <w:r w:rsidR="00A42C27">
        <w:rPr>
          <w:bCs/>
        </w:rPr>
        <w:t xml:space="preserve"> including Waterloo, Shoreditch, Rotherhithe, Greenwich, the Docklands, Stratford, the Royal Docks, Barking and Leytonstone</w:t>
      </w:r>
      <w:r w:rsidR="00586750">
        <w:rPr>
          <w:bCs/>
        </w:rPr>
        <w:t>)</w:t>
      </w:r>
      <w:r w:rsidR="00A42C27">
        <w:rPr>
          <w:bCs/>
        </w:rPr>
        <w:t xml:space="preserve"> are where improvements to travel time reliability by bus and National Rail are likely to particularly benefit more socially disadvantaged residents.  </w:t>
      </w:r>
      <w:r>
        <w:rPr>
          <w:bCs/>
        </w:rPr>
        <w:t xml:space="preserve">Finally, Clusters </w:t>
      </w:r>
      <w:r w:rsidR="00A42C27">
        <w:rPr>
          <w:bCs/>
        </w:rPr>
        <w:t>0</w:t>
      </w:r>
      <w:r>
        <w:rPr>
          <w:bCs/>
        </w:rPr>
        <w:t xml:space="preserve"> and </w:t>
      </w:r>
      <w:r w:rsidR="00A42C27">
        <w:rPr>
          <w:bCs/>
        </w:rPr>
        <w:t>4</w:t>
      </w:r>
      <w:r>
        <w:rPr>
          <w:bCs/>
        </w:rPr>
        <w:t xml:space="preserve"> tend to contain less deprived MSOAs, with MSOAs in Cluster </w:t>
      </w:r>
      <w:r w:rsidR="007B4349">
        <w:rPr>
          <w:bCs/>
        </w:rPr>
        <w:t>0 (with 21% of the working-age population)</w:t>
      </w:r>
      <w:r>
        <w:rPr>
          <w:bCs/>
        </w:rPr>
        <w:t xml:space="preserve"> having </w:t>
      </w:r>
      <w:r w:rsidR="007B4349">
        <w:rPr>
          <w:bCs/>
        </w:rPr>
        <w:t xml:space="preserve">less </w:t>
      </w:r>
      <w:r>
        <w:rPr>
          <w:bCs/>
        </w:rPr>
        <w:t xml:space="preserve">reliable National Rail services than those in Cluster </w:t>
      </w:r>
      <w:r w:rsidR="007B4349">
        <w:rPr>
          <w:bCs/>
        </w:rPr>
        <w:t>4</w:t>
      </w:r>
      <w:r>
        <w:rPr>
          <w:bCs/>
        </w:rPr>
        <w:t>.</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630F954E" w:rsidR="00FD7681" w:rsidRDefault="00FD7681" w:rsidP="004C3000">
      <w:pPr>
        <w:pStyle w:val="NoSpacing"/>
        <w:spacing w:line="480" w:lineRule="auto"/>
        <w:ind w:firstLine="567"/>
        <w:jc w:val="both"/>
        <w:rPr>
          <w:bCs/>
        </w:rPr>
      </w:pPr>
      <w:r>
        <w:rPr>
          <w:bCs/>
        </w:rPr>
        <w:t xml:space="preserve">The analysis of job accessibility in the GLA area, as captured by MSOA JPRs, indicate that job accessibility is unevenly distributed across space, with locations nearer the centre and near major public transport network nodes having more jobs allocated per working-age resident and locations towards the outskirts and with poorer connections to the public transport network having too few </w:t>
      </w:r>
      <w:r>
        <w:rPr>
          <w:bCs/>
        </w:rPr>
        <w:lastRenderedPageBreak/>
        <w:t xml:space="preserve">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be evenly provided </w:t>
      </w:r>
      <w:proofErr w:type="gramStart"/>
      <w:r w:rsidR="00925211">
        <w:rPr>
          <w:bCs/>
        </w:rPr>
        <w:t>everywhere, and</w:t>
      </w:r>
      <w:proofErr w:type="gramEnd"/>
      <w:r w:rsidR="00925211">
        <w:rPr>
          <w:bCs/>
        </w:rPr>
        <w:t xml:space="preserve"> needs to be prioritised to connect to areas with the most destinations (usually job-rich city centres).</w:t>
      </w:r>
    </w:p>
    <w:p w14:paraId="27DB7F10" w14:textId="48AEAE2C" w:rsidR="00925211" w:rsidRDefault="00925211" w:rsidP="004C3000">
      <w:pPr>
        <w:pStyle w:val="NoSpacing"/>
        <w:spacing w:line="480" w:lineRule="auto"/>
        <w:ind w:firstLine="567"/>
        <w:jc w:val="both"/>
        <w:rPr>
          <w:bCs/>
        </w:rPr>
      </w:pPr>
      <w:r>
        <w:rPr>
          <w:bCs/>
        </w:rPr>
        <w:t xml:space="preserve">The analysis of how social deprivation intersects with differences in job accessibility reveals a more complex picture.  Whereas in </w:t>
      </w:r>
      <w:r w:rsidR="00A76BF7">
        <w:rPr>
          <w:bCs/>
        </w:rPr>
        <w:t xml:space="preserve">poorer cities, the most accessible areas tend to be home to richer households </w:t>
      </w:r>
      <w:sdt>
        <w:sdtPr>
          <w:rPr>
            <w:bCs/>
          </w:rPr>
          <w:id w:val="128454514"/>
          <w:citation/>
        </w:sdtPr>
        <w:sdtContent>
          <w:r w:rsidR="00A76BF7">
            <w:rPr>
              <w:bCs/>
            </w:rPr>
            <w:fldChar w:fldCharType="begin"/>
          </w:r>
          <w:r w:rsidR="00A76BF7">
            <w:rPr>
              <w:bCs/>
            </w:rPr>
            <w:instrText xml:space="preserve"> CITATION Niehaus2016 \l 18441  \m Guzman2017 \m Guzman_2018</w:instrText>
          </w:r>
          <w:r w:rsidR="00A76BF7">
            <w:rPr>
              <w:bCs/>
            </w:rPr>
            <w:fldChar w:fldCharType="separate"/>
          </w:r>
          <w:r w:rsidR="00A76BF7" w:rsidRPr="00A76BF7">
            <w:rPr>
              <w:noProof/>
            </w:rPr>
            <w:t>(Neihaus, et al., 2016; Guzman, et al., 2017; Guzman &amp; Oviedo, 2018)</w:t>
          </w:r>
          <w:r w:rsidR="00A76BF7">
            <w:rPr>
              <w:bCs/>
            </w:rPr>
            <w:fldChar w:fldCharType="end"/>
          </w:r>
        </w:sdtContent>
      </w:sdt>
      <w:r w:rsidR="00A76BF7">
        <w:rPr>
          <w:bCs/>
        </w:rPr>
        <w:t xml:space="preserve">, there does not seem to be a similar systematic trend between high accessibility and low social deprivation in London.  In contrast, many socially deprived areas are also centrally located, well connected to the public transport network and sufficiently provided with jobs per working-age resident.  This is probably due to the historical development pattern in London, where </w:t>
      </w:r>
      <w:r w:rsidR="00F66961">
        <w:rPr>
          <w:bCs/>
        </w:rPr>
        <w:t xml:space="preserve">large amounts of social housing were built near the centre in the </w:t>
      </w:r>
      <w:proofErr w:type="spellStart"/>
      <w:r w:rsidR="00F66961">
        <w:rPr>
          <w:bCs/>
        </w:rPr>
        <w:t>postwar</w:t>
      </w:r>
      <w:proofErr w:type="spellEnd"/>
      <w:r w:rsidR="00F66961">
        <w:rPr>
          <w:bCs/>
        </w:rPr>
        <w:t xml:space="preserve"> period, while richer households prefer to live in larger homes and less urban environments further from the centre.  </w:t>
      </w:r>
      <w:r w:rsidR="00A76BF7">
        <w:rPr>
          <w:bCs/>
        </w:rPr>
        <w:t>Nonetheless, there are pockets of socially deprived areas that also have poor job accessibility, similar to what El-</w:t>
      </w:r>
      <w:proofErr w:type="spellStart"/>
      <w:r w:rsidR="00A76BF7">
        <w:rPr>
          <w:bCs/>
        </w:rPr>
        <w:t>Geneidy</w:t>
      </w:r>
      <w:proofErr w:type="spellEnd"/>
      <w:r w:rsidR="00A76BF7">
        <w:rPr>
          <w:bCs/>
        </w:rPr>
        <w:t xml:space="preserve"> et al</w:t>
      </w:r>
      <w:sdt>
        <w:sdtPr>
          <w:rPr>
            <w:bCs/>
          </w:rPr>
          <w:id w:val="1021444546"/>
          <w:citation/>
        </w:sdtPr>
        <w:sdtContent>
          <w:r w:rsidR="00A76BF7">
            <w:rPr>
              <w:bCs/>
            </w:rPr>
            <w:fldChar w:fldCharType="begin"/>
          </w:r>
          <w:r w:rsidR="00A76BF7">
            <w:rPr>
              <w:bCs/>
            </w:rPr>
            <w:instrText xml:space="preserve">CITATION El_Geneidy_2016 \n  \l 18441 </w:instrText>
          </w:r>
          <w:r w:rsidR="00A76BF7">
            <w:rPr>
              <w:bCs/>
            </w:rPr>
            <w:fldChar w:fldCharType="separate"/>
          </w:r>
          <w:r w:rsidR="00A76BF7">
            <w:rPr>
              <w:bCs/>
              <w:noProof/>
            </w:rPr>
            <w:t xml:space="preserve"> </w:t>
          </w:r>
          <w:r w:rsidR="00A76BF7" w:rsidRPr="00A76BF7">
            <w:rPr>
              <w:noProof/>
            </w:rPr>
            <w:t>(2016)</w:t>
          </w:r>
          <w:r w:rsidR="00A76BF7">
            <w:rPr>
              <w:bCs/>
            </w:rPr>
            <w:fldChar w:fldCharType="end"/>
          </w:r>
        </w:sdtContent>
      </w:sdt>
      <w:r w:rsidR="00A76BF7">
        <w:rPr>
          <w:bCs/>
        </w:rPr>
        <w:t xml:space="preserve"> and </w:t>
      </w:r>
      <w:proofErr w:type="spellStart"/>
      <w:r w:rsidR="00A76BF7">
        <w:rPr>
          <w:bCs/>
        </w:rPr>
        <w:t>Deboosere</w:t>
      </w:r>
      <w:proofErr w:type="spellEnd"/>
      <w:r w:rsidR="00A76BF7">
        <w:rPr>
          <w:bCs/>
        </w:rPr>
        <w:t xml:space="preserve"> &amp; El-</w:t>
      </w:r>
      <w:proofErr w:type="spellStart"/>
      <w:r w:rsidR="00A76BF7">
        <w:rPr>
          <w:bCs/>
        </w:rPr>
        <w:t>Geneidy</w:t>
      </w:r>
      <w:proofErr w:type="spellEnd"/>
      <w:sdt>
        <w:sdtPr>
          <w:rPr>
            <w:bCs/>
          </w:rPr>
          <w:id w:val="-535966051"/>
          <w:citation/>
        </w:sdtPr>
        <w:sdtContent>
          <w:r w:rsidR="00A76BF7">
            <w:rPr>
              <w:bCs/>
            </w:rPr>
            <w:fldChar w:fldCharType="begin"/>
          </w:r>
          <w:r w:rsidR="00A76BF7">
            <w:rPr>
              <w:bCs/>
            </w:rPr>
            <w:instrText xml:space="preserve">CITATION Deboosere2018 \n  \l 18441 </w:instrText>
          </w:r>
          <w:r w:rsidR="00A76BF7">
            <w:rPr>
              <w:bCs/>
            </w:rPr>
            <w:fldChar w:fldCharType="separate"/>
          </w:r>
          <w:r w:rsidR="00A76BF7">
            <w:rPr>
              <w:bCs/>
              <w:noProof/>
            </w:rPr>
            <w:t xml:space="preserve"> </w:t>
          </w:r>
          <w:r w:rsidR="00A76BF7" w:rsidRPr="00A76BF7">
            <w:rPr>
              <w:noProof/>
            </w:rPr>
            <w:t>(2018)</w:t>
          </w:r>
          <w:r w:rsidR="00A76BF7">
            <w:rPr>
              <w:bCs/>
            </w:rPr>
            <w:fldChar w:fldCharType="end"/>
          </w:r>
        </w:sdtContent>
      </w:sdt>
      <w:r w:rsidR="00A76BF7">
        <w:rPr>
          <w:bCs/>
        </w:rPr>
        <w:t xml:space="preserve"> found for Canadian cities.</w:t>
      </w:r>
    </w:p>
    <w:p w14:paraId="705CB0D1" w14:textId="2C13E8B7" w:rsidR="00F66961" w:rsidRDefault="008468D4" w:rsidP="004C3000">
      <w:pPr>
        <w:pStyle w:val="NoSpacing"/>
        <w:spacing w:line="480" w:lineRule="auto"/>
        <w:ind w:firstLine="567"/>
        <w:jc w:val="both"/>
        <w:rPr>
          <w:bCs/>
        </w:rPr>
      </w:pPr>
      <w:r>
        <w:rPr>
          <w:bCs/>
        </w:rPr>
        <w:t xml:space="preserve">The analysis of each MSOA’s sectoral dependency for its job allocation gives some insight into some dimensions of job accessibility other than the spatial balance provided between the working-age population and the available jobs by the public transport network.  </w:t>
      </w:r>
      <w:proofErr w:type="gramStart"/>
      <w:r>
        <w:rPr>
          <w:bCs/>
        </w:rPr>
        <w:t>In particular, it</w:t>
      </w:r>
      <w:proofErr w:type="gramEnd"/>
      <w:r>
        <w:rPr>
          <w:bCs/>
        </w:rPr>
        <w:t xml:space="preserve"> reveals where more socially deprived MSOAs may be particularly reliant on high-end service jobs, which could make them more vulnerable to a mismatch between the skills the workers have and those required by the available jobs, and to sectoral shocks in the labour market.  This angle is not well explored by the extant studies, which mostly focus on accessibility to all jobs in general, mainly due to a scarcity of spatial job distribution data that disaggregates jobs by type.  Nonetheless, Shen’s </w:t>
      </w:r>
      <w:sdt>
        <w:sdtPr>
          <w:rPr>
            <w:bCs/>
          </w:rPr>
          <w:id w:val="-318661891"/>
          <w:citation/>
        </w:sdtPr>
        <w:sdtContent>
          <w:r w:rsidR="009D1B8F">
            <w:rPr>
              <w:bCs/>
            </w:rPr>
            <w:fldChar w:fldCharType="begin"/>
          </w:r>
          <w:r w:rsidR="009D1B8F">
            <w:rPr>
              <w:bCs/>
            </w:rPr>
            <w:instrText xml:space="preserve">CITATION Shen1998 \n  \l 18441 </w:instrText>
          </w:r>
          <w:r w:rsidR="009D1B8F">
            <w:rPr>
              <w:bCs/>
            </w:rPr>
            <w:fldChar w:fldCharType="separate"/>
          </w:r>
          <w:r w:rsidR="009D1B8F" w:rsidRPr="009D1B8F">
            <w:rPr>
              <w:noProof/>
            </w:rPr>
            <w:t>(1998)</w:t>
          </w:r>
          <w:r w:rsidR="009D1B8F">
            <w:rPr>
              <w:bCs/>
            </w:rPr>
            <w:fldChar w:fldCharType="end"/>
          </w:r>
        </w:sdtContent>
      </w:sdt>
      <w:r w:rsidR="009D1B8F">
        <w:rPr>
          <w:bCs/>
        </w:rPr>
        <w:t xml:space="preserve"> </w:t>
      </w:r>
      <w:r>
        <w:rPr>
          <w:bCs/>
        </w:rPr>
        <w:t xml:space="preserve">analysis of </w:t>
      </w:r>
      <w:r>
        <w:rPr>
          <w:bCs/>
        </w:rPr>
        <w:lastRenderedPageBreak/>
        <w:t xml:space="preserve">accessibility </w:t>
      </w:r>
      <w:r w:rsidR="009D1B8F">
        <w:rPr>
          <w:bCs/>
        </w:rPr>
        <w:t>to jobs in manufacturing, administrative support, sales, services and agriculture sectors for low-income workers also reflected a similar concern that not all jobs that a worker can physically reach may actually be suitable for her.</w:t>
      </w:r>
    </w:p>
    <w:p w14:paraId="3AB4FD06" w14:textId="00137FDD" w:rsidR="00FD7681" w:rsidRDefault="009D1B8F" w:rsidP="004C3000">
      <w:pPr>
        <w:pStyle w:val="NoSpacing"/>
        <w:spacing w:line="480" w:lineRule="auto"/>
        <w:ind w:firstLine="567"/>
        <w:jc w:val="both"/>
        <w:rPr>
          <w:bCs/>
        </w:rPr>
      </w:pPr>
      <w:r>
        <w:rPr>
          <w:bCs/>
        </w:rPr>
        <w:t xml:space="preserve">As far as I am aware, there are no extant studies that incorporate travel time reliability into a job accessibility analysis.  Nonetheless, I believe that the types of analysis of travel time reliability presented here can productively enhance </w:t>
      </w:r>
      <w:r w:rsidR="005342E1">
        <w:rPr>
          <w:bCs/>
        </w:rPr>
        <w:t xml:space="preserve">our understanding of job accessibility.  Firstly, we should recognise that the travel times used to calculate accessibility measures </w:t>
      </w:r>
      <w:proofErr w:type="gramStart"/>
      <w:r w:rsidR="005342E1">
        <w:rPr>
          <w:bCs/>
        </w:rPr>
        <w:t>actually come</w:t>
      </w:r>
      <w:proofErr w:type="gramEnd"/>
      <w:r w:rsidR="005342E1">
        <w:rPr>
          <w:bCs/>
        </w:rPr>
        <w:t xml:space="preserve"> from a distribution, which imply that the accessibility level for any given area should also form a distribution.  If we focus on just a representative point estimate for each area’s accessibility level (such as the accessibility assuming that all services run as scheduled, or the average travel time for each origin-destination pair), then our analysis would overlook substantial actual variation, and would be unable to account for the real need to account for travel time fluctuations that faces urban commuters.  Secondly, analysing travel time variability allows us to consider how improvements to reliability can enhance accessibility.  Improvements to increase travel time reliability are likely to be less expensive and to entail less large-scale disruptions than investments to reduce overall travel times (which may require the construction of new rail lines or the purchase of more vehicles), and thus can provide a range of “low-hanging fruits” to deliver material improvements to commuters’ daily experiences in the short term.</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2DDAB741" w:rsidR="00045DFE" w:rsidRDefault="00045DFE" w:rsidP="004C3000">
      <w:pPr>
        <w:pStyle w:val="NoSpacing"/>
        <w:spacing w:line="480" w:lineRule="auto"/>
        <w:ind w:firstLine="567"/>
        <w:jc w:val="both"/>
        <w:rPr>
          <w:bCs/>
        </w:rPr>
      </w:pPr>
      <w:r>
        <w:rPr>
          <w:bCs/>
        </w:rPr>
        <w:t xml:space="preserve">Urban planning approaches that integrate land use and transport planning aim not only to facilitate the growth of population and opportunities in cities, but also to distribute that growth in such a way that people can easily connect with the opportunities they seek.  In particular, the distribution of working-age residents, jobs and transport connectivity should be optimised to ensure that each resident is provided with </w:t>
      </w:r>
      <w:proofErr w:type="gramStart"/>
      <w:r>
        <w:rPr>
          <w:bCs/>
        </w:rPr>
        <w:t>sufficient</w:t>
      </w:r>
      <w:proofErr w:type="gramEnd"/>
      <w:r>
        <w:rPr>
          <w:bCs/>
        </w:rPr>
        <w:t xml:space="preserve"> job opportunities within easy access.</w:t>
      </w:r>
    </w:p>
    <w:p w14:paraId="50FEAC1C" w14:textId="2AD67CFF" w:rsidR="009C4B84" w:rsidRDefault="00045DFE" w:rsidP="004C3000">
      <w:pPr>
        <w:pStyle w:val="NoSpacing"/>
        <w:spacing w:line="480" w:lineRule="auto"/>
        <w:ind w:firstLine="567"/>
        <w:jc w:val="both"/>
        <w:rPr>
          <w:bCs/>
        </w:rPr>
      </w:pPr>
      <w:r>
        <w:rPr>
          <w:bCs/>
        </w:rPr>
        <w:lastRenderedPageBreak/>
        <w:t xml:space="preserve">The results from this study can be helpful to this end.  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with new housing supply being directed to locations with too many jobs per resident, and job growth being encouraged in areas with too few jobs per resident.  Transport connectivity between areas with high JPRs and low JPRs can also be enhanced, to put more residents 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4B20F521" w14:textId="1BCCD43D" w:rsidR="00393956" w:rsidRDefault="00393956" w:rsidP="004C3000">
      <w:pPr>
        <w:pStyle w:val="NoSpacing"/>
        <w:spacing w:line="480" w:lineRule="auto"/>
        <w:ind w:firstLine="567"/>
        <w:jc w:val="both"/>
        <w:rPr>
          <w:bCs/>
        </w:rPr>
      </w:pPr>
      <w:r>
        <w:rPr>
          <w:bCs/>
        </w:rPr>
        <w:t xml:space="preserve">Secondly, the typologies of MSOAs derived from the K-means clustering analyses can be used to prioritise and customise interventions to benefit more disadvantaged areas first.  For instance, referring to Figure XX, the more socially deprived and job-poor MSOAs in Cluster 4 could benefit from new public transport infrastructure to directly connect them to job-rich areas, whereas the </w:t>
      </w:r>
      <w:r w:rsidR="002C4A0A">
        <w:rPr>
          <w:bCs/>
        </w:rPr>
        <w:t xml:space="preserve">more deprived </w:t>
      </w:r>
      <w:r>
        <w:rPr>
          <w:bCs/>
        </w:rPr>
        <w:t xml:space="preserve">MSOAs in Cluster 5 that experience high job provision but </w:t>
      </w:r>
      <w:r w:rsidR="002C4A0A">
        <w:rPr>
          <w:bCs/>
        </w:rPr>
        <w:t xml:space="preserve">a </w:t>
      </w:r>
      <w:r>
        <w:rPr>
          <w:bCs/>
        </w:rPr>
        <w:t xml:space="preserve">high reliance on the high-end service sector may be suitable targets for skills development programmes.  The K-means clustering results in Figure XX also reveal </w:t>
      </w:r>
      <w:r w:rsidR="00F65815">
        <w:rPr>
          <w:bCs/>
        </w:rPr>
        <w:t xml:space="preserve">socially deprived </w:t>
      </w:r>
      <w:r>
        <w:rPr>
          <w:bCs/>
        </w:rPr>
        <w:t>locations where</w:t>
      </w:r>
      <w:r w:rsidR="00F65815">
        <w:rPr>
          <w:bCs/>
        </w:rPr>
        <w:t xml:space="preserve"> investments to improve transport service reliability can be targeted towards specific travel modes, particularly National Rail for MSOAs in Clusters 2 and 5 and bus for Cluster 2.</w:t>
      </w:r>
    </w:p>
    <w:p w14:paraId="4C93FFC1" w14:textId="1E69EFAD"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2C4A0A">
        <w:rPr>
          <w:bCs/>
        </w:rPr>
        <w:t>A similar effect can be expected from t</w:t>
      </w:r>
      <w:r w:rsidR="00C933F1">
        <w:rPr>
          <w:bCs/>
        </w:rPr>
        <w:t xml:space="preserve">he proposed Crossrail 2 project, which runs from the north through the Lea Valley to the southwest (+ citation), </w:t>
      </w:r>
      <w:r w:rsidR="002C4A0A">
        <w:rPr>
          <w:bCs/>
        </w:rPr>
        <w:t>though arguably the leg north of the Thames should be prioritised as it would benefit more socially deprived areas that have insufficient job accessibility than the southern leg</w:t>
      </w:r>
      <w:r w:rsidR="00C933F1">
        <w:rPr>
          <w:bCs/>
        </w:rPr>
        <w:t xml:space="preserve">.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 xml:space="preserve">.155-9), improvements to rail </w:t>
      </w:r>
      <w:r>
        <w:rPr>
          <w:bCs/>
        </w:rPr>
        <w:lastRenderedPageBreak/>
        <w:t>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5D3D5E83"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 this indicates that connectivity to Lewisham should be improved in tandem with the delivery of more jobs there.</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77777777" w:rsidR="002C4A0A" w:rsidRDefault="002C4A0A"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287E" w14:textId="77777777" w:rsidR="00EF6F7B" w:rsidRDefault="00EF6F7B" w:rsidP="00736D38">
      <w:pPr>
        <w:spacing w:after="0" w:line="240" w:lineRule="auto"/>
      </w:pPr>
      <w:r>
        <w:separator/>
      </w:r>
    </w:p>
  </w:endnote>
  <w:endnote w:type="continuationSeparator" w:id="0">
    <w:p w14:paraId="37DF5CB7" w14:textId="77777777" w:rsidR="00EF6F7B" w:rsidRDefault="00EF6F7B"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DA5EDD" w:rsidRDefault="00DA5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DA5EDD" w:rsidRDefault="00DA5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75C82" w14:textId="77777777" w:rsidR="00EF6F7B" w:rsidRDefault="00EF6F7B" w:rsidP="00736D38">
      <w:pPr>
        <w:spacing w:after="0" w:line="240" w:lineRule="auto"/>
      </w:pPr>
      <w:r>
        <w:separator/>
      </w:r>
    </w:p>
  </w:footnote>
  <w:footnote w:type="continuationSeparator" w:id="0">
    <w:p w14:paraId="1E538F8B" w14:textId="77777777" w:rsidR="00EF6F7B" w:rsidRDefault="00EF6F7B" w:rsidP="00736D38">
      <w:pPr>
        <w:spacing w:after="0" w:line="240" w:lineRule="auto"/>
      </w:pPr>
      <w:r>
        <w:continuationSeparator/>
      </w:r>
    </w:p>
  </w:footnote>
  <w:footnote w:id="1">
    <w:p w14:paraId="60F55AB9" w14:textId="77777777" w:rsidR="00DA5EDD" w:rsidRDefault="00DA5EDD"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43C1"/>
    <w:rsid w:val="00033F5C"/>
    <w:rsid w:val="00045DFE"/>
    <w:rsid w:val="000467AD"/>
    <w:rsid w:val="00057AA8"/>
    <w:rsid w:val="0006340E"/>
    <w:rsid w:val="000666D3"/>
    <w:rsid w:val="000851C1"/>
    <w:rsid w:val="00091F8F"/>
    <w:rsid w:val="00092E3A"/>
    <w:rsid w:val="00094334"/>
    <w:rsid w:val="000A7BBD"/>
    <w:rsid w:val="000C58FC"/>
    <w:rsid w:val="000D2847"/>
    <w:rsid w:val="000E6C57"/>
    <w:rsid w:val="0010043D"/>
    <w:rsid w:val="0010630F"/>
    <w:rsid w:val="0011043B"/>
    <w:rsid w:val="00113AE6"/>
    <w:rsid w:val="0012120F"/>
    <w:rsid w:val="00124E28"/>
    <w:rsid w:val="0012696A"/>
    <w:rsid w:val="00136E83"/>
    <w:rsid w:val="00137B56"/>
    <w:rsid w:val="00144656"/>
    <w:rsid w:val="001467F4"/>
    <w:rsid w:val="00151596"/>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30F8A"/>
    <w:rsid w:val="0024246D"/>
    <w:rsid w:val="00244C07"/>
    <w:rsid w:val="00252AA7"/>
    <w:rsid w:val="002543E7"/>
    <w:rsid w:val="00271085"/>
    <w:rsid w:val="00287A1C"/>
    <w:rsid w:val="00291DEA"/>
    <w:rsid w:val="002B027C"/>
    <w:rsid w:val="002B0A1B"/>
    <w:rsid w:val="002C4A0A"/>
    <w:rsid w:val="002D06D1"/>
    <w:rsid w:val="002D584E"/>
    <w:rsid w:val="002E461B"/>
    <w:rsid w:val="002F1386"/>
    <w:rsid w:val="0032066E"/>
    <w:rsid w:val="00327BE2"/>
    <w:rsid w:val="0035693A"/>
    <w:rsid w:val="00357952"/>
    <w:rsid w:val="00370982"/>
    <w:rsid w:val="003713CD"/>
    <w:rsid w:val="00393956"/>
    <w:rsid w:val="0039408B"/>
    <w:rsid w:val="003A3F90"/>
    <w:rsid w:val="003B767A"/>
    <w:rsid w:val="003C19BD"/>
    <w:rsid w:val="003D7F1C"/>
    <w:rsid w:val="00402BD7"/>
    <w:rsid w:val="004200C5"/>
    <w:rsid w:val="0042704F"/>
    <w:rsid w:val="00427430"/>
    <w:rsid w:val="0043035B"/>
    <w:rsid w:val="004417C5"/>
    <w:rsid w:val="00442B84"/>
    <w:rsid w:val="00442BD6"/>
    <w:rsid w:val="00447B0E"/>
    <w:rsid w:val="00462799"/>
    <w:rsid w:val="00480FBF"/>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86750"/>
    <w:rsid w:val="005A61AF"/>
    <w:rsid w:val="005B1838"/>
    <w:rsid w:val="005C3FD5"/>
    <w:rsid w:val="005D1934"/>
    <w:rsid w:val="005D25AF"/>
    <w:rsid w:val="005E3D53"/>
    <w:rsid w:val="005F7572"/>
    <w:rsid w:val="005F790A"/>
    <w:rsid w:val="00602C7A"/>
    <w:rsid w:val="006034DE"/>
    <w:rsid w:val="00633400"/>
    <w:rsid w:val="006427D2"/>
    <w:rsid w:val="006512A7"/>
    <w:rsid w:val="00651C83"/>
    <w:rsid w:val="0066560E"/>
    <w:rsid w:val="006670C7"/>
    <w:rsid w:val="00671F72"/>
    <w:rsid w:val="00672CDD"/>
    <w:rsid w:val="00696395"/>
    <w:rsid w:val="006A4F83"/>
    <w:rsid w:val="006C3E9F"/>
    <w:rsid w:val="006D3389"/>
    <w:rsid w:val="006E7AA6"/>
    <w:rsid w:val="006F0A20"/>
    <w:rsid w:val="006F37E8"/>
    <w:rsid w:val="00736D38"/>
    <w:rsid w:val="00745A30"/>
    <w:rsid w:val="007665BA"/>
    <w:rsid w:val="00777615"/>
    <w:rsid w:val="00781288"/>
    <w:rsid w:val="007920FF"/>
    <w:rsid w:val="007949A2"/>
    <w:rsid w:val="007A3E93"/>
    <w:rsid w:val="007B0EED"/>
    <w:rsid w:val="007B2AFA"/>
    <w:rsid w:val="007B4349"/>
    <w:rsid w:val="007C1C7E"/>
    <w:rsid w:val="007D23F5"/>
    <w:rsid w:val="007D401F"/>
    <w:rsid w:val="007F5E8F"/>
    <w:rsid w:val="008124AD"/>
    <w:rsid w:val="0081540B"/>
    <w:rsid w:val="00822C10"/>
    <w:rsid w:val="00834E15"/>
    <w:rsid w:val="008410FA"/>
    <w:rsid w:val="008464C1"/>
    <w:rsid w:val="008468D4"/>
    <w:rsid w:val="00855F70"/>
    <w:rsid w:val="008622BD"/>
    <w:rsid w:val="00863793"/>
    <w:rsid w:val="0088101E"/>
    <w:rsid w:val="00881464"/>
    <w:rsid w:val="00885322"/>
    <w:rsid w:val="0088686C"/>
    <w:rsid w:val="0088702A"/>
    <w:rsid w:val="008A13DE"/>
    <w:rsid w:val="008A15BC"/>
    <w:rsid w:val="008A649D"/>
    <w:rsid w:val="008A7373"/>
    <w:rsid w:val="008B6B72"/>
    <w:rsid w:val="008C0051"/>
    <w:rsid w:val="008C312A"/>
    <w:rsid w:val="008C4D5E"/>
    <w:rsid w:val="008D5EE9"/>
    <w:rsid w:val="008E598F"/>
    <w:rsid w:val="008F45B2"/>
    <w:rsid w:val="009065D9"/>
    <w:rsid w:val="00907807"/>
    <w:rsid w:val="00925211"/>
    <w:rsid w:val="00931B20"/>
    <w:rsid w:val="00960DDF"/>
    <w:rsid w:val="00975A95"/>
    <w:rsid w:val="009933A7"/>
    <w:rsid w:val="00994487"/>
    <w:rsid w:val="009A2C18"/>
    <w:rsid w:val="009A5672"/>
    <w:rsid w:val="009A759F"/>
    <w:rsid w:val="009C3B12"/>
    <w:rsid w:val="009C4B84"/>
    <w:rsid w:val="009D067B"/>
    <w:rsid w:val="009D1B8F"/>
    <w:rsid w:val="009D3B9B"/>
    <w:rsid w:val="009E24B3"/>
    <w:rsid w:val="009F1861"/>
    <w:rsid w:val="00A304F4"/>
    <w:rsid w:val="00A42C27"/>
    <w:rsid w:val="00A444BA"/>
    <w:rsid w:val="00A45594"/>
    <w:rsid w:val="00A6668E"/>
    <w:rsid w:val="00A67083"/>
    <w:rsid w:val="00A72A3D"/>
    <w:rsid w:val="00A76BF7"/>
    <w:rsid w:val="00A82C99"/>
    <w:rsid w:val="00A83414"/>
    <w:rsid w:val="00A8591D"/>
    <w:rsid w:val="00A86C01"/>
    <w:rsid w:val="00A904E7"/>
    <w:rsid w:val="00A90ED6"/>
    <w:rsid w:val="00AA3032"/>
    <w:rsid w:val="00AC1D15"/>
    <w:rsid w:val="00AE402B"/>
    <w:rsid w:val="00AE5E77"/>
    <w:rsid w:val="00AF301F"/>
    <w:rsid w:val="00B00D14"/>
    <w:rsid w:val="00B03C4E"/>
    <w:rsid w:val="00B25CFC"/>
    <w:rsid w:val="00B4229E"/>
    <w:rsid w:val="00B53D91"/>
    <w:rsid w:val="00B635DE"/>
    <w:rsid w:val="00B63F7A"/>
    <w:rsid w:val="00B643CE"/>
    <w:rsid w:val="00B84F1E"/>
    <w:rsid w:val="00B93BDD"/>
    <w:rsid w:val="00B94D60"/>
    <w:rsid w:val="00BA2A11"/>
    <w:rsid w:val="00BA34F1"/>
    <w:rsid w:val="00BA6B5F"/>
    <w:rsid w:val="00BA730E"/>
    <w:rsid w:val="00BB0DA1"/>
    <w:rsid w:val="00BC75B9"/>
    <w:rsid w:val="00BD0BE2"/>
    <w:rsid w:val="00BD5A12"/>
    <w:rsid w:val="00BE293C"/>
    <w:rsid w:val="00BE5A60"/>
    <w:rsid w:val="00BE788F"/>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A08A3"/>
    <w:rsid w:val="00CD52D2"/>
    <w:rsid w:val="00CF0BE6"/>
    <w:rsid w:val="00CF34BC"/>
    <w:rsid w:val="00CF4017"/>
    <w:rsid w:val="00D03B46"/>
    <w:rsid w:val="00D16D0D"/>
    <w:rsid w:val="00D239AC"/>
    <w:rsid w:val="00D34CE7"/>
    <w:rsid w:val="00D34FAB"/>
    <w:rsid w:val="00D4597E"/>
    <w:rsid w:val="00D470BF"/>
    <w:rsid w:val="00D51227"/>
    <w:rsid w:val="00D964E9"/>
    <w:rsid w:val="00DA1575"/>
    <w:rsid w:val="00DA5EDD"/>
    <w:rsid w:val="00DB48CD"/>
    <w:rsid w:val="00DC6177"/>
    <w:rsid w:val="00DD6292"/>
    <w:rsid w:val="00DD7F6F"/>
    <w:rsid w:val="00DE5377"/>
    <w:rsid w:val="00DF3A66"/>
    <w:rsid w:val="00DF4279"/>
    <w:rsid w:val="00DF4401"/>
    <w:rsid w:val="00E06642"/>
    <w:rsid w:val="00E12EA9"/>
    <w:rsid w:val="00E15D01"/>
    <w:rsid w:val="00E26C23"/>
    <w:rsid w:val="00E42C92"/>
    <w:rsid w:val="00E543E6"/>
    <w:rsid w:val="00E84342"/>
    <w:rsid w:val="00E90C4E"/>
    <w:rsid w:val="00E9110B"/>
    <w:rsid w:val="00E93678"/>
    <w:rsid w:val="00E9617A"/>
    <w:rsid w:val="00E97BB5"/>
    <w:rsid w:val="00E97F74"/>
    <w:rsid w:val="00EA1B49"/>
    <w:rsid w:val="00EA23AD"/>
    <w:rsid w:val="00EA40EB"/>
    <w:rsid w:val="00EA5A90"/>
    <w:rsid w:val="00EB4797"/>
    <w:rsid w:val="00EB6328"/>
    <w:rsid w:val="00EC2065"/>
    <w:rsid w:val="00EC3463"/>
    <w:rsid w:val="00EE7D18"/>
    <w:rsid w:val="00EF0FC3"/>
    <w:rsid w:val="00EF6BF3"/>
    <w:rsid w:val="00EF6F7B"/>
    <w:rsid w:val="00F16B08"/>
    <w:rsid w:val="00F2270D"/>
    <w:rsid w:val="00F50291"/>
    <w:rsid w:val="00F64297"/>
    <w:rsid w:val="00F65815"/>
    <w:rsid w:val="00F66961"/>
    <w:rsid w:val="00F71F14"/>
    <w:rsid w:val="00F77821"/>
    <w:rsid w:val="00F820D8"/>
    <w:rsid w:val="00F9176B"/>
    <w:rsid w:val="00F97A21"/>
    <w:rsid w:val="00FA21C6"/>
    <w:rsid w:val="00FB0347"/>
    <w:rsid w:val="00FB6237"/>
    <w:rsid w:val="00FD6228"/>
    <w:rsid w:val="00FD7681"/>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4</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5</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8</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26</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6</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9</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10</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12</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7</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11</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23</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14</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24</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25</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13</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15</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22</b:RefOrder>
  </b:Source>
</b:Sources>
</file>

<file path=customXml/itemProps1.xml><?xml version="1.0" encoding="utf-8"?>
<ds:datastoreItem xmlns:ds="http://schemas.openxmlformats.org/officeDocument/2006/customXml" ds:itemID="{B25F3F41-6EDD-4F4E-BF69-1AAE1B22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16049</TotalTime>
  <Pages>32</Pages>
  <Words>11034</Words>
  <Characters>62896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61</cp:revision>
  <dcterms:created xsi:type="dcterms:W3CDTF">2019-04-25T13:10:00Z</dcterms:created>
  <dcterms:modified xsi:type="dcterms:W3CDTF">2019-07-22T16:54:00Z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