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2E3A585E"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facilitate frequent and complex interactions</w:t>
      </w:r>
      <w:r w:rsidR="004E6D33">
        <w:t xml:space="preserve"> </w:t>
      </w:r>
      <w:r w:rsidR="0017034A">
        <w:t xml:space="preserve">that in turn </w:t>
      </w:r>
      <w:r w:rsidR="00004CBC">
        <w:t>drive</w:t>
      </w:r>
      <w:r w:rsidR="004E6D33">
        <w:t xml:space="preserve"> </w:t>
      </w:r>
      <w:r w:rsidR="00B00D14">
        <w:t xml:space="preserve">vibrancy, </w:t>
      </w:r>
      <w:r>
        <w:t xml:space="preserve">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D964E9" w:rsidRPr="00D4597E">
        <w:rPr>
          <w:iCs/>
        </w:rPr>
        <w:t>inequality</w:t>
      </w:r>
      <w:r w:rsidR="00D964E9">
        <w:t xml:space="preserve"> also tends to be greatest in cities</w:t>
      </w:r>
      <w:r w:rsidR="00A72A3D">
        <w:t xml:space="preserve">, as </w:t>
      </w:r>
      <w:r w:rsidR="00D964E9">
        <w:t>people</w:t>
      </w:r>
      <w:r w:rsidR="00A72A3D">
        <w:t xml:space="preserve"> </w:t>
      </w:r>
      <w:r w:rsidR="004E6D33">
        <w:t xml:space="preserve">in </w:t>
      </w:r>
      <w:r w:rsidR="00B00D14">
        <w:t xml:space="preserve">located in </w:t>
      </w:r>
      <w:r w:rsidR="004E6D33">
        <w:t xml:space="preserve">different </w:t>
      </w:r>
      <w:r w:rsidR="00B00D14">
        <w:t xml:space="preserve">places in the </w:t>
      </w:r>
      <w:r w:rsidR="004E6D33">
        <w:t>network</w:t>
      </w:r>
      <w:r w:rsidR="00B00D14">
        <w:t>s</w:t>
      </w:r>
      <w:r w:rsidR="004E6D33">
        <w:t xml:space="preserve"> </w:t>
      </w:r>
      <w:r w:rsidR="00A72A3D">
        <w:t xml:space="preserve">experience different levels of </w:t>
      </w:r>
      <w:r w:rsidR="002B0A1B">
        <w:t xml:space="preserve">connectivity </w:t>
      </w:r>
      <w:r w:rsidR="00A72A3D">
        <w:t>to opportunities and resources</w:t>
      </w:r>
      <w:r w:rsidR="002B0A1B">
        <w:t xml:space="preserve">, which in turn </w:t>
      </w:r>
      <w:r w:rsidR="007D401F">
        <w:t xml:space="preserve">contributes </w:t>
      </w:r>
      <w:r w:rsidR="002B0A1B">
        <w:t>to differentiated outcomes among individuals</w:t>
      </w:r>
      <w:r w:rsidR="00A72A3D">
        <w:t xml:space="preserve">.  </w:t>
      </w:r>
      <w:r w:rsidR="00B00D14">
        <w:t xml:space="preserve">In particular, </w:t>
      </w:r>
      <w:r w:rsidR="00A72A3D">
        <w:t xml:space="preserve">workers who live in different </w:t>
      </w:r>
      <w:r w:rsidR="00E84342">
        <w:t xml:space="preserve">neighbourhoods </w:t>
      </w:r>
      <w:r w:rsidR="00B00D14">
        <w:t xml:space="preserve">are connected in different ways to the transport network and </w:t>
      </w:r>
      <w:r w:rsidR="00A72A3D">
        <w:t xml:space="preserve">experience </w:t>
      </w:r>
      <w:r w:rsidR="007D401F">
        <w:t xml:space="preserve">uneven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w:t>
      </w:r>
      <w:r w:rsidR="00057AA8">
        <w:t xml:space="preserve">workers </w:t>
      </w:r>
      <w:r w:rsidR="007D401F">
        <w:t xml:space="preserve">burdened by </w:t>
      </w:r>
      <w:r w:rsidR="00057AA8">
        <w:t xml:space="preserve">lower accessibility </w:t>
      </w:r>
      <w:r w:rsidR="007D401F">
        <w:t xml:space="preserve">may also experience </w:t>
      </w:r>
      <w:r w:rsidR="00D4597E">
        <w:t xml:space="preserve">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1F2825C9" w:rsidR="00E97BB5" w:rsidRDefault="00E97BB5" w:rsidP="00FE2BCF">
      <w:pPr>
        <w:pStyle w:val="NoSpacing"/>
        <w:spacing w:line="480" w:lineRule="auto"/>
        <w:ind w:firstLine="567"/>
        <w:jc w:val="both"/>
      </w:pPr>
      <w:r>
        <w:t>While the unevenness of job accessibility in cities has been widely studied, most extant analyses under-explore a</w:t>
      </w:r>
      <w:r w:rsidR="0017034A">
        <w:t xml:space="preserve"> highly salient</w:t>
      </w:r>
      <w:r>
        <w:t xml:space="preserve"> aspect of </w:t>
      </w:r>
      <w:r w:rsidR="0017034A">
        <w:t xml:space="preserve">the actual experience of </w:t>
      </w:r>
      <w:r>
        <w:t xml:space="preserve">urban </w:t>
      </w:r>
      <w:r w:rsidR="0017034A">
        <w:t xml:space="preserve">commuting: </w:t>
      </w:r>
      <w:r>
        <w:t xml:space="preserve">day-to-day variability in </w:t>
      </w:r>
      <w:r w:rsidR="0017034A">
        <w:t>travel times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9065D9">
        <w:t xml:space="preserve">, which may arise from congestion, varying service schedules and failures of parts of the network.  This </w:t>
      </w:r>
      <w:r w:rsidR="00B00D14">
        <w:t xml:space="preserve">is </w:t>
      </w:r>
      <w:r w:rsidR="009065D9">
        <w:t xml:space="preserve">because </w:t>
      </w:r>
      <w:r w:rsidR="00B00D14">
        <w:t xml:space="preserve">of the limited availability in the past of </w:t>
      </w:r>
      <w:r w:rsidR="009065D9">
        <w:t xml:space="preserve">data on transport connectivity with sufficiently fine spatial and temporal resolution to capture </w:t>
      </w:r>
      <w:r w:rsidR="007D401F">
        <w:t>such variability</w:t>
      </w:r>
      <w:r w:rsidR="00B00D14">
        <w:t>.  This data limitation has recently begun to be alleviated</w:t>
      </w:r>
      <w:r w:rsidR="009065D9">
        <w:t xml:space="preserve">, particularly </w:t>
      </w:r>
      <w:r w:rsidR="00B00D14">
        <w:t xml:space="preserve">through the spread of </w:t>
      </w:r>
      <w:r w:rsidR="009065D9">
        <w:t>real-time trip planning platforms</w:t>
      </w:r>
      <w:r w:rsidR="00B00D14">
        <w:t>, and this study leverages on such a new data source to investigate urban accessibility from the angle of travel time variability</w:t>
      </w:r>
      <w:r w:rsidR="00EB6328">
        <w:t>.</w:t>
      </w:r>
    </w:p>
    <w:p w14:paraId="44283B6D" w14:textId="72D97D21" w:rsidR="00BA34F1" w:rsidRDefault="008F45B2" w:rsidP="0017034A">
      <w:pPr>
        <w:pStyle w:val="NoSpacing"/>
        <w:spacing w:line="480" w:lineRule="auto"/>
        <w:ind w:firstLine="567"/>
        <w:jc w:val="both"/>
      </w:pPr>
      <w:r>
        <w:t xml:space="preserve">In </w:t>
      </w:r>
      <w:r w:rsidR="00442BD6">
        <w:t>t</w:t>
      </w:r>
      <w:r w:rsidR="00BA34F1">
        <w:t>his study</w:t>
      </w:r>
      <w:r w:rsidR="00442BD6">
        <w:t xml:space="preserve">, </w:t>
      </w:r>
      <w:r w:rsidR="00D03B46">
        <w:t xml:space="preserve">I </w:t>
      </w:r>
      <w:r w:rsidR="00D4597E">
        <w:t xml:space="preserve">will analyse the </w:t>
      </w:r>
      <w:r w:rsidR="0017034A">
        <w:t xml:space="preserve">how </w:t>
      </w:r>
      <w:r w:rsidR="00D4597E">
        <w:t xml:space="preserve">accessibility to jobs </w:t>
      </w:r>
      <w:r w:rsidR="00EB6328">
        <w:t xml:space="preserve">and variability in travel times </w:t>
      </w:r>
      <w:r w:rsidR="00D4597E">
        <w:t xml:space="preserve">via public transport </w:t>
      </w:r>
      <w:r w:rsidR="0017034A">
        <w:t xml:space="preserve">affects working-age residents living in different areas under the jurisdiction of </w:t>
      </w:r>
      <w:r w:rsidR="00D4597E">
        <w:t>the Greater London Authorit</w:t>
      </w:r>
      <w:r w:rsidR="0017034A">
        <w:t>y</w:t>
      </w:r>
      <w:r w:rsidR="009065D9">
        <w:t xml:space="preserve"> (GLA)</w:t>
      </w:r>
      <w:r w:rsidR="00D4597E">
        <w:t xml:space="preserve">, with the aim of identifying areas that are burdened with </w:t>
      </w:r>
      <w:r w:rsidR="00EB6328">
        <w:t>poor accessibility to jobs</w:t>
      </w:r>
      <w:r w:rsidR="007D401F">
        <w:t>,</w:t>
      </w:r>
      <w:r w:rsidR="00EB6328">
        <w:t xml:space="preserve"> low travel time reliability</w:t>
      </w:r>
      <w:r w:rsidR="007D401F">
        <w:t xml:space="preserve"> and/or high social disadvantage</w:t>
      </w:r>
      <w:r w:rsidR="00EB6328">
        <w:t xml:space="preserve">.  In addition to demonstrating </w:t>
      </w:r>
      <w:r w:rsidR="009065D9">
        <w:t>a methodology to productively incorporate the novel angle of travel time variability into</w:t>
      </w:r>
      <w:r w:rsidR="00EB6328">
        <w:t xml:space="preserve"> accessibility </w:t>
      </w:r>
      <w:r w:rsidR="00EB6328">
        <w:lastRenderedPageBreak/>
        <w:t>analyses, the findings from this study can also be used to target</w:t>
      </w:r>
      <w:r w:rsidR="0017034A">
        <w:t xml:space="preserve"> public transport</w:t>
      </w:r>
      <w:r w:rsidR="00EB6328">
        <w:t xml:space="preserve"> improvements </w:t>
      </w:r>
      <w:r w:rsidR="0017034A">
        <w:t xml:space="preserve">to increase </w:t>
      </w:r>
      <w:r w:rsidR="00B00D14">
        <w:t xml:space="preserve">job </w:t>
      </w:r>
      <w:r w:rsidR="00EB6328">
        <w:t xml:space="preserve">accessibility and </w:t>
      </w:r>
      <w:r w:rsidR="007D401F">
        <w:t xml:space="preserve">travel time </w:t>
      </w:r>
      <w:r w:rsidR="00EB6328">
        <w:t>reliability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351CB6A7" w:rsidR="0012120F" w:rsidRDefault="004E6D33" w:rsidP="00FE2BCF">
      <w:pPr>
        <w:pStyle w:val="NoSpacing"/>
        <w:spacing w:line="480" w:lineRule="auto"/>
        <w:ind w:firstLine="567"/>
        <w:jc w:val="both"/>
      </w:pPr>
      <w:r>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proofErr w:type="spellStart"/>
      <w:r w:rsidR="008A7373">
        <w:t>Deboosere</w:t>
      </w:r>
      <w:proofErr w:type="spellEnd"/>
      <w:r w:rsidR="008A7373">
        <w:t xml:space="preserve"> &amp; El-</w:t>
      </w:r>
      <w:proofErr w:type="spellStart"/>
      <w:r w:rsidR="008A7373">
        <w:t>Geneidy</w:t>
      </w:r>
      <w:proofErr w:type="spellEnd"/>
      <w:r w:rsidR="008A7373">
        <w:t xml:space="preserve">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A8591D">
        <w:rPr>
          <w:i/>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8A13DE">
        <w:rPr>
          <w:i/>
        </w:rPr>
        <w:t>in</w:t>
      </w:r>
      <w:r w:rsidR="00A8591D" w:rsidRPr="00A8591D">
        <w:rPr>
          <w:i/>
        </w:rPr>
        <w:t>equity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sho</w:t>
      </w:r>
      <w:r>
        <w:t>ws</w:t>
      </w:r>
      <w:r w:rsidR="008A7373">
        <w:t xml:space="preserve"> that </w:t>
      </w:r>
      <w:r w:rsidR="00553E85">
        <w:t xml:space="preserve">accessibility </w:t>
      </w:r>
      <w:r w:rsidR="002F1386">
        <w:t xml:space="preserve">levels </w:t>
      </w:r>
      <w:r w:rsidR="007D401F">
        <w:t xml:space="preserve">usually vary widely across </w:t>
      </w:r>
      <w:r w:rsidR="00B53D91">
        <w:t>a city</w:t>
      </w:r>
      <w:r w:rsidR="00B25CFC">
        <w:t xml:space="preserve">.  </w:t>
      </w:r>
      <w:r w:rsidR="00B93BDD">
        <w:t xml:space="preserve">Also, </w:t>
      </w:r>
      <w:r w:rsidR="007D401F">
        <w:t>most cities have locations where social disadvantage coincides with poor accessibility, although this problem is more serious in poorer cities with less extensive public transport systems than in more developed cities</w:t>
      </w:r>
      <w:r w:rsidR="00B53D91">
        <w:t>.</w:t>
      </w:r>
    </w:p>
    <w:p w14:paraId="52C18DB2" w14:textId="54F4ABE4"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healthcare, services, education and leisure, thereby constraining their options, increasing travel burdens, lowering quality of life and entrenching social </w:t>
      </w:r>
      <w:r w:rsidR="00B00D14">
        <w:t>deprivation</w:t>
      </w:r>
      <w:r>
        <w:t>.  To make the situation fairer, authorities recommend targeting accessibility improvements to better connect areas with more disadvantaged residents to the opportunities they need.</w:t>
      </w:r>
    </w:p>
    <w:p w14:paraId="66D07C32" w14:textId="20659439" w:rsidR="000467AD" w:rsidRDefault="000467AD" w:rsidP="00B93BDD">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w:t>
      </w:r>
      <w:r w:rsidR="008A15BC">
        <w:t xml:space="preserve">(DHCLG) </w:t>
      </w:r>
      <w:r>
        <w:t>ha</w:t>
      </w:r>
      <w:r w:rsidR="008622BD">
        <w:t>s</w:t>
      </w:r>
      <w:r>
        <w:t xml:space="preserve"> developed the Indices of Multiple Deprivation (IMD) </w:t>
      </w:r>
      <w:sdt>
        <w:sdtPr>
          <w:id w:val="-845781621"/>
          <w:citation/>
        </w:sdtPr>
        <w:sdtContent>
          <w:r w:rsidR="007920FF">
            <w:fldChar w:fldCharType="begin"/>
          </w:r>
          <w:r w:rsidR="007920FF">
            <w:instrText xml:space="preserve">CITATION Dep15 \n  \l 18441 </w:instrText>
          </w:r>
          <w:r w:rsidR="007920FF">
            <w:fldChar w:fldCharType="separate"/>
          </w:r>
          <w:r w:rsidR="007920FF" w:rsidRPr="007920FF">
            <w:rPr>
              <w:noProof/>
            </w:rPr>
            <w:t>(2015)</w:t>
          </w:r>
          <w:r w:rsidR="007920FF">
            <w:fldChar w:fldCharType="end"/>
          </w:r>
        </w:sdtContent>
      </w:sdt>
      <w:r w:rsidR="007920FF">
        <w:t xml:space="preserve"> </w:t>
      </w:r>
      <w:r>
        <w:t xml:space="preserve">to reflect the </w:t>
      </w:r>
      <w:r>
        <w:lastRenderedPageBreak/>
        <w:t xml:space="preserve">relative </w:t>
      </w:r>
      <w:r w:rsidR="007920FF">
        <w:t xml:space="preserve">degree of social disadvantage experienced by residents in </w:t>
      </w:r>
      <w:r>
        <w:t xml:space="preserve">small areas </w:t>
      </w:r>
      <w:r w:rsidR="007920FF">
        <w:t xml:space="preserve">across </w:t>
      </w:r>
      <w:r>
        <w:t xml:space="preserve">a wide range of domains, including income, employment, health, education, crime, housing and the living environment.  In this study, I use the IMD data to capture the relative deprivation of </w:t>
      </w:r>
      <w:r w:rsidR="008622BD">
        <w:t xml:space="preserve">different </w:t>
      </w:r>
      <w:proofErr w:type="gramStart"/>
      <w:r w:rsidR="008622BD">
        <w:t>areas</w:t>
      </w:r>
      <w:r w:rsidR="000A7BBD">
        <w:t>, and</w:t>
      </w:r>
      <w:proofErr w:type="gramEnd"/>
      <w:r w:rsidR="000A7BBD">
        <w:t xml:space="preserve"> will follow the </w:t>
      </w:r>
      <w:r w:rsidR="008A15BC">
        <w:t>DHCLG guidance to focus on the relative ranking of the areas by IMD index scores, rather than on the raw scores themselves</w:t>
      </w:r>
      <w:r>
        <w:t>.</w:t>
      </w:r>
    </w:p>
    <w:p w14:paraId="5E5EC3A1" w14:textId="77777777" w:rsidR="007920FF" w:rsidRDefault="00931B20" w:rsidP="00975A95">
      <w:pPr>
        <w:pStyle w:val="NoSpacing"/>
        <w:spacing w:line="480" w:lineRule="auto"/>
        <w:ind w:firstLine="567"/>
        <w:jc w:val="both"/>
      </w:pPr>
      <w:r>
        <w:t>R</w:t>
      </w:r>
      <w:r w:rsidR="00137B56">
        <w:t xml:space="preserve">esearchers have </w:t>
      </w:r>
      <w:r>
        <w:t xml:space="preserve">also </w:t>
      </w:r>
      <w:r w:rsidR="00137B56">
        <w:t>developed many metrics to measure accessibility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EC2065">
        <w:t>“</w:t>
      </w:r>
      <w:r w:rsidR="007920FF">
        <w:t>L</w:t>
      </w:r>
      <w:r w:rsidR="00EC2065">
        <w:t xml:space="preserve">ocation-based” </w:t>
      </w:r>
      <w:r w:rsidR="007920FF">
        <w:t>measures</w:t>
      </w:r>
      <w:r w:rsidR="000467AD">
        <w:t>, which regard accessibility as a property of different areas</w:t>
      </w:r>
      <w:r w:rsidR="002E461B">
        <w:t xml:space="preserve"> (as opposed to a property of travellers or of components in the transport network)</w:t>
      </w:r>
      <w:r w:rsidR="000467AD">
        <w:t>,</w:t>
      </w:r>
      <w:r w:rsidR="00CF0BE6">
        <w:t xml:space="preserve"> </w:t>
      </w:r>
      <w:r w:rsidR="007920FF">
        <w:t>are</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2E461B">
        <w:t>In particular, I will use</w:t>
      </w:r>
      <w:r w:rsidR="00FA21C6">
        <w:t xml:space="preserve"> a type of adapted </w:t>
      </w:r>
      <w:r w:rsidR="00180EBE">
        <w:t xml:space="preserve">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FA21C6">
        <w:t xml:space="preserve">first proposed in the transport geography literature by Shen </w:t>
      </w:r>
      <w:sdt>
        <w:sdtPr>
          <w:id w:val="1019514325"/>
          <w:citation/>
        </w:sdtPr>
        <w:sdtContent>
          <w:r w:rsidR="00FA21C6">
            <w:fldChar w:fldCharType="begin"/>
          </w:r>
          <w:r w:rsidR="00FA21C6">
            <w:instrText xml:space="preserve">CITATION Shen1998 \n  \l 18441 </w:instrText>
          </w:r>
          <w:r w:rsidR="00FA21C6">
            <w:fldChar w:fldCharType="separate"/>
          </w:r>
          <w:r w:rsidR="00FA21C6" w:rsidRPr="00FA21C6">
            <w:rPr>
              <w:noProof/>
            </w:rPr>
            <w:t>(1998)</w:t>
          </w:r>
          <w:r w:rsidR="00FA21C6">
            <w:fldChar w:fldCharType="end"/>
          </w:r>
        </w:sdtContent>
      </w:sdt>
      <w:r w:rsidR="00FA21C6">
        <w:t xml:space="preserve"> and further developed </w:t>
      </w:r>
      <w:r w:rsidR="002D584E">
        <w:t xml:space="preserve">in the public health literature </w:t>
      </w:r>
      <w:sdt>
        <w:sdtPr>
          <w:id w:val="-578365048"/>
          <w:citation/>
        </w:sdtPr>
        <w:sdtContent>
          <w:r w:rsidR="002D584E">
            <w:fldChar w:fldCharType="begin"/>
          </w:r>
          <w:r w:rsidR="002D584E">
            <w:instrText xml:space="preserve"> CITATION Luo_2003 \l 18441  \m Luo_2009 \m Wang_2012</w:instrText>
          </w:r>
          <w:r w:rsidR="002D584E">
            <w:fldChar w:fldCharType="separate"/>
          </w:r>
          <w:r w:rsidR="002D584E" w:rsidRPr="002D584E">
            <w:rPr>
              <w:noProof/>
            </w:rPr>
            <w:t>(Luo &amp; Wang, 2003; Luo &amp; Qi, 2009; Wang, 2012)</w:t>
          </w:r>
          <w:r w:rsidR="002D584E">
            <w:fldChar w:fldCharType="end"/>
          </w:r>
        </w:sdtContent>
      </w:sdt>
      <w:r w:rsidR="002D584E">
        <w:t xml:space="preserve"> as the two-stage floating catchment area method.  This expresses accessibility as a </w:t>
      </w:r>
      <w:r w:rsidR="00975A95">
        <w:t xml:space="preserve">ratio of opportunities (in the case of this study, jobs) per client (workers) who can reach them, and is a function of </w:t>
      </w:r>
      <w:r w:rsidR="007920FF">
        <w:t xml:space="preserve">1) </w:t>
      </w:r>
      <w:r w:rsidR="00975A95">
        <w:t>the spatial distribution of the supply of opportunities</w:t>
      </w:r>
      <w:r w:rsidR="007920FF">
        <w:t>, 2) the spatial distribution of</w:t>
      </w:r>
      <w:r w:rsidR="00975A95">
        <w:t xml:space="preserve"> the demand from </w:t>
      </w:r>
      <w:r w:rsidR="007920FF">
        <w:t xml:space="preserve">potential </w:t>
      </w:r>
      <w:r w:rsidR="00975A95">
        <w:t xml:space="preserve">clients, and </w:t>
      </w:r>
      <w:r w:rsidR="007920FF">
        <w:t>3) t</w:t>
      </w:r>
      <w:r w:rsidR="00975A95">
        <w:t>he connectivity between areas.</w:t>
      </w:r>
    </w:p>
    <w:p w14:paraId="637D68AB" w14:textId="049EE25D" w:rsidR="00F97A21" w:rsidRDefault="00975A95" w:rsidP="00975A95">
      <w:pPr>
        <w:pStyle w:val="NoSpacing"/>
        <w:spacing w:line="480" w:lineRule="auto"/>
        <w:ind w:firstLine="567"/>
        <w:jc w:val="both"/>
      </w:pPr>
      <w:r>
        <w:t xml:space="preserve">More details </w:t>
      </w:r>
      <w:r w:rsidR="007920FF">
        <w:t>on</w:t>
      </w:r>
      <w:r>
        <w:t xml:space="preserve"> how this accessibility measure is calculated are given in the next section.</w:t>
      </w:r>
      <w:r w:rsidR="000E6C57">
        <w:rPr>
          <w:rFonts w:eastAsiaTheme="minorEastAsia"/>
        </w:rPr>
        <w:t xml:space="preserve">  </w:t>
      </w:r>
      <w:r>
        <w:rPr>
          <w:rFonts w:eastAsiaTheme="minorEastAsia"/>
        </w:rPr>
        <w:t xml:space="preserve">However, an important property of this measure </w:t>
      </w:r>
      <w:r w:rsidR="007920FF">
        <w:rPr>
          <w:rFonts w:eastAsiaTheme="minorEastAsia"/>
        </w:rPr>
        <w:t xml:space="preserve">to highlight here </w:t>
      </w:r>
      <w:r>
        <w:rPr>
          <w:rFonts w:eastAsiaTheme="minorEastAsia"/>
        </w:rPr>
        <w:t xml:space="preserve">is that it </w:t>
      </w:r>
      <w:r w:rsidR="000E6C57">
        <w:rPr>
          <w:rFonts w:eastAsiaTheme="minorEastAsia"/>
        </w:rPr>
        <w:t>allocates every opportunity exactly once to clients</w:t>
      </w:r>
      <w:r w:rsidR="00EF6BF3">
        <w:rPr>
          <w:rFonts w:eastAsiaTheme="minorEastAsia"/>
        </w:rPr>
        <w:t xml:space="preserve"> in a mutually exclusive way</w:t>
      </w:r>
      <w:r w:rsidR="000E6C57">
        <w:rPr>
          <w:rFonts w:eastAsiaTheme="minorEastAsia"/>
        </w:rPr>
        <w:t>, so that there is no double-counting of clients or opportunities</w:t>
      </w:r>
      <w:sdt>
        <w:sdtPr>
          <w:rPr>
            <w:rFonts w:eastAsiaTheme="minorEastAsia"/>
          </w:rPr>
          <w:id w:val="317768328"/>
          <w:citation/>
        </w:sdtPr>
        <w:sdtContent>
          <w:r w:rsidR="000E6C57">
            <w:rPr>
              <w:rFonts w:eastAsiaTheme="minorEastAsia"/>
            </w:rPr>
            <w:fldChar w:fldCharType="begin"/>
          </w:r>
          <w:r w:rsidR="000E6C57">
            <w:rPr>
              <w:rFonts w:eastAsiaTheme="minorEastAsia"/>
            </w:rPr>
            <w:instrText xml:space="preserve">CITATION Shen1998 \p 363-364 \l 18441 </w:instrText>
          </w:r>
          <w:r w:rsidR="000E6C57">
            <w:rPr>
              <w:rFonts w:eastAsiaTheme="minorEastAsia"/>
            </w:rPr>
            <w:fldChar w:fldCharType="separate"/>
          </w:r>
          <w:r w:rsidR="000E6C57">
            <w:rPr>
              <w:rFonts w:eastAsiaTheme="minorEastAsia"/>
              <w:noProof/>
            </w:rPr>
            <w:t xml:space="preserve"> </w:t>
          </w:r>
          <w:r w:rsidR="000E6C57" w:rsidRPr="000E6C57">
            <w:rPr>
              <w:rFonts w:eastAsiaTheme="minorEastAsia"/>
              <w:noProof/>
            </w:rPr>
            <w:t>(Shen, 1998, pp. 363-364)</w:t>
          </w:r>
          <w:r w:rsidR="000E6C57">
            <w:rPr>
              <w:rFonts w:eastAsiaTheme="minorEastAsia"/>
            </w:rPr>
            <w:fldChar w:fldCharType="end"/>
          </w:r>
        </w:sdtContent>
      </w:sdt>
      <w:r w:rsidR="000E6C57">
        <w:rPr>
          <w:rFonts w:eastAsiaTheme="minorEastAsia"/>
        </w:rPr>
        <w:t xml:space="preserve">.  </w:t>
      </w:r>
      <w:r w:rsidR="00EF6BF3">
        <w:rPr>
          <w:rFonts w:eastAsiaTheme="minorEastAsia"/>
        </w:rPr>
        <w:t xml:space="preserve">Thus, </w:t>
      </w:r>
      <w:r w:rsidR="00A444BA">
        <w:rPr>
          <w:rFonts w:eastAsiaTheme="minorEastAsia"/>
        </w:rPr>
        <w:t>unlike simpler location-based measures</w:t>
      </w:r>
      <w:r>
        <w:rPr>
          <w:rFonts w:eastAsiaTheme="minorEastAsia"/>
        </w:rPr>
        <w:t xml:space="preserve"> that only count the number of opportunities supplied within reach from any area without considering the distribution of demand</w:t>
      </w:r>
      <w:r w:rsidR="000E6C57">
        <w:rPr>
          <w:rFonts w:eastAsiaTheme="minorEastAsia"/>
        </w:rPr>
        <w:t>, th</w:t>
      </w:r>
      <w:r w:rsidR="00A444BA">
        <w:rPr>
          <w:rFonts w:eastAsiaTheme="minorEastAsia"/>
        </w:rPr>
        <w:t>is</w:t>
      </w:r>
      <w:r w:rsidR="000E6C57">
        <w:rPr>
          <w:rFonts w:eastAsiaTheme="minorEastAsia"/>
        </w:rPr>
        <w:t xml:space="preserve"> ratio accounts for </w:t>
      </w:r>
      <w:r w:rsidR="00994487">
        <w:rPr>
          <w:rFonts w:eastAsiaTheme="minorEastAsia"/>
        </w:rPr>
        <w:t xml:space="preserve">both connectivity and </w:t>
      </w:r>
      <w:r w:rsidR="000E6C57">
        <w:rPr>
          <w:rFonts w:eastAsiaTheme="minorEastAsia"/>
        </w:rPr>
        <w:t>competition effects: as the number of opportunities in an area increases, the ratio will increase, but as the number of clients who can reach the area increases, the ratio will decrease.</w:t>
      </w:r>
      <w:r w:rsidR="00A444BA">
        <w:rPr>
          <w:rFonts w:eastAsiaTheme="minorEastAsia"/>
        </w:rPr>
        <w:t xml:space="preserve">  These properties are especially useful </w:t>
      </w:r>
      <w:r>
        <w:rPr>
          <w:rFonts w:eastAsiaTheme="minorEastAsia"/>
        </w:rPr>
        <w:t xml:space="preserve">for assessing whether the local supply of opportunities is more or less than what is needed by the local </w:t>
      </w:r>
      <w:r>
        <w:rPr>
          <w:rFonts w:eastAsiaTheme="minorEastAsia"/>
        </w:rPr>
        <w:lastRenderedPageBreak/>
        <w:t>demand</w:t>
      </w:r>
      <w:r w:rsidR="007920FF">
        <w:rPr>
          <w:rFonts w:eastAsiaTheme="minorEastAsia"/>
        </w:rPr>
        <w:t>, and as the allocation of opportunities to clients captured by the ratio treats the opportunities as excludable, methods to assess the degree of inequality in distributions such as Lorenz curves can be straightforwardly applied</w:t>
      </w:r>
      <w:r>
        <w:rPr>
          <w:rFonts w:eastAsiaTheme="minorEastAsia"/>
        </w:rPr>
        <w:t>.</w:t>
      </w:r>
    </w:p>
    <w:p w14:paraId="228164FB" w14:textId="300C686A" w:rsidR="0012120F" w:rsidRDefault="003A3F90" w:rsidP="00FE2BCF">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w:t>
      </w:r>
      <w:r w:rsidR="000467AD">
        <w:t xml:space="preserve">fine-grained location and connectivity </w:t>
      </w:r>
      <w:r w:rsidR="00A82C99">
        <w:t>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7920FF">
        <w:t xml:space="preserve">variability </w:t>
      </w:r>
      <w:r w:rsidR="00A304F4">
        <w:t xml:space="preserve">of these </w:t>
      </w:r>
      <w:r w:rsidR="007920FF">
        <w:t xml:space="preserve">values </w:t>
      </w:r>
      <w:r w:rsidR="007C1C7E">
        <w:t>around the</w:t>
      </w:r>
      <w:r w:rsidR="00A304F4">
        <w:t>ir</w:t>
      </w:r>
      <w:r w:rsidR="007C1C7E">
        <w:t xml:space="preserve"> typical values</w:t>
      </w:r>
      <w:r w:rsidR="00A82C99">
        <w:t xml:space="preserve">.  Thus, extant analyses </w:t>
      </w:r>
      <w:r w:rsidR="005F790A">
        <w:t xml:space="preserve">do not </w:t>
      </w:r>
      <w:r w:rsidR="00A90ED6">
        <w:t xml:space="preserve">capture how urban travellers </w:t>
      </w:r>
      <w:proofErr w:type="gramStart"/>
      <w:r w:rsidR="00A90ED6">
        <w:t>actually have</w:t>
      </w:r>
      <w:proofErr w:type="gramEnd"/>
      <w:r w:rsidR="00A90ED6">
        <w:t xml:space="preserve"> to factor in unreliability into their travel behaviours</w:t>
      </w:r>
      <w:r w:rsidR="00BD0BE2">
        <w:t>.</w:t>
      </w:r>
    </w:p>
    <w:p w14:paraId="348DE492" w14:textId="52FB20A3" w:rsidR="00B635DE" w:rsidRDefault="00B635DE" w:rsidP="00FE2BCF">
      <w:pPr>
        <w:pStyle w:val="NoSpacing"/>
        <w:spacing w:line="480" w:lineRule="auto"/>
        <w:jc w:val="both"/>
      </w:pPr>
    </w:p>
    <w:p w14:paraId="204A87C9" w14:textId="702C230C" w:rsidR="00DF3A66" w:rsidRDefault="000A7BBD" w:rsidP="00FE2BCF">
      <w:pPr>
        <w:pStyle w:val="NoSpacing"/>
        <w:spacing w:line="480" w:lineRule="auto"/>
        <w:jc w:val="both"/>
        <w:rPr>
          <w:b/>
        </w:rPr>
      </w:pPr>
      <w:r>
        <w:rPr>
          <w:b/>
        </w:rPr>
        <w:t>Study Design and Data Sources</w:t>
      </w:r>
    </w:p>
    <w:p w14:paraId="5BD3F943" w14:textId="7693E35B" w:rsidR="005F790A" w:rsidRDefault="005F790A" w:rsidP="005F790A">
      <w:pPr>
        <w:pStyle w:val="NoSpacing"/>
        <w:spacing w:line="480" w:lineRule="auto"/>
        <w:ind w:firstLine="567"/>
        <w:jc w:val="both"/>
      </w:pPr>
      <w:r>
        <w:t>This analysis will focus on accessibility to jobs from home locations.  Even though not all trips (even during the peak hours) are commutes from homes to work, home-based work commutes are a primary driver of travel demand during peak periods, and thus significantly shape public transport investments that need to be scaled to handle peak demand.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 xml:space="preserve">.  </w:t>
      </w:r>
    </w:p>
    <w:p w14:paraId="228612C5" w14:textId="6CFF3FF8" w:rsidR="00975A95" w:rsidRDefault="00975A95" w:rsidP="005F790A">
      <w:pPr>
        <w:pStyle w:val="NoSpacing"/>
        <w:spacing w:line="480" w:lineRule="auto"/>
        <w:ind w:firstLine="567"/>
        <w:jc w:val="both"/>
      </w:pPr>
      <w:r>
        <w:t xml:space="preserve">The two-stage floating catchment area method I use </w:t>
      </w:r>
      <w:r w:rsidR="00A90ED6">
        <w:t xml:space="preserve">to measure accessibility to jobs </w:t>
      </w:r>
      <w:r>
        <w:t>involves 3 components:</w:t>
      </w:r>
    </w:p>
    <w:p w14:paraId="785C893A" w14:textId="09EA0380" w:rsidR="00975A95" w:rsidRDefault="00975A95" w:rsidP="00975A95">
      <w:pPr>
        <w:pStyle w:val="NoSpacing"/>
        <w:numPr>
          <w:ilvl w:val="0"/>
          <w:numId w:val="5"/>
        </w:numPr>
        <w:spacing w:line="480" w:lineRule="auto"/>
        <w:jc w:val="both"/>
      </w:pPr>
      <w:r>
        <w:t xml:space="preserve">The spatial distribution of </w:t>
      </w:r>
      <w:r>
        <w:t>jobs</w:t>
      </w:r>
      <w:r>
        <w:t>, stored in a column vector O of length n</w:t>
      </w:r>
    </w:p>
    <w:p w14:paraId="1109802B"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34869C1B" w14:textId="03F6636C" w:rsidR="00975A95" w:rsidRPr="008C0051" w:rsidRDefault="00975A95" w:rsidP="00975A95">
      <w:pPr>
        <w:pStyle w:val="NoSpacing"/>
        <w:spacing w:line="480" w:lineRule="auto"/>
        <w:ind w:left="927"/>
        <w:jc w:val="both"/>
      </w:pPr>
      <w:r>
        <w:t>where o</w:t>
      </w:r>
      <w:r>
        <w:rPr>
          <w:vertAlign w:val="subscript"/>
        </w:rPr>
        <w:t>i</w:t>
      </w:r>
      <w:r>
        <w:t xml:space="preserve"> is the number of </w:t>
      </w:r>
      <w:r>
        <w:t>jobs</w:t>
      </w:r>
      <w:r>
        <w:t xml:space="preserve"> in one of the n areas </w:t>
      </w:r>
      <w:proofErr w:type="spellStart"/>
      <w:r>
        <w:t>i</w:t>
      </w:r>
      <w:proofErr w:type="spellEnd"/>
      <w:r>
        <w:t>;</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25E1DA8B" w:rsidR="00975A95" w:rsidRPr="008C0051" w:rsidRDefault="00975A95" w:rsidP="00975A95">
      <w:pPr>
        <w:pStyle w:val="NoSpacing"/>
        <w:spacing w:line="480" w:lineRule="auto"/>
        <w:ind w:left="927"/>
        <w:jc w:val="both"/>
      </w:pPr>
      <w:r>
        <w:t>where p</w:t>
      </w:r>
      <w:r>
        <w:rPr>
          <w:vertAlign w:val="subscript"/>
        </w:rPr>
        <w:t>i</w:t>
      </w:r>
      <w:r>
        <w:t xml:space="preserve"> is the number of </w:t>
      </w:r>
      <w:r>
        <w:t>working-age residents</w:t>
      </w:r>
      <w:r>
        <w:t xml:space="preserve"> in one of the n areas </w:t>
      </w:r>
      <w:proofErr w:type="spellStart"/>
      <w:r>
        <w:t>i</w:t>
      </w:r>
      <w:proofErr w:type="spellEnd"/>
      <w:r>
        <w:t>, and;</w:t>
      </w:r>
    </w:p>
    <w:p w14:paraId="1AE932D5" w14:textId="77777777" w:rsidR="00975A95" w:rsidRDefault="00975A95" w:rsidP="00975A95">
      <w:pPr>
        <w:pStyle w:val="NoSpacing"/>
        <w:numPr>
          <w:ilvl w:val="0"/>
          <w:numId w:val="5"/>
        </w:numPr>
        <w:spacing w:line="480" w:lineRule="auto"/>
        <w:jc w:val="both"/>
      </w:pPr>
      <w:r>
        <w:t>A n by n matrix C of weights</w:t>
      </w:r>
    </w:p>
    <w:p w14:paraId="7F4FCC5F" w14:textId="1E50EA46" w:rsidR="00975A95" w:rsidRPr="000E6C57" w:rsidRDefault="00975A95" w:rsidP="00975A95">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with which j can be reached from </w:t>
      </w:r>
      <w:proofErr w:type="spellStart"/>
      <w:r>
        <w:t>i</w:t>
      </w:r>
      <w:proofErr w:type="spellEnd"/>
      <w:r>
        <w:t>.</w:t>
      </w:r>
    </w:p>
    <w:p w14:paraId="33606527" w14:textId="77777777" w:rsidR="00975A95" w:rsidRDefault="00975A95" w:rsidP="00975A95">
      <w:pPr>
        <w:pStyle w:val="NoSpacing"/>
        <w:spacing w:line="480" w:lineRule="auto"/>
        <w:ind w:firstLine="567"/>
        <w:jc w:val="both"/>
      </w:pPr>
      <w:r>
        <w:t>Then, the accessibility values, stored in a column vector A of length n, is given by</w:t>
      </w:r>
    </w:p>
    <w:p w14:paraId="141560C3" w14:textId="77777777" w:rsidR="00975A95" w:rsidRDefault="00975A95" w:rsidP="00975A95">
      <w:pPr>
        <w:pStyle w:val="NoSpacing"/>
        <w:spacing w:line="480" w:lineRule="auto"/>
        <w:ind w:firstLine="567"/>
        <w:jc w:val="both"/>
      </w:pPr>
      <m:oMathPara>
        <m:oMath>
          <m:r>
            <w:rPr>
              <w:rFonts w:ascii="Cambria Math" w:hAnsi="Cambria Math"/>
            </w:rPr>
            <m:t>A=C⋅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132DD948" w:rsidR="00975A95" w:rsidRDefault="00975A95" w:rsidP="00975A95">
      <w:pPr>
        <w:pStyle w:val="NoSpacing"/>
        <w:spacing w:line="480" w:lineRule="auto"/>
        <w:jc w:val="both"/>
      </w:pPr>
      <w:r>
        <w:t xml:space="preserve">where </w:t>
      </w:r>
      <m:oMath>
        <m:d>
          <m:dPr>
            <m:ctrlPr>
              <w:rPr>
                <w:rFonts w:ascii="Cambria Math" w:hAnsi="Cambria Math"/>
                <w:i/>
              </w:rPr>
            </m:ctrlPr>
          </m:dPr>
          <m:e>
            <m:r>
              <w:rPr>
                <w:rFonts w:ascii="Cambria Math" w:hAnsi="Cambria Math"/>
              </w:rPr>
              <m:t>C'⋅P</m:t>
            </m:r>
          </m:e>
        </m:d>
      </m:oMath>
      <w:r>
        <w:rPr>
          <w:rFonts w:eastAsiaTheme="minorEastAsia"/>
        </w:rPr>
        <w:t xml:space="preserve"> gives the weighted sum of the number of clients that</w:t>
      </w:r>
      <w:bookmarkStart w:id="0" w:name="_GoBack"/>
      <w:bookmarkEnd w:id="0"/>
      <w:r>
        <w:rPr>
          <w:rFonts w:eastAsiaTheme="minorEastAsia"/>
        </w:rPr>
        <w:t xml:space="preserve"> can reach the opportunities in each area,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opportunities in each area by the weighted sum of the number of clients that can reach them,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opportunities provided by each area to each client who can reach it.</w:t>
      </w:r>
    </w:p>
    <w:p w14:paraId="076CFB32" w14:textId="09EFE642"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 xml:space="preserve">(Kotavaara, et al., 2012; Tenkanen, et al., 2016; Järv, et al., 2018; Wang, et al., 2018; Hu &amp; Downs, </w:t>
          </w:r>
          <w:r w:rsidR="00907807" w:rsidRPr="00907807">
            <w:rPr>
              <w:noProof/>
            </w:rPr>
            <w:lastRenderedPageBreak/>
            <w:t>2019)</w:t>
          </w:r>
          <w:r w:rsidR="00907807">
            <w:fldChar w:fldCharType="end"/>
          </w:r>
        </w:sdtContent>
      </w:sdt>
      <w:r w:rsidR="00DF3A66">
        <w:t xml:space="preserve">.  </w:t>
      </w:r>
      <w:r w:rsidR="001F317E">
        <w:t xml:space="preserve">However, </w:t>
      </w:r>
      <w:r w:rsidR="00863793">
        <w:t xml:space="preserve">aggregating spatial data to these squares requires very fine-grained 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DF3A66">
        <w:t xml:space="preserve">, and thus provide the ability to seamlessly </w:t>
      </w:r>
      <w:r w:rsidR="001F317E">
        <w:t xml:space="preserve">incorporate </w:t>
      </w:r>
      <w:r w:rsidR="00DF3A66">
        <w:t xml:space="preserve">a wealth </w:t>
      </w:r>
      <w:r w:rsidR="00492291">
        <w:t xml:space="preserve">of spatial </w:t>
      </w:r>
      <w:r w:rsidR="00DF3A66">
        <w:t xml:space="preserve">demographic and economic data </w:t>
      </w:r>
      <w:r w:rsidR="00CD52D2">
        <w:t xml:space="preserve">from open government databases </w:t>
      </w:r>
      <w:r w:rsidR="001F317E">
        <w:t>into my analysis</w:t>
      </w:r>
      <w:r w:rsidR="00DF3A66">
        <w:t>.</w:t>
      </w:r>
    </w:p>
    <w:p w14:paraId="2A99D220" w14:textId="77777777" w:rsidR="00994487" w:rsidRDefault="000A7BBD" w:rsidP="000A7BBD">
      <w:pPr>
        <w:pStyle w:val="NoSpacing"/>
        <w:spacing w:line="480" w:lineRule="auto"/>
        <w:ind w:firstLine="567"/>
        <w:jc w:val="both"/>
      </w:pPr>
      <w:r>
        <w:t xml:space="preserve">The second choice involves which impedance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to use</w:t>
      </w:r>
      <w:r>
        <w:t>.  Many studies use a power or exponential function</w:t>
      </w:r>
      <w:r w:rsidR="00994487">
        <w:t xml:space="preserve"> to capture decreasing effects with increasing distance (i.e. distance decay)</w:t>
      </w:r>
      <w:r>
        <w:t xml:space="preserve">,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 xml:space="preserve">increases, resulting in a “gravity”-based measure where accessibility </w:t>
      </w:r>
      <w:r>
        <w:rPr>
          <w:rFonts w:eastAsiaTheme="minorEastAsia"/>
        </w:rPr>
        <w:t xml:space="preserve">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decreases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tendency for people to prefer nearer locations with more opportunities to further locations with fewer opportunities</w:t>
      </w:r>
      <w:r w:rsidR="00994487">
        <w:t>.  However, origin-destination flow data and additional modelling is needed to estimate the distance decay 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1572519F" w14:textId="09C1F87B" w:rsidR="000A7BBD" w:rsidRDefault="000A7BBD" w:rsidP="000A7BBD">
      <w:pPr>
        <w:pStyle w:val="NoSpacing"/>
        <w:spacing w:line="480" w:lineRule="auto"/>
        <w:jc w:val="both"/>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w:t>
      </w:r>
      <w:r>
        <w:rPr>
          <w:rFonts w:eastAsiaTheme="minorEastAsia"/>
        </w:rPr>
        <w:lastRenderedPageBreak/>
        <w:t>totally unattractive.  However, the distortion is relatively easy to understand and does not require further assumptions and modelling, and it has the benefit of maintaining the raw accessibility values as simple counts and ratios that can be interpreted directly</w:t>
      </w:r>
      <w:sdt>
        <w:sdtPr>
          <w:rPr>
            <w:rFonts w:eastAsiaTheme="minorEastAsia"/>
          </w:rPr>
          <w:id w:val="1001862070"/>
          <w:citation/>
        </w:sdtPr>
        <w:sdtContent>
          <w:r>
            <w:rPr>
              <w:rFonts w:eastAsiaTheme="minorEastAsia"/>
            </w:rPr>
            <w:fldChar w:fldCharType="begin"/>
          </w:r>
          <w:r>
            <w:rPr>
              <w:rFonts w:eastAsiaTheme="minorEastAsia"/>
            </w:rPr>
            <w:instrText xml:space="preserve">CITATION Deboosere2018 \p 55 \l 18441 </w:instrText>
          </w:r>
          <w:r>
            <w:rPr>
              <w:rFonts w:eastAsiaTheme="minorEastAsia"/>
            </w:rPr>
            <w:fldChar w:fldCharType="separate"/>
          </w:r>
          <w:r>
            <w:rPr>
              <w:rFonts w:eastAsiaTheme="minorEastAsia"/>
              <w:noProof/>
            </w:rPr>
            <w:t xml:space="preserve"> </w:t>
          </w:r>
          <w:r w:rsidRPr="00A6668E">
            <w:rPr>
              <w:rFonts w:eastAsiaTheme="minorEastAsia"/>
              <w:noProof/>
            </w:rPr>
            <w:t>(Deboosere &amp; El-Geneidy, 2018, p. 55)</w:t>
          </w:r>
          <w:r>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gravity-based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r w:rsidR="00994487">
        <w:rPr>
          <w:rFonts w:eastAsiaTheme="minorEastAsia"/>
        </w:rPr>
        <w:t xml:space="preserve">  Also, because the resulting quantities in the matrix A can be interpreted as ratios allocating jobs to working-age residents in a mutually exclusive way, I will term these quantities Job Provision Ratios (JPRs).</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60F1BFF2" w:rsidR="00DF3A66" w:rsidRDefault="008B6B72" w:rsidP="00FE2BCF">
      <w:pPr>
        <w:pStyle w:val="NoSpacing"/>
        <w:spacing w:line="480" w:lineRule="auto"/>
        <w:ind w:firstLine="567"/>
        <w:jc w:val="both"/>
      </w:pPr>
      <w:r>
        <w:t>In contrast,</w:t>
      </w:r>
      <w:r w:rsidR="001F0E9E">
        <w:t xml:space="preserve"> </w:t>
      </w:r>
      <w:r>
        <w:t>I obtain</w:t>
      </w:r>
      <w:r w:rsidR="00FB6237">
        <w:t>ed</w:t>
      </w:r>
      <w:r>
        <w:t xml:space="preserve">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w:t>
      </w:r>
      <w:r w:rsidR="00CA08A3">
        <w:t xml:space="preserve">by walking, cycling or motorised public transport like buses or trains </w:t>
      </w:r>
      <w:r w:rsidR="00C3055A">
        <w:t>(</w:t>
      </w:r>
      <w:r w:rsidR="00CA08A3">
        <w:t>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w:t>
      </w:r>
      <w:r w:rsidR="00BD5A12">
        <w:lastRenderedPageBreak/>
        <w:t xml:space="preserve">uniquely </w:t>
      </w:r>
      <w:r w:rsidR="00FB6237">
        <w:t xml:space="preserve">suited to provide </w:t>
      </w:r>
      <w:r w:rsidR="00BD5A12">
        <w:t>information on travel time variability due to real-time fluctuations in transport service performance</w:t>
      </w:r>
      <w:r w:rsidR="006E7AA6">
        <w:t>.</w:t>
      </w:r>
    </w:p>
    <w:p w14:paraId="36FF29FF" w14:textId="413F0455"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which allows for the automated bulk download of travel option data</w:t>
      </w:r>
      <w:r w:rsidR="00FB6237">
        <w:t xml:space="preserve"> up to a maximum of 300 queries per minute</w:t>
      </w:r>
      <w:r>
        <w:t xml:space="preserve">. </w:t>
      </w:r>
      <w:r w:rsidR="00FB6237">
        <w:t xml:space="preserve"> </w:t>
      </w:r>
      <w:r>
        <w:t>I use</w:t>
      </w:r>
      <w:r w:rsidR="00FB6237">
        <w:t>d</w:t>
      </w:r>
      <w:r>
        <w:t xml:space="preserve"> the API to compile the following databases:</w:t>
      </w:r>
    </w:p>
    <w:p w14:paraId="17B7C4B4" w14:textId="4D0A78FE" w:rsidR="00B4229E" w:rsidRDefault="00B4229E" w:rsidP="00FE2BCF">
      <w:pPr>
        <w:pStyle w:val="NoSpacing"/>
        <w:numPr>
          <w:ilvl w:val="0"/>
          <w:numId w:val="3"/>
        </w:numPr>
        <w:spacing w:line="480" w:lineRule="auto"/>
        <w:jc w:val="both"/>
      </w:pPr>
      <w:r>
        <w:t xml:space="preserve">The travel options for trips </w:t>
      </w:r>
      <w:r w:rsidR="00F2270D">
        <w:t xml:space="preserve">between every pair of MSOAs </w:t>
      </w:r>
      <w:r>
        <w:t>ending at 0830 on 2</w:t>
      </w:r>
      <w:r w:rsidR="00FB6237">
        <w:t>2</w:t>
      </w:r>
      <w:r>
        <w:t xml:space="preserve"> </w:t>
      </w:r>
      <w:r w:rsidR="00FB6237">
        <w:t xml:space="preserve">March </w:t>
      </w:r>
      <w:r>
        <w:t>2019</w:t>
      </w:r>
      <w:r w:rsidR="00F2270D">
        <w:t>.  This constitute</w:t>
      </w:r>
      <w:r w:rsidR="00FB6237">
        <w:t>s</w:t>
      </w:r>
      <w:r w:rsidR="00F2270D">
        <w:t xml:space="preserve"> the “baseline” travel option data for all trips for the </w:t>
      </w:r>
      <w:r w:rsidR="007949A2">
        <w:t xml:space="preserve">weekday </w:t>
      </w:r>
      <w:r w:rsidR="00F2270D">
        <w:t xml:space="preserve">AM peak, assuming all services run as </w:t>
      </w:r>
      <w:r w:rsidR="00F77821">
        <w:t>planned</w:t>
      </w:r>
      <w:r w:rsidR="00F2270D">
        <w:t xml:space="preserve">.  Due to the </w:t>
      </w:r>
      <w:r w:rsidR="00F77821">
        <w:t>API request limit</w:t>
      </w:r>
      <w:r w:rsidR="00F2270D">
        <w:t xml:space="preserve">, data collection for all 983 x 983 trips </w:t>
      </w:r>
      <w:r w:rsidR="00FB6237">
        <w:t xml:space="preserve">occurred </w:t>
      </w:r>
      <w:r w:rsidR="00F2270D">
        <w:t xml:space="preserve">over </w:t>
      </w:r>
      <w:r w:rsidR="002D06D1">
        <w:t>1</w:t>
      </w:r>
      <w:r w:rsidR="00F2270D">
        <w:t xml:space="preserve"> month.</w:t>
      </w:r>
    </w:p>
    <w:p w14:paraId="09694119" w14:textId="3A7F6B89" w:rsidR="00F2270D" w:rsidRDefault="00F2270D" w:rsidP="00FE2BCF">
      <w:pPr>
        <w:pStyle w:val="NoSpacing"/>
        <w:numPr>
          <w:ilvl w:val="0"/>
          <w:numId w:val="3"/>
        </w:numPr>
        <w:spacing w:line="480" w:lineRule="auto"/>
        <w:jc w:val="both"/>
      </w:pPr>
      <w:r>
        <w:t xml:space="preserve">The travel options for </w:t>
      </w:r>
      <w:r w:rsidR="00C3055A">
        <w:t xml:space="preserve">selected </w:t>
      </w:r>
      <w:r>
        <w:t>trips beginning between 0600 and 0800 every weekday for 50 days</w:t>
      </w:r>
      <w:r w:rsidR="00FB6237">
        <w:t xml:space="preserve"> between 29 January 2019 and 25 April 2019</w:t>
      </w:r>
      <w:r>
        <w:t>.  This constitute</w:t>
      </w:r>
      <w:r w:rsidR="00FB6237">
        <w:t>s</w:t>
      </w:r>
      <w:r>
        <w:t xml:space="preserve"> “real-time” travel option data during the</w:t>
      </w:r>
      <w:r w:rsidR="007949A2">
        <w:t xml:space="preserve"> weekday</w:t>
      </w:r>
      <w:r>
        <w:t xml:space="preserve"> AM peak, reflecting actual day-to-day variability in transport service performance.  Because of the </w:t>
      </w:r>
      <w:r w:rsidR="00252AA7">
        <w:t xml:space="preserve">API request </w:t>
      </w:r>
      <w:r>
        <w:t xml:space="preserve">limit, I </w:t>
      </w:r>
      <w:r w:rsidR="00FB6237">
        <w:t xml:space="preserve">only </w:t>
      </w:r>
      <w:r>
        <w:t>gather</w:t>
      </w:r>
      <w:r w:rsidR="00FB6237">
        <w:t>ed</w:t>
      </w:r>
      <w:r>
        <w:t xml:space="preserve"> data on trips starting from all 983 MSOAs </w:t>
      </w:r>
      <w:r w:rsidR="008622BD">
        <w:t xml:space="preserve">that </w:t>
      </w:r>
      <w:r>
        <w:t xml:space="preserve">end at 7 MSOAs that correspond to 7 key transport nodes evenly spaced across </w:t>
      </w:r>
      <w:r w:rsidR="00F77821">
        <w:t>London</w:t>
      </w:r>
      <w:r>
        <w:t>.</w:t>
      </w:r>
      <w:r w:rsidR="00C3055A">
        <w:t xml:space="preserve">  See Appendix XX for details on how the 7 destinations were selected.</w:t>
      </w:r>
    </w:p>
    <w:p w14:paraId="1E8261BA" w14:textId="35BEDFD6" w:rsidR="00462799" w:rsidRDefault="00462799" w:rsidP="008622BD">
      <w:pPr>
        <w:pStyle w:val="NoSpacing"/>
        <w:spacing w:line="480" w:lineRule="auto"/>
        <w:ind w:firstLine="567"/>
        <w:jc w:val="both"/>
      </w:pPr>
      <w:r>
        <w:t xml:space="preserve">The methodological benefits of using the Journey Planner data are compelling enough to justify its use in this study, but this does impose some constraints on this study’s design.  This is because the Journey Planner provides information only for trips that do not involve cars or </w:t>
      </w:r>
      <w:proofErr w:type="gramStart"/>
      <w:r>
        <w:t>taxis,</w:t>
      </w:r>
      <w:r w:rsidR="00CA08A3">
        <w:t xml:space="preserve"> </w:t>
      </w:r>
      <w:r>
        <w:t>and</w:t>
      </w:r>
      <w:proofErr w:type="gramEnd"/>
      <w:r>
        <w:t xml:space="preserve"> is most reliable for trips within the GLA boundary.  </w:t>
      </w:r>
      <w:r w:rsidR="00CA08A3">
        <w:t xml:space="preserve">As such, my analysis will concentrate only on areas within the GLA boundary and on non-private transport services.  </w:t>
      </w:r>
      <w:r>
        <w:t>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also show that only 37% of trips within the GLA in 2017 used cars or taxis, while 80% of trips within the GLA boundary were by GLA residents.  Nonetheless, I recognise that my results will be distorted by the fact that they omit accessibility by car and taxi, and do not consider areas outside the GLA boundary that can be accessed from London.</w:t>
      </w:r>
    </w:p>
    <w:p w14:paraId="5B0847B5" w14:textId="77777777" w:rsidR="008622BD" w:rsidRDefault="008622BD" w:rsidP="008622BD">
      <w:pPr>
        <w:pStyle w:val="NoSpacing"/>
        <w:spacing w:line="480" w:lineRule="auto"/>
        <w:ind w:firstLine="567"/>
        <w:jc w:val="both"/>
      </w:pPr>
    </w:p>
    <w:p w14:paraId="426ED5F1" w14:textId="6C4CBBE5" w:rsidR="00F2270D" w:rsidRDefault="000A7BBD" w:rsidP="00FE2BCF">
      <w:pPr>
        <w:pStyle w:val="NoSpacing"/>
        <w:spacing w:line="480" w:lineRule="auto"/>
        <w:jc w:val="both"/>
        <w:rPr>
          <w:b/>
        </w:rPr>
      </w:pPr>
      <w:r>
        <w:rPr>
          <w:b/>
        </w:rPr>
        <w:lastRenderedPageBreak/>
        <w:t>Results</w:t>
      </w:r>
    </w:p>
    <w:p w14:paraId="56D12558" w14:textId="225348B8" w:rsidR="000A7BBD" w:rsidRDefault="00FE0648" w:rsidP="00FE2BCF">
      <w:pPr>
        <w:pStyle w:val="NoSpacing"/>
        <w:spacing w:line="480" w:lineRule="auto"/>
        <w:jc w:val="both"/>
        <w:rPr>
          <w:bCs/>
          <w:i/>
          <w:iCs/>
        </w:rPr>
      </w:pPr>
      <w:r>
        <w:rPr>
          <w:bCs/>
          <w:i/>
          <w:iCs/>
        </w:rPr>
        <w:t>Distributions of Jobs, Working-Age Residents, Inter-MSOA Connectivity and IMD Ranks</w:t>
      </w:r>
    </w:p>
    <w:p w14:paraId="25BD4952" w14:textId="7E8F6529" w:rsidR="000A7BBD" w:rsidRDefault="008A15BC" w:rsidP="008A15BC">
      <w:pPr>
        <w:pStyle w:val="NoSpacing"/>
        <w:spacing w:line="480" w:lineRule="auto"/>
        <w:ind w:firstLine="567"/>
        <w:jc w:val="both"/>
        <w:rPr>
          <w:bCs/>
        </w:rPr>
      </w:pPr>
      <w:r>
        <w:rPr>
          <w:bCs/>
        </w:rPr>
        <w:t xml:space="preserve">As conceptualised in this study, each area’s accessibility to jobs is a function of 3 components: the spatial distributions of working-age population and jobs, and the area-to-area connectivity provided by the public transport system.  Figure XX shows the first two components.  </w:t>
      </w:r>
      <w:proofErr w:type="gramStart"/>
      <w:r>
        <w:rPr>
          <w:bCs/>
        </w:rPr>
        <w:t>It is clear that the</w:t>
      </w:r>
      <w:proofErr w:type="gramEnd"/>
      <w:r>
        <w:rPr>
          <w:bCs/>
        </w:rPr>
        <w:t xml:space="preserve"> distribution of jobs is extremely concentrated in the centre of the GLA area, where the City of London, Westminster and Southbank are located.  However, there are also smaller concentrations of jobs around some stations in the GLA’s rail and tube network (black lines in the figure), most notably at Canary Wharf.  In contrast, the distribution of working-age residents is more even, with lower residential densities in the areas with the most jobs near the centre, higher densities in a ring around the central job-rich </w:t>
      </w:r>
      <w:proofErr w:type="gramStart"/>
      <w:r>
        <w:rPr>
          <w:bCs/>
        </w:rPr>
        <w:t>core, and</w:t>
      </w:r>
      <w:proofErr w:type="gramEnd"/>
      <w:r>
        <w:rPr>
          <w:bCs/>
        </w:rPr>
        <w:t xml:space="preserve"> decreasing densities as one moves further away from the centre.</w:t>
      </w:r>
    </w:p>
    <w:p w14:paraId="5E28C7A2" w14:textId="4DFF288B" w:rsidR="008A15BC" w:rsidRDefault="002D06D1" w:rsidP="008A15BC">
      <w:pPr>
        <w:pStyle w:val="NoSpacing"/>
        <w:spacing w:line="480" w:lineRule="auto"/>
        <w:ind w:firstLine="567"/>
        <w:jc w:val="both"/>
        <w:rPr>
          <w:rFonts w:eastAsiaTheme="minorEastAsia"/>
          <w:bCs/>
        </w:rPr>
      </w:pPr>
      <w:r>
        <w:rPr>
          <w:bCs/>
        </w:rPr>
        <w:t xml:space="preserve">The third component, area-to-area connectivity, is stored as a n x n matrix of travel times T between each of the n = 983 MSOAs.  The value in each cell of T, </w:t>
      </w:r>
      <m:oMath>
        <m:sSub>
          <m:sSubPr>
            <m:ctrlPr>
              <w:rPr>
                <w:rFonts w:ascii="Cambria Math" w:hAnsi="Cambria Math"/>
                <w:bCs/>
                <w:i/>
              </w:rPr>
            </m:ctrlPr>
          </m:sSubPr>
          <m:e>
            <m:r>
              <w:rPr>
                <w:rFonts w:ascii="Cambria Math" w:hAnsi="Cambria Math"/>
              </w:rPr>
              <m:t>t</m:t>
            </m:r>
          </m:e>
          <m:sub>
            <m:r>
              <w:rPr>
                <w:rFonts w:ascii="Cambria Math" w:hAnsi="Cambria Math"/>
              </w:rPr>
              <m:t>ij</m:t>
            </m:r>
          </m:sub>
        </m:sSub>
      </m:oMath>
      <w:r>
        <w:rPr>
          <w:bCs/>
        </w:rPr>
        <w:t xml:space="preserve">,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that is, assuming all services run as scheduled.  </w:t>
      </w:r>
      <w:r w:rsidR="00FE0648">
        <w:rPr>
          <w:bCs/>
        </w:rPr>
        <w:t xml:space="preserve">It is difficult to visualise the entire matrix in a meaningful way, but </w:t>
      </w:r>
      <w:r>
        <w:rPr>
          <w:bCs/>
        </w:rPr>
        <w:t xml:space="preserve">Figure XX visualises the travel times for all trips originating from </w:t>
      </w:r>
      <w:r w:rsidR="0022295E">
        <w:rPr>
          <w:bCs/>
        </w:rPr>
        <w:t>the most populous MSOA</w:t>
      </w:r>
      <w:r w:rsidR="00FE0648">
        <w:rPr>
          <w:bCs/>
        </w:rPr>
        <w:t xml:space="preserve">: </w:t>
      </w:r>
      <w:r>
        <w:rPr>
          <w:bCs/>
        </w:rPr>
        <w:t>Stratford</w:t>
      </w:r>
      <w:r w:rsidR="00FE0648">
        <w:rPr>
          <w:bCs/>
        </w:rPr>
        <w:t xml:space="preserve">, </w:t>
      </w:r>
      <w:r>
        <w:rPr>
          <w:bCs/>
        </w:rPr>
        <w:t xml:space="preserve">MSOA ID </w:t>
      </w:r>
      <w:r w:rsidRPr="002D06D1">
        <w:rPr>
          <w:bCs/>
        </w:rPr>
        <w:t>E02000726</w:t>
      </w:r>
      <w:r w:rsidR="00FE0648">
        <w:rPr>
          <w:bCs/>
        </w:rPr>
        <w:t>, (</w:t>
      </w:r>
      <w:r>
        <w:rPr>
          <w:bCs/>
        </w:rPr>
        <w:t xml:space="preserve">i.e. the row vector from T where </w:t>
      </w:r>
      <w:proofErr w:type="spellStart"/>
      <w:r>
        <w:rPr>
          <w:bCs/>
        </w:rPr>
        <w:t>i</w:t>
      </w:r>
      <w:proofErr w:type="spellEnd"/>
      <w:r>
        <w:rPr>
          <w:bCs/>
        </w:rPr>
        <w:t xml:space="preserve"> = </w:t>
      </w:r>
      <w:r w:rsidRPr="002D06D1">
        <w:rPr>
          <w:bCs/>
        </w:rPr>
        <w:t>E02000726</w:t>
      </w:r>
      <w:r>
        <w:rPr>
          <w:bCs/>
        </w:rPr>
        <w:t xml:space="preserve">) with the distribution of jobs superimposed.  The inset chart shows the total number of jobs that can be reached from Stratford within a certain travel time, i.e.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t>
      </w:r>
      <w:r w:rsidR="00FE0648">
        <w:rPr>
          <w:rFonts w:eastAsiaTheme="minorEastAsia"/>
          <w:bCs/>
        </w:rPr>
        <w:t xml:space="preserve">As the travel time threshold X increases,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FE0648">
        <w:rPr>
          <w:rFonts w:eastAsiaTheme="minorEastAsia"/>
          <w:bCs/>
        </w:rPr>
        <w:t xml:space="preserve"> increases, until all jobs available in the GLA can be reached within X minutes.</w:t>
      </w:r>
    </w:p>
    <w:p w14:paraId="04C2E6A5" w14:textId="259DF4E7" w:rsidR="00FE0648" w:rsidRDefault="00FE0648" w:rsidP="008A15BC">
      <w:pPr>
        <w:pStyle w:val="NoSpacing"/>
        <w:spacing w:line="480" w:lineRule="auto"/>
        <w:ind w:firstLine="567"/>
        <w:jc w:val="both"/>
        <w:rPr>
          <w:rFonts w:eastAsiaTheme="minorEastAsia"/>
          <w:bCs/>
        </w:rPr>
      </w:pPr>
      <w:r>
        <w:rPr>
          <w:rFonts w:eastAsiaTheme="minorEastAsia"/>
          <w:bCs/>
        </w:rPr>
        <w:t xml:space="preserve">The relative deprivation of different MSOAs is also important for us to identify which areas in the GLA area are burdened by both accessibility problems and social disadvantage.  Figure XX shows the ranking of each MSOA by IMD scores, together with 3 raw indicators of social disadvantage, namely the modelled mean household income in 2015 (post-housing costs and equivalised for household size), the estimated proportion of households in poverty in 2014, and the unemployment </w:t>
      </w:r>
      <w:r>
        <w:rPr>
          <w:rFonts w:eastAsiaTheme="minorEastAsia"/>
          <w:bCs/>
        </w:rPr>
        <w:lastRenderedPageBreak/>
        <w:t xml:space="preserve">rate among working-age residents in 2017.  For all 4 maps, MSOAs are binned into deciles by the distributions of each variable, with more deprived MSOAs visualised in darker shades of red and less deprived ones in darker shades of green.  In general, </w:t>
      </w:r>
      <w:r w:rsidR="0022295E">
        <w:rPr>
          <w:rFonts w:eastAsiaTheme="minorEastAsia"/>
          <w:bCs/>
        </w:rPr>
        <w:t>the IMD rankings correspond quite well to the 3 raw indicators of social disadvantage, with a swath of more deprived MSOAs running north-south and another swath running east-west along the northern bank of the River Thames.</w:t>
      </w:r>
    </w:p>
    <w:p w14:paraId="63CB4641" w14:textId="77777777" w:rsidR="0022295E" w:rsidRDefault="0022295E" w:rsidP="0022295E">
      <w:pPr>
        <w:pStyle w:val="NoSpacing"/>
        <w:spacing w:line="480" w:lineRule="auto"/>
        <w:jc w:val="both"/>
        <w:rPr>
          <w:rFonts w:eastAsiaTheme="minorEastAsia"/>
          <w:bCs/>
          <w:i/>
          <w:iCs/>
        </w:rPr>
      </w:pPr>
    </w:p>
    <w:p w14:paraId="37C91850" w14:textId="692C4E78" w:rsidR="0022295E" w:rsidRPr="0022295E" w:rsidRDefault="0022295E" w:rsidP="0022295E">
      <w:pPr>
        <w:pStyle w:val="NoSpacing"/>
        <w:spacing w:line="480" w:lineRule="auto"/>
        <w:jc w:val="both"/>
        <w:rPr>
          <w:rFonts w:eastAsiaTheme="minorEastAsia"/>
          <w:bCs/>
          <w:i/>
          <w:iCs/>
        </w:rPr>
      </w:pPr>
      <w:r>
        <w:rPr>
          <w:rFonts w:eastAsiaTheme="minorEastAsia"/>
          <w:bCs/>
          <w:i/>
          <w:iCs/>
        </w:rPr>
        <w:t>Analysis of Accessibility to Jobs</w:t>
      </w:r>
    </w:p>
    <w:p w14:paraId="4D09C756" w14:textId="47AA0D82" w:rsidR="0022295E" w:rsidRDefault="0022295E" w:rsidP="008A15BC">
      <w:pPr>
        <w:pStyle w:val="NoSpacing"/>
        <w:spacing w:line="480" w:lineRule="auto"/>
        <w:ind w:firstLine="567"/>
        <w:jc w:val="both"/>
        <w:rPr>
          <w:rFonts w:eastAsiaTheme="minorEastAsia"/>
          <w:bCs/>
        </w:rPr>
      </w:pPr>
      <w:r>
        <w:rPr>
          <w:bCs/>
        </w:rPr>
        <w:t xml:space="preserve">In the inset of Figure XX, I plotted the curve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for Stratford as the travel time cut-off increases.  This exercise can be repeated for all MSOAs to yield Figure XX, which plots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 curve for each of the 983 MSOAs.  3 MSOAs are highlighted: Stratford (most populous), the City of London (most jobs) and Waterloo (</w:t>
      </w:r>
      <w:r w:rsidR="0042704F">
        <w:rPr>
          <w:rFonts w:eastAsiaTheme="minorEastAsia"/>
          <w:bCs/>
        </w:rPr>
        <w:t xml:space="preserve">the MSOA with among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 for any given travel time cut-off).  The plot reveals 2 points.  First, the time needed for residents of each MSOA to be able to reach a certain number of jobs (say half of all available jobs) varies quite widely, from around 45min for residents of the City and Waterloo, to more than 90min for the least well-connected MSOAs.  Secondly, the rank-ordering of MSOAs by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does not vary significantly regardless of choice of travel time cut-off; an MSOA that has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45min will also tend to have one of the highest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sidR="0042704F">
        <w:rPr>
          <w:rFonts w:eastAsiaTheme="minorEastAsia"/>
          <w:bCs/>
        </w:rPr>
        <w:t xml:space="preserve"> values with a cut-off of 90min.  This reinforces El-</w:t>
      </w:r>
      <w:proofErr w:type="spellStart"/>
      <w:r w:rsidR="0042704F">
        <w:rPr>
          <w:rFonts w:eastAsiaTheme="minorEastAsia"/>
          <w:bCs/>
        </w:rPr>
        <w:t>Geneidy</w:t>
      </w:r>
      <w:proofErr w:type="spellEnd"/>
      <w:r w:rsidR="0042704F">
        <w:rPr>
          <w:rFonts w:eastAsiaTheme="minorEastAsia"/>
          <w:bCs/>
        </w:rPr>
        <w:t xml:space="preserve"> et al </w:t>
      </w:r>
      <w:sdt>
        <w:sdtPr>
          <w:rPr>
            <w:rFonts w:eastAsiaTheme="minorEastAsia"/>
            <w:bCs/>
          </w:rPr>
          <w:id w:val="-1596625324"/>
          <w:citation/>
        </w:sdtPr>
        <w:sdtContent>
          <w:r w:rsidR="0042704F">
            <w:rPr>
              <w:rFonts w:eastAsiaTheme="minorEastAsia"/>
              <w:bCs/>
            </w:rPr>
            <w:fldChar w:fldCharType="begin"/>
          </w:r>
          <w:r w:rsidR="0042704F">
            <w:rPr>
              <w:rFonts w:eastAsiaTheme="minorEastAsia"/>
              <w:bCs/>
            </w:rPr>
            <w:instrText xml:space="preserve">CITATION El_Geneidy_2016 \n  \l 18441 </w:instrText>
          </w:r>
          <w:r w:rsidR="0042704F">
            <w:rPr>
              <w:rFonts w:eastAsiaTheme="minorEastAsia"/>
              <w:bCs/>
            </w:rPr>
            <w:fldChar w:fldCharType="separate"/>
          </w:r>
          <w:r w:rsidR="0042704F" w:rsidRPr="0042704F">
            <w:rPr>
              <w:rFonts w:eastAsiaTheme="minorEastAsia"/>
              <w:noProof/>
            </w:rPr>
            <w:t>(2016)</w:t>
          </w:r>
          <w:r w:rsidR="0042704F">
            <w:rPr>
              <w:rFonts w:eastAsiaTheme="minorEastAsia"/>
              <w:bCs/>
            </w:rPr>
            <w:fldChar w:fldCharType="end"/>
          </w:r>
        </w:sdtContent>
      </w:sdt>
      <w:r w:rsidR="0042704F">
        <w:rPr>
          <w:rFonts w:eastAsiaTheme="minorEastAsia"/>
          <w:bCs/>
        </w:rPr>
        <w:t>’s point that contour and gravity-type accessibility measures are largely interchangeable, and indicates that the broad findings from this study are relatively robust against changes in the travel time cut-offs used.</w:t>
      </w:r>
    </w:p>
    <w:p w14:paraId="61D50812" w14:textId="010FF546" w:rsidR="0042704F" w:rsidRDefault="00191F95" w:rsidP="008A15BC">
      <w:pPr>
        <w:pStyle w:val="NoSpacing"/>
        <w:spacing w:line="480" w:lineRule="auto"/>
        <w:ind w:firstLine="567"/>
        <w:jc w:val="both"/>
        <w:rPr>
          <w:rFonts w:eastAsiaTheme="minorEastAsia"/>
          <w:bCs/>
        </w:rPr>
      </w:pPr>
      <w:r>
        <w:rPr>
          <w:rFonts w:eastAsiaTheme="minorEastAsia"/>
          <w:bCs/>
        </w:rPr>
        <w:t xml:space="preserve">I choose a travel time cut-off of 45min (marked with a red dashed line on Figure XX) to align with TfL’s own accessibility analyses.  The value of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where each curve intercepts the 45min cut-</w:t>
      </w:r>
      <w:proofErr w:type="gramStart"/>
      <w:r>
        <w:rPr>
          <w:rFonts w:eastAsiaTheme="minorEastAsia"/>
          <w:bCs/>
        </w:rPr>
        <w:t>off line</w:t>
      </w:r>
      <w:proofErr w:type="gramEnd"/>
      <w:r>
        <w:rPr>
          <w:rFonts w:eastAsiaTheme="minorEastAsia"/>
          <w:bCs/>
        </w:rPr>
        <w:t xml:space="preserve"> gives a vector of 983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(one for each MSOA).  This is plotted in the left panel of Figure XX, with the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binned into deciles.  Clearly, areas in the centre of the GLA area with lots of jobs also have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the connectivity provided by the public transport network (particularly the rail network, visualised with black lines) extends the region with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well </w:t>
      </w:r>
      <w:r>
        <w:rPr>
          <w:rFonts w:eastAsiaTheme="minorEastAsia"/>
          <w:bCs/>
        </w:rPr>
        <w:lastRenderedPageBreak/>
        <w:t xml:space="preserve">beyond the City and Westminster, so much so that areas near the edge of the GLA area that are near rail stations may also have relatively high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  However, areas that are not directly served by rail tend to have lower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values.</w:t>
      </w:r>
    </w:p>
    <w:p w14:paraId="5C41338D" w14:textId="111526A9" w:rsidR="00191F95" w:rsidRDefault="00191F95" w:rsidP="008A15BC">
      <w:pPr>
        <w:pStyle w:val="NoSpacing"/>
        <w:spacing w:line="480" w:lineRule="auto"/>
        <w:ind w:firstLine="567"/>
        <w:jc w:val="both"/>
        <w:rPr>
          <w:rFonts w:eastAsiaTheme="minorEastAsia" w:cstheme="minorHAnsi"/>
          <w:bCs/>
        </w:rPr>
      </w:pPr>
      <w:r>
        <w:rPr>
          <w:rFonts w:eastAsiaTheme="minorEastAsia"/>
          <w:bCs/>
        </w:rPr>
        <w:t xml:space="preserve">However, as noted above,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improve on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eastAsiaTheme="minorEastAsia"/>
          <w:bCs/>
        </w:rPr>
        <w:t xml:space="preserve"> as the former account for competition effects from residents of different areas for the same jobs.  The right panel of Figure XX visualises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of each MSOA, which can be</w:t>
      </w:r>
      <w:r w:rsidR="004B65AB">
        <w:rPr>
          <w:rFonts w:eastAsiaTheme="minorEastAsia"/>
          <w:bCs/>
        </w:rPr>
        <w:t xml:space="preserve"> straightforwardly</w:t>
      </w:r>
      <w:r>
        <w:rPr>
          <w:rFonts w:eastAsiaTheme="minorEastAsia"/>
          <w:bCs/>
        </w:rPr>
        <w:t xml:space="preserve"> interpreted as</w:t>
      </w:r>
      <w:r w:rsidR="004B65AB">
        <w:rPr>
          <w:rFonts w:eastAsiaTheme="minorEastAsia"/>
          <w:bCs/>
        </w:rPr>
        <w:t xml:space="preserve"> the following ratio:</w:t>
      </w:r>
      <w:r>
        <w:rPr>
          <w:rFonts w:eastAsiaTheme="minorEastAsia"/>
          <w:bCs/>
        </w:rPr>
        <w:t xml:space="preserve"> the number of jobs within 45min AM peak travel time from each MSOA that are allocated to each working-age resident in that MSOA.  </w:t>
      </w:r>
      <w:r w:rsidR="004B65AB">
        <w:rPr>
          <w:rFonts w:eastAsiaTheme="minorEastAsia"/>
          <w:bCs/>
        </w:rPr>
        <w:t xml:space="preserve">If jobs, workers and connectivity were all evenly distributed throughout the GLA area, then all the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will equal the ratio of the total number of jobs to the total number of working-age residents,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To express the extent to which actual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B65AB">
        <w:rPr>
          <w:rFonts w:eastAsiaTheme="minorEastAsia"/>
          <w:bCs/>
        </w:rPr>
        <w:t xml:space="preserve"> values 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&lt;&lt; working-age residents),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&lt; 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bCs/>
        </w:rPr>
        <w:t xml:space="preserve"> (jobs allocated </w:t>
      </w:r>
      <w:r w:rsidR="004B65AB">
        <w:rPr>
          <w:rFonts w:eastAsiaTheme="minorEastAsia" w:cstheme="minorHAnsi"/>
          <w:bCs/>
        </w:rPr>
        <w:t xml:space="preserve">≈ working-age residents,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4B65AB">
        <w:rPr>
          <w:rFonts w:eastAsiaTheme="minorEastAsia" w:cstheme="minorHAnsi"/>
          <w:bCs/>
        </w:rPr>
        <w:t xml:space="preserve"> (jobs allocated &gt;&gt; working-age residents).</w:t>
      </w:r>
    </w:p>
    <w:p w14:paraId="055A133A" w14:textId="1D290B9C" w:rsidR="004B65AB" w:rsidRDefault="004B65AB" w:rsidP="008A15BC">
      <w:pPr>
        <w:pStyle w:val="NoSpacing"/>
        <w:spacing w:line="480" w:lineRule="auto"/>
        <w:ind w:firstLine="567"/>
        <w:jc w:val="both"/>
        <w:rPr>
          <w:rFonts w:eastAsiaTheme="minorEastAsia" w:cstheme="minorHAnsi"/>
          <w:bCs/>
        </w:rPr>
      </w:pPr>
      <w:r>
        <w:rPr>
          <w:rFonts w:eastAsiaTheme="minorEastAsia" w:cstheme="minorHAnsi"/>
          <w:bCs/>
        </w:rPr>
        <w:t xml:space="preserve">From the right panel of Figure XX, we can see that few MSOAs in the GLA area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close to a balanced state.  MSOAs near the centre have too many jobs allocated per working-age resident, while many MSOAs around the outskirts have 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relatively more balanced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cstheme="minorHAnsi"/>
          <w:bCs/>
        </w:rPr>
        <w:t xml:space="preserve"> values in the west, where Heathrow Airport provides a significant number of jobs, and connections between Heathrow and areas in the west are relatively good.</w:t>
      </w:r>
    </w:p>
    <w:p w14:paraId="4AAF201C" w14:textId="3B6FB41B" w:rsidR="004B65AB" w:rsidRDefault="004B65AB" w:rsidP="004B65AB">
      <w:pPr>
        <w:pStyle w:val="NoSpacing"/>
        <w:spacing w:line="480" w:lineRule="auto"/>
        <w:jc w:val="both"/>
        <w:rPr>
          <w:bCs/>
        </w:rPr>
      </w:pPr>
    </w:p>
    <w:p w14:paraId="475D32CB" w14:textId="55368ED0" w:rsidR="004B65AB" w:rsidRDefault="004B65AB" w:rsidP="004B65AB">
      <w:pPr>
        <w:pStyle w:val="NoSpacing"/>
        <w:spacing w:line="480" w:lineRule="auto"/>
        <w:jc w:val="both"/>
        <w:rPr>
          <w:bCs/>
          <w:i/>
          <w:iCs/>
        </w:rPr>
      </w:pPr>
      <w:r>
        <w:rPr>
          <w:bCs/>
          <w:i/>
          <w:iCs/>
        </w:rPr>
        <w:t>Analysis of Accessibility to Jobs by Sector</w:t>
      </w:r>
    </w:p>
    <w:p w14:paraId="2911A0F3" w14:textId="3B1B93AB" w:rsidR="004B65AB" w:rsidRDefault="004C3000" w:rsidP="004B65AB">
      <w:pPr>
        <w:pStyle w:val="NoSpacing"/>
        <w:spacing w:line="480" w:lineRule="auto"/>
        <w:ind w:firstLine="567"/>
        <w:jc w:val="both"/>
        <w:rPr>
          <w:bCs/>
        </w:rPr>
      </w:pPr>
      <w:r>
        <w:rPr>
          <w:bCs/>
        </w:rPr>
        <w:lastRenderedPageBreak/>
        <w:t>The job distribution data disaggregates jobs by Standard Industrial Classification Codes (SICCs).  This allows us to analyse how jobs are allocated to working-age residents by sector.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625CD083" w:rsidR="004C3000" w:rsidRDefault="004C3000" w:rsidP="004C3000">
      <w:pPr>
        <w:pStyle w:val="NoSpacing"/>
        <w:numPr>
          <w:ilvl w:val="0"/>
          <w:numId w:val="4"/>
        </w:numPr>
        <w:spacing w:line="480" w:lineRule="auto"/>
        <w:jc w:val="both"/>
        <w:rPr>
          <w:bCs/>
        </w:rPr>
      </w:pPr>
      <w:r>
        <w:rPr>
          <w:bCs/>
        </w:rPr>
        <w:t>Retail, Logistics, Food &amp; Beverage and Hospitality</w:t>
      </w:r>
    </w:p>
    <w:p w14:paraId="1DB81A1E" w14:textId="701C60E2"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0E66EE0" w:rsidR="004C3000" w:rsidRDefault="00C22C1F" w:rsidP="004C3000">
      <w:pPr>
        <w:pStyle w:val="NoSpacing"/>
        <w:spacing w:line="480" w:lineRule="auto"/>
        <w:ind w:firstLine="567"/>
        <w:jc w:val="both"/>
        <w:rPr>
          <w:bCs/>
        </w:rPr>
      </w:pPr>
      <w:r>
        <w:rPr>
          <w:bCs/>
        </w:rPr>
        <w:t xml:space="preserve">The inset of Figure XX shows the proportion of all jobs in the GLA area that belong to each sector.  The finance, insurance, real estate, professional and administrative support sector is the largest in the GLA area, followed by the retail, logistics, food &amp; beverage and hospitality sector and the public sector.  </w:t>
      </w:r>
      <w:r w:rsidR="004C3000">
        <w:rPr>
          <w:bCs/>
        </w:rPr>
        <w:t xml:space="preserve">Figure XX plots the distribution of jobs in each sector as a dot density map.  </w:t>
      </w:r>
      <w:r>
        <w:rPr>
          <w:bCs/>
        </w:rPr>
        <w:t>Industrial jobs are the most evenly spread out across the GLA area, while retail, logistics, food &amp; beverage, hospitality and public sector jobs are somewhat less spread out with significant concentrations in the job-rich centre.  Unsurprisingly, finance, insurance, real estate, professional and administrative support jobs are the most concentrated in the centre.</w:t>
      </w:r>
    </w:p>
    <w:p w14:paraId="404813B6" w14:textId="77777777"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calculate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using the job distribution for each sector and plot maps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sidR="004C3000">
        <w:rPr>
          <w:rFonts w:eastAsiaTheme="minorEastAsia"/>
          <w:bCs/>
        </w:rPr>
        <w:t xml:space="preserve"> values per sector in Figure XX.  The top left panel of Figure XX reproduces the map in the right panel of Figure XX for reference.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that accessibility to industrial jobs is most evenly distributed, while accessibility to public-sector and retail, logistics, food &amp; beverage and hospitality jobs are also relatively evenly distributed albeit with significant over-provision of jobs per working-age population at the centre of the GLA area.  In contrast, access to finance, insurance, real estate, professional and administrative support jobs is most unevenly distributed, with large </w:t>
      </w:r>
      <w:r>
        <w:rPr>
          <w:rFonts w:eastAsiaTheme="minorEastAsia"/>
          <w:bCs/>
        </w:rPr>
        <w:lastRenderedPageBreak/>
        <w:t>swaths of MSOAs in the south, east and north having almost no jobs from this sector allocated per working-age resident.</w:t>
      </w:r>
    </w:p>
    <w:p w14:paraId="098912BC" w14:textId="77777777"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distribution of jobs allocated per sector to the working-age population (lower right panel of Figure XX), we can assess the extent to which the distribution of jobs in each sector contributes to the unevenness in overall accessibility to jobs.  The Lorenz curves for the industrial, retail, logistics, food &amp; beverage, hospitality and public sectors are closer to the diagonal than the curve for all jobs, but the curves for the finance, insurance, real estate, professional and administrative services and other sectors are below the curve for all jobs.  This indicates that the distributions of the latter two sectors tends to make accessibility to jobs more uneven in the GLA area.  In particular, because the finance, insurance, real estate, professional and administrative services sector is the largest in the GLA, the high concentration of jobs in this sector in the centre of the GLA area tends to drive the unevenness in the distribution of accessibility to jobs in the GLA area.</w:t>
      </w:r>
    </w:p>
    <w:p w14:paraId="04257C23" w14:textId="77777777" w:rsidR="00C355AC" w:rsidRDefault="00C355AC" w:rsidP="00C355AC">
      <w:pPr>
        <w:pStyle w:val="NoSpacing"/>
        <w:spacing w:line="480" w:lineRule="auto"/>
        <w:jc w:val="both"/>
        <w:rPr>
          <w:rFonts w:eastAsiaTheme="minorEastAsia"/>
          <w:bCs/>
        </w:rPr>
      </w:pPr>
    </w:p>
    <w:p w14:paraId="43703AAF" w14:textId="77777777" w:rsidR="00C355AC" w:rsidRDefault="00C355AC" w:rsidP="00C355AC">
      <w:pPr>
        <w:pStyle w:val="NoSpacing"/>
        <w:spacing w:line="480" w:lineRule="auto"/>
        <w:jc w:val="both"/>
        <w:rPr>
          <w:rFonts w:eastAsiaTheme="minorEastAsia"/>
          <w:bCs/>
          <w:i/>
          <w:iCs/>
        </w:rPr>
      </w:pPr>
      <w:r>
        <w:rPr>
          <w:rFonts w:eastAsiaTheme="minorEastAsia"/>
          <w:bCs/>
          <w:i/>
          <w:iCs/>
        </w:rPr>
        <w:t>Identifying Socially Deprived Areas with Poor Accessibility to Jobs</w:t>
      </w:r>
    </w:p>
    <w:p w14:paraId="11AFA83D" w14:textId="3D6EBFC2" w:rsidR="004C3000" w:rsidRDefault="00C355AC" w:rsidP="00C355AC">
      <w:pPr>
        <w:pStyle w:val="NoSpacing"/>
        <w:spacing w:line="480" w:lineRule="auto"/>
        <w:ind w:firstLine="567"/>
        <w:jc w:val="both"/>
        <w:rPr>
          <w:rFonts w:eastAsiaTheme="minorEastAsia"/>
          <w:bCs/>
        </w:rPr>
      </w:pPr>
      <w:r>
        <w:rPr>
          <w:rFonts w:eastAsiaTheme="minorEastAsia"/>
          <w:bCs/>
        </w:rPr>
        <w:t>Ideally, we should improve the public transport network and redistribute jobs and homes such that accessibility to jobs is even</w:t>
      </w:r>
      <w:r w:rsidR="009A2C18">
        <w:rPr>
          <w:rFonts w:eastAsiaTheme="minorEastAsia"/>
          <w:bCs/>
        </w:rPr>
        <w:t xml:space="preserve"> </w:t>
      </w:r>
      <w:r>
        <w:rPr>
          <w:rFonts w:eastAsiaTheme="minorEastAsia"/>
          <w:bCs/>
        </w:rPr>
        <w:t>throughout the GLA area.  However, in order to minimise social inequity, improvements should be prioritised to benefit the neediest areas first (citation).  To do this, we need to identify areas which have high social deprivation and poor accessibility to jobs.</w:t>
      </w:r>
    </w:p>
    <w:p w14:paraId="3837A9D7" w14:textId="07C1D0E0" w:rsidR="00C355AC" w:rsidRDefault="00C355AC" w:rsidP="00C355AC">
      <w:pPr>
        <w:pStyle w:val="NoSpacing"/>
        <w:spacing w:line="480" w:lineRule="auto"/>
        <w:ind w:firstLine="567"/>
        <w:jc w:val="both"/>
        <w:rPr>
          <w:rFonts w:eastAsiaTheme="minorEastAsia"/>
          <w:bCs/>
        </w:rPr>
      </w:pPr>
      <w:r>
        <w:rPr>
          <w:rFonts w:eastAsiaTheme="minorEastAsia"/>
          <w:bCs/>
        </w:rPr>
        <w:t xml:space="preserve">To this end, I carry out k-means clustering to classify MSOAs according to their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and their IMD ranks, to identify a typology of MSOAs characterised by the number of jobs per sector allocated to each working-age resident and the relative level of deprivation of each area.  The results for when k = 6 are presented in Figure XX.  The upper left panel visualises the distribution of IMD ranks in each cluster.  Cluster 0 is most deprived, while Clusters 1 and 5 tend to be more deprived, and Clusters 2, 3 and 4 tend to be less deprived.  The upper right panel visualises the distribution of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for all jobs per cluster.  Among the more deprived clusters, Cluster 0 has the lowest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indicating areas that tend to be most deprived and to have the poorest overall </w:t>
      </w:r>
      <w:r>
        <w:rPr>
          <w:rFonts w:eastAsiaTheme="minorEastAsia"/>
          <w:bCs/>
        </w:rPr>
        <w:lastRenderedPageBreak/>
        <w:t xml:space="preserve">accessibility to jobs.  However, Clusters 1 and 5 tend to have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that indicate too many jobs allocated per working-age resident.</w:t>
      </w:r>
    </w:p>
    <w:p w14:paraId="3176E509" w14:textId="650FBCFD" w:rsidR="00C355AC" w:rsidRDefault="00C355AC" w:rsidP="00C355AC">
      <w:pPr>
        <w:pStyle w:val="NoSpacing"/>
        <w:spacing w:line="480" w:lineRule="auto"/>
        <w:ind w:firstLine="567"/>
        <w:jc w:val="both"/>
        <w:rPr>
          <w:rFonts w:eastAsiaTheme="minorEastAsia"/>
          <w:bCs/>
        </w:rPr>
      </w:pPr>
      <w:r>
        <w:rPr>
          <w:rFonts w:eastAsiaTheme="minorEastAsia"/>
          <w:bCs/>
        </w:rPr>
        <w:t xml:space="preserve">The lower left panel of Figure XX displays the distribution of sector-specific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rFonts w:eastAsiaTheme="minorEastAsia"/>
          <w:bCs/>
        </w:rPr>
        <w:t xml:space="preserve"> values per cluster.  This sheds some more light on </w:t>
      </w:r>
      <w:r w:rsidR="00633400">
        <w:rPr>
          <w:rFonts w:eastAsiaTheme="minorEastAsia"/>
          <w:bCs/>
        </w:rPr>
        <w:t>the job allocation situation for Clusters 1 and 5.  Although these clusters tend to have plenty of jobs per working-age resident, most of these jobs are in the finance, insurance, real estate, professional and administrative support sector.  Insofar as these sectors tend to require higher qualifications, there may be a skills mismatch between the more socially disadvantaged residents of MSOAs in Clusters 1 and 5 and the jobs that are available to them; in other words, though there may be enough jobs available, the types of jobs available may not match the types of workers available.</w:t>
      </w:r>
    </w:p>
    <w:p w14:paraId="27D21080" w14:textId="27DDE885" w:rsidR="00633400" w:rsidRDefault="00633400" w:rsidP="00C355AC">
      <w:pPr>
        <w:pStyle w:val="NoSpacing"/>
        <w:spacing w:line="480" w:lineRule="auto"/>
        <w:ind w:firstLine="567"/>
        <w:jc w:val="both"/>
        <w:rPr>
          <w:rFonts w:eastAsiaTheme="minorEastAsia"/>
          <w:bCs/>
        </w:rPr>
      </w:pPr>
      <w:r>
        <w:rPr>
          <w:rFonts w:eastAsiaTheme="minorEastAsia"/>
          <w:bCs/>
        </w:rPr>
        <w:t>In contrast, MSOAs in Clusters 2, 3 and 4 tend to have lower deprivation but also insufficient jobs allocated per working-age resident.  Faced with poor accessibility to the jobs they seek via public transport, residents in these MSOAs may be more likely to rely on cars for their commutes.  Improving public transport accessibility to jobs for these areas may be a prerequisite to encouraging less car-dependent commute choices for residents of these areas, but the effectiveness of public transport improvements to encourage lower car usage remains in doubt.</w:t>
      </w:r>
    </w:p>
    <w:p w14:paraId="4A4CC904" w14:textId="658B229C" w:rsidR="009A2C18" w:rsidRDefault="009A2C18" w:rsidP="004C3000">
      <w:pPr>
        <w:pStyle w:val="NoSpacing"/>
        <w:spacing w:line="480" w:lineRule="auto"/>
        <w:ind w:firstLine="567"/>
        <w:jc w:val="both"/>
        <w:rPr>
          <w:bCs/>
        </w:rPr>
      </w:pPr>
    </w:p>
    <w:p w14:paraId="25BB9ABC" w14:textId="79F48E53" w:rsidR="00FB0347" w:rsidRPr="00FB0347" w:rsidRDefault="00FB0347" w:rsidP="00FB0347">
      <w:pPr>
        <w:pStyle w:val="NoSpacing"/>
        <w:spacing w:line="480" w:lineRule="auto"/>
        <w:jc w:val="both"/>
        <w:rPr>
          <w:bCs/>
          <w:i/>
          <w:iCs/>
        </w:rPr>
      </w:pPr>
      <w:r>
        <w:rPr>
          <w:bCs/>
          <w:i/>
          <w:iCs/>
        </w:rPr>
        <w:t>Analysis of Variability in Travel Times</w:t>
      </w:r>
    </w:p>
    <w:p w14:paraId="13C4ABF4" w14:textId="0E5048C7" w:rsidR="00FB0347" w:rsidRDefault="00FB0347" w:rsidP="004C3000">
      <w:pPr>
        <w:pStyle w:val="NoSpacing"/>
        <w:spacing w:line="480" w:lineRule="auto"/>
        <w:ind w:firstLine="567"/>
        <w:jc w:val="both"/>
        <w:rPr>
          <w:bCs/>
        </w:rPr>
      </w:pPr>
      <w:r>
        <w:rPr>
          <w:bCs/>
        </w:rPr>
        <w:t>In addition to collecting data on the options to travel between every pair of MSOAs assuming all services run as scheduled, I collected AM peak travel option data on trips from all MSOAs to 7 strategically chosen destinations over 50 days in real time.  Thus, for each of these 6881 trips, I obtained a distribution of 50 minimum travel times.</w:t>
      </w:r>
    </w:p>
    <w:p w14:paraId="3904AC32" w14:textId="65D491EC" w:rsidR="00FB0347" w:rsidRDefault="00287A1C" w:rsidP="004C3000">
      <w:pPr>
        <w:pStyle w:val="NoSpacing"/>
        <w:spacing w:line="480" w:lineRule="auto"/>
        <w:ind w:firstLine="567"/>
        <w:jc w:val="both"/>
        <w:rPr>
          <w:bCs/>
        </w:rPr>
      </w:pPr>
      <w:r>
        <w:rPr>
          <w:bCs/>
        </w:rPr>
        <w:t xml:space="preserve">Each panel in </w:t>
      </w:r>
      <w:r w:rsidR="00FB0347">
        <w:rPr>
          <w:bCs/>
        </w:rPr>
        <w:t xml:space="preserve">Figure XX plots </w:t>
      </w:r>
      <w:r>
        <w:rPr>
          <w:bCs/>
        </w:rPr>
        <w:t>the width of the 90% highest probability density interval (</w:t>
      </w:r>
      <w:r w:rsidR="0088101E">
        <w:rPr>
          <w:bCs/>
        </w:rPr>
        <w:t>hereafter the interval width</w:t>
      </w:r>
      <w:r>
        <w:rPr>
          <w:bCs/>
        </w:rPr>
        <w:t xml:space="preserve">) for trips originating in each MSOA and terminating at one of the 7 destinations (outlined in red in each map).  The </w:t>
      </w:r>
      <w:r w:rsidR="0088101E">
        <w:rPr>
          <w:bCs/>
        </w:rPr>
        <w:t xml:space="preserve">interval width </w:t>
      </w:r>
      <w:r>
        <w:rPr>
          <w:bCs/>
        </w:rPr>
        <w:t xml:space="preserve">indicates how compact the </w:t>
      </w:r>
      <w:r w:rsidR="0088101E">
        <w:rPr>
          <w:bCs/>
        </w:rPr>
        <w:t xml:space="preserve">distribution of </w:t>
      </w:r>
      <w:r>
        <w:rPr>
          <w:bCs/>
        </w:rPr>
        <w:t xml:space="preserve">observed travel times </w:t>
      </w:r>
      <w:r w:rsidR="0088101E">
        <w:rPr>
          <w:bCs/>
        </w:rPr>
        <w:t xml:space="preserve">is </w:t>
      </w:r>
      <w:r>
        <w:rPr>
          <w:bCs/>
        </w:rPr>
        <w:t>for each trip; for example, a</w:t>
      </w:r>
      <w:r w:rsidR="0088101E">
        <w:rPr>
          <w:bCs/>
        </w:rPr>
        <w:t xml:space="preserve">n interval width </w:t>
      </w:r>
      <w:r>
        <w:rPr>
          <w:bCs/>
        </w:rPr>
        <w:t>of 5min means that the 95</w:t>
      </w:r>
      <w:r w:rsidRPr="00287A1C">
        <w:rPr>
          <w:bCs/>
          <w:vertAlign w:val="superscript"/>
        </w:rPr>
        <w:t>th</w:t>
      </w:r>
      <w:r>
        <w:rPr>
          <w:bCs/>
        </w:rPr>
        <w:t xml:space="preserve"> percentile </w:t>
      </w:r>
      <w:r>
        <w:rPr>
          <w:bCs/>
        </w:rPr>
        <w:lastRenderedPageBreak/>
        <w:t xml:space="preserve">observed travel time </w:t>
      </w:r>
      <w:r w:rsidR="0088101E">
        <w:rPr>
          <w:bCs/>
        </w:rPr>
        <w:t xml:space="preserve">(for an unusually slow trip) </w:t>
      </w:r>
      <w:r>
        <w:rPr>
          <w:bCs/>
        </w:rPr>
        <w:t>is only 5min more than the 5</w:t>
      </w:r>
      <w:r w:rsidRPr="00287A1C">
        <w:rPr>
          <w:bCs/>
          <w:vertAlign w:val="superscript"/>
        </w:rPr>
        <w:t>th</w:t>
      </w:r>
      <w:r>
        <w:rPr>
          <w:bCs/>
        </w:rPr>
        <w:t xml:space="preserve"> percentile</w:t>
      </w:r>
      <w:r w:rsidR="0088101E">
        <w:rPr>
          <w:bCs/>
        </w:rPr>
        <w:t xml:space="preserve"> (for an unusually fast trip)</w:t>
      </w:r>
      <w:r>
        <w:rPr>
          <w:bCs/>
        </w:rPr>
        <w:t>, indicating that travel times on that trip are relatively reliable.</w:t>
      </w:r>
      <w:r w:rsidR="0088101E">
        <w:rPr>
          <w:bCs/>
        </w:rPr>
        <w:t xml:space="preserve">  To facilitate comparison of interval widths between different destinations, all maps use the same binning scheme to visualise the interval widths.</w:t>
      </w:r>
    </w:p>
    <w:p w14:paraId="545E0538" w14:textId="26EEF9EE" w:rsidR="00287A1C" w:rsidRDefault="00287A1C" w:rsidP="004C3000">
      <w:pPr>
        <w:pStyle w:val="NoSpacing"/>
        <w:spacing w:line="480" w:lineRule="auto"/>
        <w:ind w:firstLine="567"/>
        <w:jc w:val="both"/>
        <w:rPr>
          <w:bCs/>
        </w:rPr>
      </w:pPr>
      <w:r>
        <w:rPr>
          <w:bCs/>
        </w:rPr>
        <w:t xml:space="preserve">In general, we can see that areas that are within walking distance of each of the 7 destinations have the narrowest </w:t>
      </w:r>
      <w:r w:rsidR="0088101E">
        <w:rPr>
          <w:bCs/>
        </w:rPr>
        <w:t>interval widths</w:t>
      </w:r>
      <w:r>
        <w:rPr>
          <w:bCs/>
        </w:rPr>
        <w:t xml:space="preserve">, </w:t>
      </w:r>
      <w:r w:rsidR="0088101E">
        <w:rPr>
          <w:bCs/>
        </w:rPr>
        <w:t>indicating that walking tends to be a reliable travel mode</w:t>
      </w:r>
      <w:r w:rsidR="00230F8A">
        <w:rPr>
          <w:bCs/>
        </w:rPr>
        <w:t xml:space="preserve">.  </w:t>
      </w:r>
      <w:r w:rsidR="0088101E">
        <w:rPr>
          <w:bCs/>
        </w:rPr>
        <w:t xml:space="preserve">This makes sense, as the flexibility of walking means that routes are unlikely to be totally blocked, and even if a route is blocked, the high density of the walkable network means that travellers are likely to be able to find comparable alternative routes.  </w:t>
      </w:r>
      <w:r w:rsidR="00230F8A">
        <w:rPr>
          <w:bCs/>
        </w:rPr>
        <w:t xml:space="preserve">Areas that are connected to the destination by rail also tend to have narrower interval widths, </w:t>
      </w:r>
      <w:r w:rsidR="0088101E">
        <w:rPr>
          <w:bCs/>
        </w:rPr>
        <w:t xml:space="preserve">indicating that </w:t>
      </w:r>
      <w:r w:rsidR="00230F8A">
        <w:rPr>
          <w:bCs/>
        </w:rPr>
        <w:t xml:space="preserve">rail travel is generally quite reliable except in the event of a line disruption.  Areas that are not directly connected to a destination by rail and that are too far to walk tend to have wider intervals, even if they are relatively near the destination.  </w:t>
      </w:r>
      <w:r w:rsidR="0088101E">
        <w:rPr>
          <w:bCs/>
        </w:rPr>
        <w:t>Such areas tend to rely more on buses to connect to each destination, and these wider intervals indicate that travel times by bus are less reliable</w:t>
      </w:r>
      <w:r w:rsidR="00230F8A">
        <w:rPr>
          <w:bCs/>
        </w:rPr>
        <w:t xml:space="preserve">.  Also, locations further from a destination tend to have wider intervals, as these require longer journeys to connect to the destination, and </w:t>
      </w:r>
      <w:r w:rsidR="0088101E">
        <w:rPr>
          <w:bCs/>
        </w:rPr>
        <w:t xml:space="preserve">the probability that a journey will be disrupted </w:t>
      </w:r>
      <w:proofErr w:type="spellStart"/>
      <w:r w:rsidR="0088101E">
        <w:rPr>
          <w:bCs/>
        </w:rPr>
        <w:t>en</w:t>
      </w:r>
      <w:proofErr w:type="spellEnd"/>
      <w:r w:rsidR="0088101E">
        <w:rPr>
          <w:bCs/>
        </w:rPr>
        <w:t xml:space="preserve"> route increases with the journey length</w:t>
      </w:r>
      <w:r w:rsidR="00230F8A">
        <w:rPr>
          <w:bCs/>
        </w:rPr>
        <w:t>.</w:t>
      </w:r>
    </w:p>
    <w:p w14:paraId="38F6E838" w14:textId="0BAFEBF7" w:rsidR="0088101E" w:rsidRDefault="0088101E" w:rsidP="004C3000">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less travel time variability.  This may be attributed to the more </w:t>
      </w:r>
      <w:r w:rsidR="00175E79">
        <w:rPr>
          <w:bCs/>
        </w:rPr>
        <w:t>grid-like</w:t>
      </w:r>
      <w:r>
        <w:rPr>
          <w:bCs/>
        </w:rPr>
        <w:t xml:space="preserve"> rail and tube network north of the Thames, which provides commuters with more alternative </w:t>
      </w:r>
      <w:r w:rsidR="00175E79">
        <w:rPr>
          <w:bCs/>
        </w:rPr>
        <w:t xml:space="preserve">rail </w:t>
      </w:r>
      <w:r>
        <w:rPr>
          <w:bCs/>
        </w:rPr>
        <w:t>routes</w:t>
      </w:r>
      <w:r w:rsidR="00175E79">
        <w:rPr>
          <w:bCs/>
        </w:rPr>
        <w:t xml:space="preserve"> if a </w:t>
      </w:r>
      <w:proofErr w:type="gramStart"/>
      <w:r w:rsidR="00175E79">
        <w:rPr>
          <w:bCs/>
        </w:rPr>
        <w:t>particular section</w:t>
      </w:r>
      <w:proofErr w:type="gramEnd"/>
      <w:r w:rsidR="00175E79">
        <w:rPr>
          <w:bCs/>
        </w:rPr>
        <w:t xml:space="preserve"> of the rail network fails.  In contrast, travel times to Lewisham and Streatham tend to be more variable, possibly reflecting the more tree-like structure of the rail network there, which provides less network redundancy against failures of line sections leading to these destinations.  Finally, for all destinations, we can see that trips originating from the </w:t>
      </w:r>
      <w:proofErr w:type="spellStart"/>
      <w:r w:rsidR="00175E79">
        <w:rPr>
          <w:bCs/>
        </w:rPr>
        <w:t>southeastern</w:t>
      </w:r>
      <w:proofErr w:type="spellEnd"/>
      <w:r w:rsidR="00175E79">
        <w:rPr>
          <w:bCs/>
        </w:rPr>
        <w:t xml:space="preserve"> quadrant of the GLA area tend to have more variable travel times.  This probably reflects the effects of less reliable rail services run by </w:t>
      </w:r>
      <w:proofErr w:type="spellStart"/>
      <w:r w:rsidR="00175E79">
        <w:rPr>
          <w:bCs/>
        </w:rPr>
        <w:t>Southeastern</w:t>
      </w:r>
      <w:proofErr w:type="spellEnd"/>
      <w:r w:rsidR="00175E79">
        <w:rPr>
          <w:bCs/>
        </w:rPr>
        <w:t xml:space="preserve"> and Southern Railways (+ citation).</w:t>
      </w:r>
    </w:p>
    <w:p w14:paraId="76FC165A" w14:textId="07A049DA" w:rsidR="00175E79" w:rsidRDefault="00175E79" w:rsidP="004C3000">
      <w:pPr>
        <w:pStyle w:val="NoSpacing"/>
        <w:spacing w:line="480" w:lineRule="auto"/>
        <w:ind w:firstLine="567"/>
        <w:jc w:val="both"/>
        <w:rPr>
          <w:bCs/>
        </w:rPr>
      </w:pPr>
    </w:p>
    <w:p w14:paraId="2F53192F" w14:textId="21F9EFE0" w:rsidR="008464C1" w:rsidRPr="008464C1" w:rsidRDefault="008464C1" w:rsidP="008464C1">
      <w:pPr>
        <w:pStyle w:val="NoSpacing"/>
        <w:spacing w:line="480" w:lineRule="auto"/>
        <w:jc w:val="both"/>
        <w:rPr>
          <w:bCs/>
          <w:i/>
          <w:iCs/>
        </w:rPr>
      </w:pPr>
      <w:r>
        <w:rPr>
          <w:bCs/>
          <w:i/>
          <w:iCs/>
        </w:rPr>
        <w:t>Analysis of Variability of Travel Times and IMD Rank</w:t>
      </w:r>
    </w:p>
    <w:p w14:paraId="59235128" w14:textId="4324CB1F" w:rsidR="00480FBF" w:rsidRDefault="008464C1" w:rsidP="004C3000">
      <w:pPr>
        <w:pStyle w:val="NoSpacing"/>
        <w:spacing w:line="480" w:lineRule="auto"/>
        <w:ind w:firstLine="567"/>
        <w:jc w:val="both"/>
        <w:rPr>
          <w:bCs/>
        </w:rPr>
      </w:pPr>
      <w:r>
        <w:rPr>
          <w:bCs/>
        </w:rPr>
        <w:t>An important question to investigate is the extent to which areas that are burdened by high travel times and/or low travel time reliability are also more socially deprived.  To do this, I carry out K-means clustering on the MSOAs, considering the observed travel times and interval widths</w:t>
      </w:r>
      <w:r w:rsidR="00480FBF">
        <w:rPr>
          <w:bCs/>
        </w:rPr>
        <w:t xml:space="preserve"> for travel to each MSOA’s local centroid (one of the 7 destinations that is closest to it) and to the City of London, together with each MSOA’s IMD rank.</w:t>
      </w:r>
    </w:p>
    <w:p w14:paraId="3C0D6CB6" w14:textId="049A62F5" w:rsidR="008464C1" w:rsidRDefault="00480FBF" w:rsidP="004C3000">
      <w:pPr>
        <w:pStyle w:val="NoSpacing"/>
        <w:spacing w:line="480" w:lineRule="auto"/>
        <w:ind w:firstLine="567"/>
        <w:jc w:val="both"/>
        <w:rPr>
          <w:bCs/>
        </w:rPr>
      </w:pPr>
      <w:r>
        <w:rPr>
          <w:bCs/>
        </w:rPr>
        <w:t xml:space="preserve">Figure XX presents the characteristics of each cluster when 7 clusters are identified.  Clusters 2, 3 and 4 tend to have lower IMD ranks that reflect higher social deprivation.  Among these, Cluster 3 tends to have lower and less variable travel times to the City and to their local centroid.  MSOAs in this cluster tend to be more centrally located and to have direct access to the rail system.  Cluster 2 tends to have higher but less variable travel times to the City and their local centroid.  These tend to also have direct access to the rail </w:t>
      </w:r>
      <w:proofErr w:type="gramStart"/>
      <w:r>
        <w:rPr>
          <w:bCs/>
        </w:rPr>
        <w:t>network, but</w:t>
      </w:r>
      <w:proofErr w:type="gramEnd"/>
      <w:r>
        <w:rPr>
          <w:bCs/>
        </w:rPr>
        <w:t xml:space="preserve"> are located further from the centre than MSOAs in Cluster 3.  On the other hand, Cluster 4 tends to have higher and more variable travel times to the City and their local centroid.  While MSOAs in this cluster may also be relatively centrally located, they tend to not have direct access to the rail system or to rail lines that run radially to the centre of the network, and thus may need to rely more on slower and less reliable buses or to make longer rail trips with more interchanges.</w:t>
      </w:r>
    </w:p>
    <w:p w14:paraId="31D2F0ED" w14:textId="0DBC0333" w:rsidR="00480FBF" w:rsidRDefault="003713CD" w:rsidP="004C3000">
      <w:pPr>
        <w:pStyle w:val="NoSpacing"/>
        <w:spacing w:line="480" w:lineRule="auto"/>
        <w:ind w:firstLine="567"/>
        <w:jc w:val="both"/>
        <w:rPr>
          <w:bCs/>
        </w:rPr>
      </w:pPr>
      <w:r>
        <w:rPr>
          <w:bCs/>
        </w:rPr>
        <w:t xml:space="preserve">However, it is also important to note that MSOAs in clusters with higher IMD ranks (and thus lower social deprivation) also tend to have longer and more variable travel times to the City and the local centroid.  </w:t>
      </w:r>
      <w:proofErr w:type="gramStart"/>
      <w:r>
        <w:rPr>
          <w:bCs/>
        </w:rPr>
        <w:t>With the exception of</w:t>
      </w:r>
      <w:proofErr w:type="gramEnd"/>
      <w:r>
        <w:rPr>
          <w:bCs/>
        </w:rPr>
        <w:t xml:space="preserve"> Cluster 0, MSOAs in these clusters tend to be located near the outskirts of the GLA area.  The lower usefulness and reliability of the public transport network for connecting residents in these MSOAs to important destinations may contribute to these residents’ higher reliance on cars for their travel needs.</w:t>
      </w:r>
    </w:p>
    <w:p w14:paraId="00D36604" w14:textId="48FD5A8E" w:rsidR="006A4F83" w:rsidRDefault="006A4F83" w:rsidP="004C3000">
      <w:pPr>
        <w:pStyle w:val="NoSpacing"/>
        <w:spacing w:line="480" w:lineRule="auto"/>
        <w:ind w:firstLine="567"/>
        <w:jc w:val="both"/>
        <w:rPr>
          <w:bCs/>
        </w:rPr>
      </w:pPr>
    </w:p>
    <w:p w14:paraId="3A87CEC8" w14:textId="0F5BCD0F" w:rsidR="006A4F83" w:rsidRPr="006A4F83" w:rsidRDefault="006A4F83" w:rsidP="006A4F83">
      <w:pPr>
        <w:pStyle w:val="NoSpacing"/>
        <w:spacing w:line="480" w:lineRule="auto"/>
        <w:jc w:val="both"/>
        <w:rPr>
          <w:bCs/>
          <w:i/>
          <w:iCs/>
        </w:rPr>
      </w:pPr>
      <w:r>
        <w:rPr>
          <w:bCs/>
          <w:i/>
          <w:iCs/>
        </w:rPr>
        <w:t>Contributions to Travel Time Variability by Travel Mode</w:t>
      </w:r>
    </w:p>
    <w:p w14:paraId="49108BD5" w14:textId="30337020" w:rsidR="006A4F83" w:rsidRDefault="006A4F83" w:rsidP="004C3000">
      <w:pPr>
        <w:pStyle w:val="NoSpacing"/>
        <w:spacing w:line="480" w:lineRule="auto"/>
        <w:ind w:firstLine="567"/>
        <w:jc w:val="both"/>
        <w:rPr>
          <w:bCs/>
        </w:rPr>
      </w:pPr>
      <w:r>
        <w:rPr>
          <w:bCs/>
        </w:rPr>
        <w:lastRenderedPageBreak/>
        <w:t>As we have seen, travel time variability varies across different trips.  But why do some trips have more variable travel times than others?  One factor could be the distance covered for each trip; the probability that a disruption occurs at any point along a trip increases with the length of the trip.  The results seen so far also indicate that some travel modes (such as walking, rail or tube) are more reliable than others (particularly bus).  Also, we have seen that certain locations may be burdened by the low reliability of the service operators (particularly in the southeast).</w:t>
      </w:r>
    </w:p>
    <w:p w14:paraId="5215767B" w14:textId="77777777" w:rsidR="00822C10" w:rsidRDefault="00822C10" w:rsidP="004C3000">
      <w:pPr>
        <w:pStyle w:val="NoSpacing"/>
        <w:spacing w:line="480" w:lineRule="auto"/>
        <w:ind w:firstLine="567"/>
        <w:jc w:val="both"/>
        <w:rPr>
          <w:bCs/>
        </w:rPr>
      </w:pPr>
      <w:r>
        <w:rPr>
          <w:bCs/>
        </w:rPr>
        <w:t>To investigate the factors shaping travel time variability across trips, I carry out a set of linear regression analyses on n = 6881 trips, with trip-level interval widths as the dependent variable.  In an initial model, I use the distance covered by each mode of transport for the fastest option from the baseline data as covariates – that is, I investigate how the interval width of the time needed to complete a trip is correlated with the distance travelled for that trip by each mode, assuming all services run as scheduled.</w:t>
      </w:r>
    </w:p>
    <w:p w14:paraId="406145F4" w14:textId="10F1FF24" w:rsidR="006A4F83" w:rsidRDefault="00822C10" w:rsidP="004C3000">
      <w:pPr>
        <w:pStyle w:val="NoSpacing"/>
        <w:spacing w:line="480" w:lineRule="auto"/>
        <w:ind w:firstLine="567"/>
        <w:jc w:val="both"/>
        <w:rPr>
          <w:bCs/>
        </w:rPr>
      </w:pPr>
      <w:r>
        <w:rPr>
          <w:bCs/>
        </w:rPr>
        <w:t xml:space="preserve">The results for this model are shown in Column 1 of </w:t>
      </w:r>
      <w:proofErr w:type="gramStart"/>
      <w:r>
        <w:rPr>
          <w:bCs/>
        </w:rPr>
        <w:t>Table XX, and</w:t>
      </w:r>
      <w:proofErr w:type="gramEnd"/>
      <w:r>
        <w:rPr>
          <w:bCs/>
        </w:rPr>
        <w:t xml:space="preserve"> indicate that for every additional kilometre travelled by National Rail, the interval width increases by 0.1min.  </w:t>
      </w:r>
      <w:r w:rsidR="00DD7F6F">
        <w:rPr>
          <w:bCs/>
        </w:rPr>
        <w:t xml:space="preserve">This </w:t>
      </w:r>
      <w:r>
        <w:rPr>
          <w:bCs/>
        </w:rPr>
        <w:t xml:space="preserve">result </w:t>
      </w:r>
      <w:r w:rsidR="00DD7F6F">
        <w:rPr>
          <w:bCs/>
        </w:rPr>
        <w:t xml:space="preserve">is </w:t>
      </w:r>
      <w:r>
        <w:rPr>
          <w:bCs/>
        </w:rPr>
        <w:t>in line with the observations above that unreliability in the services operated by some rail companies could contribute to more variable travel times</w:t>
      </w:r>
      <w:r w:rsidR="00DD7F6F">
        <w:rPr>
          <w:bCs/>
        </w:rPr>
        <w:t xml:space="preserve">.  Every additional kilometre travelled by Overground also increases the interval width by 0.1min.  The Overground was conceived to take over the operation of some National Rail lines to increase service reliability, so this result is discouraging.  However, freight trains do share tracks with Overground trains and freight train breakdowns are known to cause Overground disruptions.  However, </w:t>
      </w:r>
      <w:r>
        <w:rPr>
          <w:bCs/>
        </w:rPr>
        <w:t xml:space="preserve">buses are </w:t>
      </w:r>
      <w:r w:rsidR="00DD7F6F">
        <w:rPr>
          <w:bCs/>
        </w:rPr>
        <w:t xml:space="preserve">by far </w:t>
      </w:r>
      <w:r>
        <w:rPr>
          <w:bCs/>
        </w:rPr>
        <w:t>the most unreliable mode of public transport</w:t>
      </w:r>
      <w:r w:rsidR="00DD7F6F">
        <w:rPr>
          <w:bCs/>
        </w:rPr>
        <w:t>, as every additional kilometre travelled by bus increases the interval width by 1min.</w:t>
      </w:r>
      <w:r>
        <w:rPr>
          <w:bCs/>
        </w:rPr>
        <w:t xml:space="preserve">  The results also indicate that every additional km walked increases the interval width by 0.7min.  This contrasts with the observation above that walking is the most reliable mode of transport, but can reflect that trips that involve more interchanges also require more walking, and </w:t>
      </w:r>
      <w:r w:rsidR="009E24B3">
        <w:rPr>
          <w:bCs/>
        </w:rPr>
        <w:t xml:space="preserve">the coefficient for distance walked reflects the increased vulnerability of trips with more interchanges to being disrupted at any single point </w:t>
      </w:r>
      <w:proofErr w:type="spellStart"/>
      <w:r w:rsidR="009E24B3">
        <w:rPr>
          <w:bCs/>
        </w:rPr>
        <w:t>en</w:t>
      </w:r>
      <w:proofErr w:type="spellEnd"/>
      <w:r w:rsidR="009E24B3">
        <w:rPr>
          <w:bCs/>
        </w:rPr>
        <w:t xml:space="preserve"> route.</w:t>
      </w:r>
    </w:p>
    <w:p w14:paraId="27A93873" w14:textId="781A0669" w:rsidR="009E24B3" w:rsidRDefault="0017381D" w:rsidP="004C3000">
      <w:pPr>
        <w:pStyle w:val="NoSpacing"/>
        <w:spacing w:line="480" w:lineRule="auto"/>
        <w:ind w:firstLine="567"/>
        <w:jc w:val="both"/>
        <w:rPr>
          <w:bCs/>
        </w:rPr>
      </w:pPr>
      <w:r>
        <w:rPr>
          <w:bCs/>
        </w:rPr>
        <w:lastRenderedPageBreak/>
        <w:t>However, because all the MSOAs are connected to each other via the same transport network, it is not true that the interval widths for all trips are mutually independent of each other.  For instance, two MSOAs that are located along the same rail line leading to the City can be expected to have similar interval widths for trips ending in the City, as both will be affected by any disruptions along that line.  One way to deal with such correlations among the dependent variables is to use a spatially autoregressive model, in which the value of the dependent variable in each area depends on the mean of the value of the dependent variable in its neighbours.  To implement this, I first obtain for each MSOA a vector of travel times</w:t>
      </w:r>
      <w:r w:rsidR="004417C5">
        <w:rPr>
          <w:bCs/>
        </w:rPr>
        <w:t xml:space="preserve">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sidR="004417C5">
        <w:rPr>
          <w:bCs/>
        </w:rPr>
        <w:t>similar to</w:t>
      </w:r>
      <w:proofErr w:type="gramEnd"/>
      <w:r w:rsidR="004417C5">
        <w:rPr>
          <w:bCs/>
        </w:rPr>
        <w:t xml:space="preserve"> those of the MSOA in question, assuming all services run as scheduled.  Then, for each trip originating from the MSOA in question and terminating at each of the 7 destinations, I calculate the mean of the interval widths for trips starting from the 3 neighbours and ending at the same destination.  I then include this local mean as a covariate in the linear regression model.</w:t>
      </w:r>
    </w:p>
    <w:p w14:paraId="50FE73DB" w14:textId="7810B9EB" w:rsidR="004417C5" w:rsidRDefault="004417C5" w:rsidP="004C3000">
      <w:pPr>
        <w:pStyle w:val="NoSpacing"/>
        <w:spacing w:line="480" w:lineRule="auto"/>
        <w:ind w:firstLine="567"/>
        <w:jc w:val="both"/>
        <w:rPr>
          <w:bCs/>
        </w:rPr>
      </w:pPr>
      <w:r>
        <w:rPr>
          <w:bCs/>
        </w:rPr>
        <w:t xml:space="preserve">Column 2 in Table XX presents the results for this model.  As expected, the inclusion of the local mean as a covariate significantly improves the fit of the model, as it allows it to better capture the correlation between the interval widths of MSOAs that arise due to their locations in the transport network.  Specifically, for every additional minute in the local mean interval width, the interval width of the MSOA in question tends to increase by 0.6min.  The inclusion of the local mean also reduces the estimated coefficient sizes for the other covariates, by about 40% for bus and 70% for National Rail and Overground.  However, the coefficients still indicate that bus is the least reliable mode, followed by National Rail.  Interestingly, the coefficient for distance walked is now no longer statistically significantly different from 0, indicating that the coefficient </w:t>
      </w:r>
      <w:proofErr w:type="gramStart"/>
      <w:r>
        <w:rPr>
          <w:bCs/>
        </w:rPr>
        <w:t>estimate</w:t>
      </w:r>
      <w:proofErr w:type="gramEnd"/>
      <w:r>
        <w:rPr>
          <w:bCs/>
        </w:rPr>
        <w:t xml:space="preserve"> for walking obtained from the previous model was indeed due to the network effects</w:t>
      </w:r>
      <w:r w:rsidR="008C4D5E">
        <w:rPr>
          <w:bCs/>
        </w:rPr>
        <w:t xml:space="preserve"> from trips involving more interchanges being more vulnerable to disruption.  Finally, increasing travel by tram seems to decrease </w:t>
      </w:r>
      <w:r w:rsidR="008C4D5E">
        <w:rPr>
          <w:bCs/>
        </w:rPr>
        <w:lastRenderedPageBreak/>
        <w:t xml:space="preserve">interval widths.  In London, trams tend to run on segregated rights of way, and thus may not be as vulnerable to disruptions as buses or trams in other cities that run in mixed traffic.  However, because trams only serve areas in southern London and run </w:t>
      </w:r>
      <w:proofErr w:type="spellStart"/>
      <w:r w:rsidR="008C4D5E">
        <w:rPr>
          <w:bCs/>
        </w:rPr>
        <w:t>orbitally</w:t>
      </w:r>
      <w:proofErr w:type="spellEnd"/>
      <w:r w:rsidR="008C4D5E">
        <w:rPr>
          <w:bCs/>
        </w:rPr>
        <w:t>, they do not play a significant role in most residents’ commutes.</w:t>
      </w:r>
    </w:p>
    <w:p w14:paraId="34B96CF3" w14:textId="74983FCA" w:rsidR="008C4D5E" w:rsidRDefault="00DD7F6F" w:rsidP="004C3000">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particularly unreliable in the southeast).  To investigate this, we can use </w:t>
      </w:r>
      <w:proofErr w:type="gramStart"/>
      <w:r>
        <w:rPr>
          <w:bCs/>
        </w:rPr>
        <w:t>locally-weighted</w:t>
      </w:r>
      <w:proofErr w:type="gramEnd"/>
      <w:r>
        <w:rPr>
          <w:bCs/>
        </w:rPr>
        <w:t xml:space="preserve"> regression, which uses only the </w:t>
      </w:r>
      <w:r w:rsidR="00781288">
        <w:rPr>
          <w:bCs/>
        </w:rPr>
        <w:t xml:space="preserve">trips originating from the </w:t>
      </w:r>
      <w:r>
        <w:rPr>
          <w:bCs/>
        </w:rPr>
        <w:t xml:space="preserve">closest neighbours for each MSOA </w:t>
      </w:r>
      <w:r w:rsidR="00781288">
        <w:rPr>
          <w:bCs/>
        </w:rPr>
        <w:t xml:space="preserve">and ending in the 7 destinations </w:t>
      </w:r>
      <w:r>
        <w:rPr>
          <w:bCs/>
        </w:rPr>
        <w:t xml:space="preserve">to fit a linear regression model to generate one estimate for each coefficient for each MSOA.  I define the 30 MSOAs whose travel times to the 7 destinations are most </w:t>
      </w:r>
      <w:proofErr w:type="gramStart"/>
      <w:r>
        <w:rPr>
          <w:bCs/>
        </w:rPr>
        <w:t>similar to</w:t>
      </w:r>
      <w:proofErr w:type="gramEnd"/>
      <w:r>
        <w:rPr>
          <w:bCs/>
        </w:rPr>
        <w:t xml:space="preserve"> those of the MSOA in question as neighbours of that MSOA.  Figure XX displays for Stratford,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58146DE6" w14:textId="6BD56FC6" w:rsidR="00DD7F6F" w:rsidRDefault="00DD7F6F" w:rsidP="004C3000">
      <w:pPr>
        <w:pStyle w:val="NoSpacing"/>
        <w:spacing w:line="480" w:lineRule="auto"/>
        <w:ind w:firstLine="567"/>
        <w:jc w:val="both"/>
        <w:rPr>
          <w:bCs/>
        </w:rPr>
      </w:pPr>
      <w:r>
        <w:rPr>
          <w:bCs/>
        </w:rPr>
        <w:t xml:space="preserve">Column 3 in Table XX displays </w:t>
      </w:r>
      <w:r w:rsidR="00781288">
        <w:rPr>
          <w:bCs/>
        </w:rPr>
        <w:t xml:space="preserve">a summary of the distributions of the coefficient estimates for each covariate obtained from the locally weighted regression.  The distribution of local estimates contains the global estimates from Column </w:t>
      </w:r>
      <w:proofErr w:type="gramStart"/>
      <w:r w:rsidR="00781288">
        <w:rPr>
          <w:bCs/>
        </w:rPr>
        <w:t>2, but</w:t>
      </w:r>
      <w:proofErr w:type="gramEnd"/>
      <w:r w:rsidR="00781288">
        <w:rPr>
          <w:bCs/>
        </w:rPr>
        <w:t xml:space="preserve"> demonstrates that the mode-specific effects may vary quite significantly.  </w:t>
      </w:r>
      <w:r w:rsidR="00E9617A">
        <w:rPr>
          <w:bCs/>
        </w:rPr>
        <w:t>Figure XX maps out the R</w:t>
      </w:r>
      <w:r w:rsidR="00E9617A" w:rsidRPr="00E9617A">
        <w:rPr>
          <w:bCs/>
          <w:vertAlign w:val="superscript"/>
        </w:rPr>
        <w:t>2</w:t>
      </w:r>
      <w:r w:rsidR="00E9617A">
        <w:rPr>
          <w:bCs/>
        </w:rPr>
        <w:t xml:space="preserve"> values for the locally fitted regression models, and Figure XX maps out the p-values for each coefficient estimate for each MSOA.  Further, </w:t>
      </w:r>
      <w:r w:rsidR="00781288">
        <w:rPr>
          <w:bCs/>
        </w:rPr>
        <w:t>Figure XX maps out the coefficient estimates for each covariate and each MSOA.  Green shades indicate that a mode contributes less to travel time variability in that MSOA, while red shades indicate that the mode contributes more to travel time variability.  Grey MSOAs indicate where the coefficient estimates were not statistically significantly different from 0.</w:t>
      </w:r>
    </w:p>
    <w:p w14:paraId="7D8516F3" w14:textId="36378AE7" w:rsidR="00781288" w:rsidRDefault="00E9617A" w:rsidP="004C3000">
      <w:pPr>
        <w:pStyle w:val="NoSpacing"/>
        <w:spacing w:line="480" w:lineRule="auto"/>
        <w:ind w:firstLine="567"/>
        <w:jc w:val="both"/>
        <w:rPr>
          <w:bCs/>
        </w:rPr>
      </w:pPr>
      <w:r>
        <w:rPr>
          <w:bCs/>
        </w:rPr>
        <w:t>Overall, travel by tube, tram and Docklands Light Railway tends to reduce interval widths, reinforcing the finding that these rail-based modes are most reliable.  Also</w:t>
      </w:r>
      <w:r w:rsidR="00781288">
        <w:rPr>
          <w:bCs/>
        </w:rPr>
        <w:t xml:space="preserve">, there are areas near the outskirts of the GLA area and in a western wedge where travel </w:t>
      </w:r>
      <w:r>
        <w:rPr>
          <w:bCs/>
        </w:rPr>
        <w:t xml:space="preserve">by bus </w:t>
      </w:r>
      <w:r w:rsidR="00781288">
        <w:rPr>
          <w:bCs/>
        </w:rPr>
        <w:t xml:space="preserve">seems quite reliable.  However, </w:t>
      </w:r>
      <w:r w:rsidR="00781288">
        <w:rPr>
          <w:bCs/>
        </w:rPr>
        <w:lastRenderedPageBreak/>
        <w:t>in a swath of MSOAs running from the northeast to the south, bus travel seems to contribute disproportionately more to travel time variability.  This could reflect the effect of bus congestion, particularly around the City, where too many buses each with few passengers could lead to slow and irregular services.</w:t>
      </w:r>
    </w:p>
    <w:p w14:paraId="2805D418" w14:textId="58950035" w:rsidR="00781288" w:rsidRDefault="00781288" w:rsidP="004C3000">
      <w:pPr>
        <w:pStyle w:val="NoSpacing"/>
        <w:spacing w:line="480" w:lineRule="auto"/>
        <w:ind w:firstLine="567"/>
        <w:jc w:val="both"/>
        <w:rPr>
          <w:bCs/>
        </w:rPr>
      </w:pPr>
      <w:r>
        <w:rPr>
          <w:bCs/>
        </w:rPr>
        <w:t xml:space="preserve">The results for National Rail are also interesting.  Firstly, </w:t>
      </w:r>
      <w:r w:rsidR="007A3E93">
        <w:rPr>
          <w:bCs/>
        </w:rPr>
        <w:t xml:space="preserve">as mentioned previously, </w:t>
      </w:r>
      <w:r>
        <w:rPr>
          <w:bCs/>
        </w:rPr>
        <w:t>travel by National Rail in the south and southeast seems to disproportionately contribute to travel time variability in those areas</w:t>
      </w:r>
      <w:r w:rsidR="007A3E93">
        <w:rPr>
          <w:bCs/>
        </w:rPr>
        <w:t xml:space="preserve">.  However, travel on National Rail also seems to increase travel time variability more in the northwest and northeast.  This could be because National Rail lines from these areas terminate outside the City of London (at stations like Paddington, Marylebone, Kings Cross, Moorgate and Liverpool Street) and do not provide interchanges to orbital routes.  Thus, passengers travelling via National Rail from these areas to any of the 7 destinations probably need to interchange at these terminals for more onward travel via tube or local bus services.  This interchanging may make these trips more vulnerable to disruption.  Finally, although travel by National Rail does tend to increase travel time variability overall, there are isolated locations in the southwest and the north where National Rail is dependable enough to </w:t>
      </w:r>
      <w:proofErr w:type="gramStart"/>
      <w:r w:rsidR="007A3E93">
        <w:rPr>
          <w:bCs/>
        </w:rPr>
        <w:t>actually reduce</w:t>
      </w:r>
      <w:proofErr w:type="gramEnd"/>
      <w:r w:rsidR="007A3E93">
        <w:rPr>
          <w:bCs/>
        </w:rPr>
        <w:t xml:space="preserve"> interval widths.</w:t>
      </w:r>
    </w:p>
    <w:p w14:paraId="6735C519" w14:textId="2D64E5EA" w:rsidR="007A3E93" w:rsidRDefault="007A3E93" w:rsidP="004C3000">
      <w:pPr>
        <w:pStyle w:val="NoSpacing"/>
        <w:spacing w:line="480" w:lineRule="auto"/>
        <w:ind w:firstLine="567"/>
        <w:jc w:val="both"/>
        <w:rPr>
          <w:bCs/>
        </w:rPr>
      </w:pPr>
      <w:r>
        <w:rPr>
          <w:bCs/>
        </w:rPr>
        <w:t>The results for Overground travel indicate that the Overground seems less reliable north of the Thames and more reliable in the south.  This seems to make sense, as north of the Thames, tube services are much more available and reliable, while south of the Thames, where tube coverage is worse, the Overground may be an effective and more reliable alternative to less reliable National Rail and bus services.</w:t>
      </w:r>
      <w:r w:rsidR="00E9617A">
        <w:rPr>
          <w:bCs/>
        </w:rPr>
        <w:t xml:space="preserve">  For the new TfL Rail service, the western sector seems to be particularly unreliable.</w:t>
      </w:r>
    </w:p>
    <w:p w14:paraId="0DEBCC09" w14:textId="762DE521" w:rsidR="00E9617A" w:rsidRDefault="00E9617A" w:rsidP="004C3000">
      <w:pPr>
        <w:pStyle w:val="NoSpacing"/>
        <w:spacing w:line="480" w:lineRule="auto"/>
        <w:ind w:firstLine="567"/>
        <w:jc w:val="both"/>
        <w:rPr>
          <w:bCs/>
        </w:rPr>
      </w:pPr>
      <w:r>
        <w:rPr>
          <w:bCs/>
        </w:rPr>
        <w:t>Finally, while walking may not have a statistically significant effect on travel time variability at the global level, there are locations with significant local effects.  In the north, northeast and southwest, increasing distance walked tends to increase travel time variability, probably reflecting that trips from these areas to the 7 destinations tend to require more interchanging.  In the southeast, however, increasing walking decreases travel time variability; it seems that rail and bus services in these areas are so unreliable that commuters who walk more may have more reliable travel times.</w:t>
      </w:r>
    </w:p>
    <w:p w14:paraId="59BC19E6" w14:textId="203A7096" w:rsidR="00E9617A" w:rsidRDefault="00E9617A" w:rsidP="004C3000">
      <w:pPr>
        <w:pStyle w:val="NoSpacing"/>
        <w:spacing w:line="480" w:lineRule="auto"/>
        <w:ind w:firstLine="567"/>
        <w:jc w:val="both"/>
        <w:rPr>
          <w:bCs/>
        </w:rPr>
      </w:pPr>
    </w:p>
    <w:p w14:paraId="7CFDF0C6" w14:textId="559A08FD" w:rsidR="00E9617A" w:rsidRPr="00E9617A" w:rsidRDefault="00E9617A" w:rsidP="00E9617A">
      <w:pPr>
        <w:pStyle w:val="NoSpacing"/>
        <w:spacing w:line="480" w:lineRule="auto"/>
        <w:jc w:val="both"/>
        <w:rPr>
          <w:bCs/>
          <w:i/>
          <w:iCs/>
        </w:rPr>
      </w:pPr>
      <w:r>
        <w:rPr>
          <w:bCs/>
          <w:i/>
          <w:iCs/>
        </w:rPr>
        <w:t>Reliability of Travel Modes and Social Deprivation Levels of MSOAs</w:t>
      </w:r>
    </w:p>
    <w:p w14:paraId="7919BF39" w14:textId="15842FAC" w:rsidR="00E9617A" w:rsidRDefault="00151596" w:rsidP="004C3000">
      <w:pPr>
        <w:pStyle w:val="NoSpacing"/>
        <w:spacing w:line="480" w:lineRule="auto"/>
        <w:ind w:firstLine="567"/>
        <w:jc w:val="both"/>
        <w:rPr>
          <w:bCs/>
        </w:rPr>
      </w:pPr>
      <w:r>
        <w:rPr>
          <w:bCs/>
        </w:rPr>
        <w:t>A final question to investigate is the extent to which areas that where certain travel modes are particularly unreliable are also socially disadvantaged.  Again, I carry out a K-means clustering analysis using the MSOA-level coefficient estimates from the locally weighted regression (considering only the estimates for the intercept, local mean interval width, bus, National Rail, tube and walking, since estimates for other covariates are not available for some MSOAs) and the MSOA-level IMD rank.  The results for 6 clusters are shown in Figure XX.</w:t>
      </w:r>
    </w:p>
    <w:p w14:paraId="019695E3" w14:textId="46CFA48F" w:rsidR="00151596" w:rsidRDefault="00151596" w:rsidP="004C3000">
      <w:pPr>
        <w:pStyle w:val="NoSpacing"/>
        <w:spacing w:line="480" w:lineRule="auto"/>
        <w:ind w:firstLine="567"/>
        <w:jc w:val="both"/>
        <w:rPr>
          <w:bCs/>
        </w:rPr>
      </w:pPr>
      <w:r>
        <w:rPr>
          <w:bCs/>
        </w:rPr>
        <w:t xml:space="preserve">Cluster 1 immediately stands out as the MSOAs where National Rail services are particularly unreliable.  These are areas served by Southern and </w:t>
      </w:r>
      <w:proofErr w:type="spellStart"/>
      <w:r>
        <w:rPr>
          <w:bCs/>
        </w:rPr>
        <w:t>Southeastern</w:t>
      </w:r>
      <w:proofErr w:type="spellEnd"/>
      <w:r>
        <w:rPr>
          <w:bCs/>
        </w:rPr>
        <w:t xml:space="preserve"> services, which are known to have reliability issues.  Clusters 0 and 4 tend to contain MSOAs with lower IMD ranks and thus higher social deprivation.  Cluster 0 tends to have lower coefficient estimates for the mode-specific contributions to interval widths, indicating that travel by bus, tube, National Rail and walking in these areas tends to be reliable.  On the other hand, Cluster 4 has higher coefficient estimates for distance travelled by bus and National Rail, indicating that these MSOAs are burdened by both high social deprivation and unreliable travel by these modes.  Finally, Clusters 3 and 5 tend to contain less deprived MSOAs, with MSOAs in Cluster 5 having more reliable National Rail services than those in Cluster 3.</w:t>
      </w:r>
    </w:p>
    <w:p w14:paraId="26E8ECF3" w14:textId="50D6E870" w:rsidR="009C4B84" w:rsidRDefault="009C4B84" w:rsidP="004C3000">
      <w:pPr>
        <w:pStyle w:val="NoSpacing"/>
        <w:spacing w:line="480" w:lineRule="auto"/>
        <w:ind w:firstLine="567"/>
        <w:jc w:val="both"/>
        <w:rPr>
          <w:bCs/>
        </w:rPr>
      </w:pPr>
    </w:p>
    <w:p w14:paraId="5F9FF970" w14:textId="385F423B" w:rsidR="009C4B84" w:rsidRPr="009C4B84" w:rsidRDefault="009C4B84" w:rsidP="009C4B84">
      <w:pPr>
        <w:pStyle w:val="NoSpacing"/>
        <w:spacing w:line="480" w:lineRule="auto"/>
        <w:jc w:val="both"/>
        <w:rPr>
          <w:b/>
        </w:rPr>
      </w:pPr>
      <w:r>
        <w:rPr>
          <w:b/>
        </w:rPr>
        <w:t>Discussion</w:t>
      </w:r>
    </w:p>
    <w:p w14:paraId="50FEAC1C" w14:textId="77777777" w:rsidR="009C4B84" w:rsidRPr="004B65AB" w:rsidRDefault="009C4B84"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lastRenderedPageBreak/>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lastRenderedPageBreak/>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8F013" w14:textId="77777777" w:rsidR="00ED7267" w:rsidRDefault="00ED7267" w:rsidP="00736D38">
      <w:pPr>
        <w:spacing w:after="0" w:line="240" w:lineRule="auto"/>
      </w:pPr>
      <w:r>
        <w:separator/>
      </w:r>
    </w:p>
  </w:endnote>
  <w:endnote w:type="continuationSeparator" w:id="0">
    <w:p w14:paraId="087F51F7" w14:textId="77777777" w:rsidR="00ED7267" w:rsidRDefault="00ED7267"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8C0051" w:rsidRDefault="008C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8C0051" w:rsidRDefault="008C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796C9" w14:textId="77777777" w:rsidR="00ED7267" w:rsidRDefault="00ED7267" w:rsidP="00736D38">
      <w:pPr>
        <w:spacing w:after="0" w:line="240" w:lineRule="auto"/>
      </w:pPr>
      <w:r>
        <w:separator/>
      </w:r>
    </w:p>
  </w:footnote>
  <w:footnote w:type="continuationSeparator" w:id="0">
    <w:p w14:paraId="677F260A" w14:textId="77777777" w:rsidR="00ED7267" w:rsidRDefault="00ED7267" w:rsidP="00736D38">
      <w:pPr>
        <w:spacing w:after="0" w:line="240" w:lineRule="auto"/>
      </w:pPr>
      <w:r>
        <w:continuationSeparator/>
      </w:r>
    </w:p>
  </w:footnote>
  <w:footnote w:id="1">
    <w:p w14:paraId="60F55AB9" w14:textId="77777777" w:rsidR="00975A95" w:rsidRDefault="00975A95"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467AD"/>
    <w:rsid w:val="00057AA8"/>
    <w:rsid w:val="0006340E"/>
    <w:rsid w:val="000851C1"/>
    <w:rsid w:val="00092E3A"/>
    <w:rsid w:val="000A7BBD"/>
    <w:rsid w:val="000C58FC"/>
    <w:rsid w:val="000D2847"/>
    <w:rsid w:val="000E6C57"/>
    <w:rsid w:val="0011043B"/>
    <w:rsid w:val="00113AE6"/>
    <w:rsid w:val="0012120F"/>
    <w:rsid w:val="00124E28"/>
    <w:rsid w:val="0012696A"/>
    <w:rsid w:val="00136E83"/>
    <w:rsid w:val="00137B56"/>
    <w:rsid w:val="001467F4"/>
    <w:rsid w:val="00151596"/>
    <w:rsid w:val="00157074"/>
    <w:rsid w:val="0017034A"/>
    <w:rsid w:val="00170EE3"/>
    <w:rsid w:val="0017381D"/>
    <w:rsid w:val="00175E79"/>
    <w:rsid w:val="00180EBE"/>
    <w:rsid w:val="00191F95"/>
    <w:rsid w:val="001F0E9E"/>
    <w:rsid w:val="001F317E"/>
    <w:rsid w:val="00221FC7"/>
    <w:rsid w:val="0022295E"/>
    <w:rsid w:val="0022453B"/>
    <w:rsid w:val="00230F8A"/>
    <w:rsid w:val="0024246D"/>
    <w:rsid w:val="00244C07"/>
    <w:rsid w:val="00252AA7"/>
    <w:rsid w:val="00287A1C"/>
    <w:rsid w:val="00291DEA"/>
    <w:rsid w:val="002B027C"/>
    <w:rsid w:val="002B0A1B"/>
    <w:rsid w:val="002D06D1"/>
    <w:rsid w:val="002D584E"/>
    <w:rsid w:val="002E461B"/>
    <w:rsid w:val="002F1386"/>
    <w:rsid w:val="0032066E"/>
    <w:rsid w:val="00327BE2"/>
    <w:rsid w:val="0035693A"/>
    <w:rsid w:val="00357952"/>
    <w:rsid w:val="003713CD"/>
    <w:rsid w:val="003A3F90"/>
    <w:rsid w:val="003B767A"/>
    <w:rsid w:val="003C19BD"/>
    <w:rsid w:val="003D7F1C"/>
    <w:rsid w:val="004200C5"/>
    <w:rsid w:val="0042704F"/>
    <w:rsid w:val="00427430"/>
    <w:rsid w:val="0043035B"/>
    <w:rsid w:val="004417C5"/>
    <w:rsid w:val="00442B84"/>
    <w:rsid w:val="00442BD6"/>
    <w:rsid w:val="00462799"/>
    <w:rsid w:val="00480FBF"/>
    <w:rsid w:val="00483FB3"/>
    <w:rsid w:val="00486A88"/>
    <w:rsid w:val="00492291"/>
    <w:rsid w:val="004B65AB"/>
    <w:rsid w:val="004C3000"/>
    <w:rsid w:val="004C7462"/>
    <w:rsid w:val="004D23AF"/>
    <w:rsid w:val="004E6D33"/>
    <w:rsid w:val="004F00F2"/>
    <w:rsid w:val="00520975"/>
    <w:rsid w:val="00546319"/>
    <w:rsid w:val="00553E85"/>
    <w:rsid w:val="00560CF6"/>
    <w:rsid w:val="00571146"/>
    <w:rsid w:val="005C3FD5"/>
    <w:rsid w:val="005D1934"/>
    <w:rsid w:val="005E3D53"/>
    <w:rsid w:val="005F790A"/>
    <w:rsid w:val="00602C7A"/>
    <w:rsid w:val="006034DE"/>
    <w:rsid w:val="00633400"/>
    <w:rsid w:val="006512A7"/>
    <w:rsid w:val="0066560E"/>
    <w:rsid w:val="00672CDD"/>
    <w:rsid w:val="00696395"/>
    <w:rsid w:val="006A4F83"/>
    <w:rsid w:val="006D3389"/>
    <w:rsid w:val="006E7AA6"/>
    <w:rsid w:val="006F0A20"/>
    <w:rsid w:val="006F37E8"/>
    <w:rsid w:val="00736D38"/>
    <w:rsid w:val="00745A30"/>
    <w:rsid w:val="007665BA"/>
    <w:rsid w:val="00781288"/>
    <w:rsid w:val="007920FF"/>
    <w:rsid w:val="007949A2"/>
    <w:rsid w:val="007A3E93"/>
    <w:rsid w:val="007B2AFA"/>
    <w:rsid w:val="007C1C7E"/>
    <w:rsid w:val="007D23F5"/>
    <w:rsid w:val="007D401F"/>
    <w:rsid w:val="008124AD"/>
    <w:rsid w:val="00822C10"/>
    <w:rsid w:val="008410FA"/>
    <w:rsid w:val="008464C1"/>
    <w:rsid w:val="00855F70"/>
    <w:rsid w:val="008622BD"/>
    <w:rsid w:val="00863793"/>
    <w:rsid w:val="0088101E"/>
    <w:rsid w:val="00881464"/>
    <w:rsid w:val="00885322"/>
    <w:rsid w:val="0088686C"/>
    <w:rsid w:val="008A13DE"/>
    <w:rsid w:val="008A15BC"/>
    <w:rsid w:val="008A649D"/>
    <w:rsid w:val="008A7373"/>
    <w:rsid w:val="008B6B72"/>
    <w:rsid w:val="008C0051"/>
    <w:rsid w:val="008C4D5E"/>
    <w:rsid w:val="008D5EE9"/>
    <w:rsid w:val="008E598F"/>
    <w:rsid w:val="008F45B2"/>
    <w:rsid w:val="009065D9"/>
    <w:rsid w:val="00907807"/>
    <w:rsid w:val="00931B20"/>
    <w:rsid w:val="00975A95"/>
    <w:rsid w:val="009933A7"/>
    <w:rsid w:val="00994487"/>
    <w:rsid w:val="009A2C18"/>
    <w:rsid w:val="009A759F"/>
    <w:rsid w:val="009C3B12"/>
    <w:rsid w:val="009C4B84"/>
    <w:rsid w:val="009D3B9B"/>
    <w:rsid w:val="009E24B3"/>
    <w:rsid w:val="009F1861"/>
    <w:rsid w:val="00A304F4"/>
    <w:rsid w:val="00A444BA"/>
    <w:rsid w:val="00A45594"/>
    <w:rsid w:val="00A6668E"/>
    <w:rsid w:val="00A67083"/>
    <w:rsid w:val="00A72A3D"/>
    <w:rsid w:val="00A82C99"/>
    <w:rsid w:val="00A83414"/>
    <w:rsid w:val="00A8591D"/>
    <w:rsid w:val="00A86C01"/>
    <w:rsid w:val="00A90ED6"/>
    <w:rsid w:val="00AC1D15"/>
    <w:rsid w:val="00AE5E77"/>
    <w:rsid w:val="00B00D14"/>
    <w:rsid w:val="00B25CFC"/>
    <w:rsid w:val="00B4229E"/>
    <w:rsid w:val="00B53D91"/>
    <w:rsid w:val="00B635DE"/>
    <w:rsid w:val="00B63F7A"/>
    <w:rsid w:val="00B643CE"/>
    <w:rsid w:val="00B84F1E"/>
    <w:rsid w:val="00B93BDD"/>
    <w:rsid w:val="00B94D60"/>
    <w:rsid w:val="00BA2A11"/>
    <w:rsid w:val="00BA34F1"/>
    <w:rsid w:val="00BA6B5F"/>
    <w:rsid w:val="00BA730E"/>
    <w:rsid w:val="00BD0BE2"/>
    <w:rsid w:val="00BD5A12"/>
    <w:rsid w:val="00BE293C"/>
    <w:rsid w:val="00BE5A60"/>
    <w:rsid w:val="00BF4A99"/>
    <w:rsid w:val="00C22C1F"/>
    <w:rsid w:val="00C25D04"/>
    <w:rsid w:val="00C25DE1"/>
    <w:rsid w:val="00C3055A"/>
    <w:rsid w:val="00C355AC"/>
    <w:rsid w:val="00C3794A"/>
    <w:rsid w:val="00C56364"/>
    <w:rsid w:val="00C76EAA"/>
    <w:rsid w:val="00C80A16"/>
    <w:rsid w:val="00C81CBB"/>
    <w:rsid w:val="00C828C4"/>
    <w:rsid w:val="00CA08A3"/>
    <w:rsid w:val="00CD52D2"/>
    <w:rsid w:val="00CF0BE6"/>
    <w:rsid w:val="00CF34BC"/>
    <w:rsid w:val="00D03B46"/>
    <w:rsid w:val="00D16D0D"/>
    <w:rsid w:val="00D239AC"/>
    <w:rsid w:val="00D34CE7"/>
    <w:rsid w:val="00D4597E"/>
    <w:rsid w:val="00D470BF"/>
    <w:rsid w:val="00D964E9"/>
    <w:rsid w:val="00DA1575"/>
    <w:rsid w:val="00DD6292"/>
    <w:rsid w:val="00DD7F6F"/>
    <w:rsid w:val="00DF3A66"/>
    <w:rsid w:val="00DF4279"/>
    <w:rsid w:val="00DF4401"/>
    <w:rsid w:val="00E06642"/>
    <w:rsid w:val="00E12EA9"/>
    <w:rsid w:val="00E26C23"/>
    <w:rsid w:val="00E42C92"/>
    <w:rsid w:val="00E543E6"/>
    <w:rsid w:val="00E84342"/>
    <w:rsid w:val="00E9110B"/>
    <w:rsid w:val="00E9617A"/>
    <w:rsid w:val="00E97BB5"/>
    <w:rsid w:val="00EA23AD"/>
    <w:rsid w:val="00EA40EB"/>
    <w:rsid w:val="00EB6328"/>
    <w:rsid w:val="00EC2065"/>
    <w:rsid w:val="00EC3463"/>
    <w:rsid w:val="00ED7267"/>
    <w:rsid w:val="00EE7D18"/>
    <w:rsid w:val="00EF0FC3"/>
    <w:rsid w:val="00EF6BF3"/>
    <w:rsid w:val="00F2270D"/>
    <w:rsid w:val="00F64297"/>
    <w:rsid w:val="00F77821"/>
    <w:rsid w:val="00F9176B"/>
    <w:rsid w:val="00F97A21"/>
    <w:rsid w:val="00FA21C6"/>
    <w:rsid w:val="00FB0347"/>
    <w:rsid w:val="00FB6237"/>
    <w:rsid w:val="00FD6228"/>
    <w:rsid w:val="00FE0648"/>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29</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18</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24</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23</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22</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26</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27</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28</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16</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21</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20</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19</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1E78C78E-AF31-4D74-9546-75E73D40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7477</TotalTime>
  <Pages>23</Pages>
  <Words>7879</Words>
  <Characters>44916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38</cp:revision>
  <dcterms:created xsi:type="dcterms:W3CDTF">2019-04-25T13:10:00Z</dcterms:created>
  <dcterms:modified xsi:type="dcterms:W3CDTF">2019-07-16T17:33:00Z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