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542C1D08"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2B0A1B">
        <w:t xml:space="preserve">high levels </w:t>
      </w:r>
      <w:r>
        <w:t xml:space="preserve">of 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D964E9" w:rsidRPr="00D4597E">
        <w:rPr>
          <w:iCs/>
        </w:rPr>
        <w:t>inequality</w:t>
      </w:r>
      <w:r w:rsidR="00D964E9">
        <w:t xml:space="preserve"> also tends to be greatest in cities</w:t>
      </w:r>
      <w:r w:rsidR="00A72A3D">
        <w:t xml:space="preserve">, as </w:t>
      </w:r>
      <w:r w:rsidR="00D964E9">
        <w:t>people</w:t>
      </w:r>
      <w:r w:rsidR="00A72A3D">
        <w:t xml:space="preserve"> </w:t>
      </w:r>
      <w:r w:rsidR="004E6D33">
        <w:t xml:space="preserve">embedded in different network locations </w:t>
      </w:r>
      <w:r w:rsidR="00A72A3D">
        <w:t xml:space="preserve">experience different levels of </w:t>
      </w:r>
      <w:r w:rsidR="002B0A1B">
        <w:t xml:space="preserve">connectivity </w:t>
      </w:r>
      <w:r w:rsidR="00A72A3D">
        <w:t>to opportunities and resources</w:t>
      </w:r>
      <w:r w:rsidR="002B0A1B">
        <w:t>, which in turn leads to differentiated outcomes among individuals</w:t>
      </w:r>
      <w:r w:rsidR="00A72A3D">
        <w:t xml:space="preserve">.  </w:t>
      </w:r>
      <w:r w:rsidR="002B0A1B">
        <w:t xml:space="preserve">This can be tangibly seen in </w:t>
      </w:r>
      <w:r w:rsidR="00A72A3D">
        <w:t xml:space="preserve">how workers who live in different </w:t>
      </w:r>
      <w:r w:rsidR="00E84342">
        <w:t xml:space="preserve">neighbourhoods </w:t>
      </w:r>
      <w:r w:rsidR="00A72A3D">
        <w:t xml:space="preserve">experience </w:t>
      </w:r>
      <w:r w:rsidR="00057AA8">
        <w:t>unequal</w:t>
      </w:r>
      <w:r w:rsidR="00A72A3D">
        <w:t xml:space="preserve">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the situation may be more complicated as </w:t>
      </w:r>
      <w:r w:rsidR="00057AA8">
        <w:t xml:space="preserve">workers experience </w:t>
      </w:r>
      <w:r w:rsidR="00D4597E">
        <w:t xml:space="preserve">both </w:t>
      </w:r>
      <w:r w:rsidR="00057AA8">
        <w:t xml:space="preserve">lower accessibility </w:t>
      </w:r>
      <w:r w:rsidR="00D4597E">
        <w:t xml:space="preserve">and 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6DFB0BB5" w:rsidR="00E97BB5" w:rsidRDefault="00E97BB5" w:rsidP="00FE2BCF">
      <w:pPr>
        <w:pStyle w:val="NoSpacing"/>
        <w:spacing w:line="480" w:lineRule="auto"/>
        <w:ind w:firstLine="567"/>
        <w:jc w:val="both"/>
      </w:pPr>
      <w:r>
        <w:t>While the unevenness of job accessibility in cities has been widely studied in the literature,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is because data on transport connectivity with sufficiently fine spatial and temporal resolution to capture the effects of these factors on a day-to-day basis has only recently become freely available, particularly through real-time trip planning platforms.  This study leverages on this type of data source to incorporate </w:t>
      </w:r>
      <w:r w:rsidR="0017034A">
        <w:t>travel time variability in</w:t>
      </w:r>
      <w:r w:rsidR="009065D9">
        <w:t>to</w:t>
      </w:r>
      <w:r w:rsidR="0017034A">
        <w:t xml:space="preserve"> job accessibility analyses</w:t>
      </w:r>
      <w:r w:rsidR="00EB6328">
        <w:t>.</w:t>
      </w:r>
    </w:p>
    <w:p w14:paraId="44283B6D" w14:textId="5BF70D20" w:rsidR="00BA34F1" w:rsidRDefault="008F45B2" w:rsidP="0017034A">
      <w:pPr>
        <w:pStyle w:val="NoSpacing"/>
        <w:spacing w:line="480" w:lineRule="auto"/>
        <w:ind w:firstLine="567"/>
        <w:jc w:val="both"/>
      </w:pPr>
      <w:r>
        <w:t xml:space="preserve">In </w:t>
      </w:r>
      <w:r w:rsidR="00442BD6">
        <w:t>t</w:t>
      </w:r>
      <w:r w:rsidR="00BA34F1">
        <w:t>his study</w:t>
      </w:r>
      <w:r w:rsidR="00442BD6">
        <w:t xml:space="preserve">, </w:t>
      </w:r>
      <w:r w:rsidR="00D03B46">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with the aim of identifying areas that are burdened with high social disadvantage</w:t>
      </w:r>
      <w:r w:rsidR="00EB6328">
        <w:t xml:space="preserve">, poor accessibility to jobs and/or low travel time reliability.  In addition to demonstrating </w:t>
      </w:r>
      <w:r w:rsidR="009065D9">
        <w:t>a methodology to productively incorporate the novel angle of travel time variability into</w:t>
      </w:r>
      <w:r w:rsidR="00EB6328">
        <w:t xml:space="preserve"> accessibility analyses, the findings from this study can also be used to target</w:t>
      </w:r>
      <w:r w:rsidR="0017034A">
        <w:t xml:space="preserve"> public transport</w:t>
      </w:r>
      <w:r w:rsidR="00EB6328">
        <w:t xml:space="preserve"> improvements </w:t>
      </w:r>
      <w:r w:rsidR="0017034A">
        <w:t xml:space="preserve">to </w:t>
      </w:r>
      <w:r w:rsidR="0017034A">
        <w:lastRenderedPageBreak/>
        <w:t xml:space="preserve">increase </w:t>
      </w:r>
      <w:r w:rsidR="00EB6328">
        <w:t>accessibility to jobs and reliability of travel times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3A819946"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r w:rsidR="008A7373">
        <w:t xml:space="preserve">Deboosere &amp; El-Geneidy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A8591D">
        <w:rPr>
          <w:i/>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8A13DE">
        <w:rPr>
          <w:i/>
        </w:rPr>
        <w:t>in</w:t>
      </w:r>
      <w:r w:rsidR="00A8591D" w:rsidRPr="00A8591D">
        <w:rPr>
          <w:i/>
        </w:rPr>
        <w:t>equity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clearly sho</w:t>
      </w:r>
      <w:r>
        <w:t>ws</w:t>
      </w:r>
      <w:r w:rsidR="008A7373">
        <w:t xml:space="preserve"> that it is </w:t>
      </w:r>
      <w:r w:rsidR="00B53D91">
        <w:t xml:space="preserve">normal for </w:t>
      </w:r>
      <w:r w:rsidR="008A7373">
        <w:t xml:space="preserve">vast differences in </w:t>
      </w:r>
      <w:r w:rsidR="00553E85">
        <w:t xml:space="preserve">accessibility </w:t>
      </w:r>
      <w:r w:rsidR="002F1386">
        <w:t xml:space="preserve">levels </w:t>
      </w:r>
      <w:r w:rsidR="008A7373">
        <w:t xml:space="preserve">to exist </w:t>
      </w:r>
      <w:r w:rsidR="00B53D91">
        <w:t>within a city</w:t>
      </w:r>
      <w:r w:rsidR="00B25CFC">
        <w:t xml:space="preserve">.  </w:t>
      </w:r>
      <w:r w:rsidR="00B93BDD">
        <w:t xml:space="preserve">Also, </w:t>
      </w:r>
      <w:r w:rsidR="009065D9">
        <w:t xml:space="preserve">in poorer cities with less extensive public transport systems, </w:t>
      </w:r>
      <w:r w:rsidR="00BD0BE2">
        <w:t xml:space="preserve">disadvantaged </w:t>
      </w:r>
      <w:r w:rsidR="002F1386">
        <w:t xml:space="preserve">residents </w:t>
      </w:r>
      <w:r w:rsidR="00BD0BE2">
        <w:t xml:space="preserve">are </w:t>
      </w:r>
      <w:r w:rsidR="00B93BDD">
        <w:t xml:space="preserve">more </w:t>
      </w:r>
      <w:r w:rsidR="00BD0BE2">
        <w:t>likely to live in areas with poorer accessibility</w:t>
      </w:r>
      <w:r w:rsidR="00B53D91">
        <w:t>.</w:t>
      </w:r>
    </w:p>
    <w:p w14:paraId="52C18DB2" w14:textId="7FF4A0F9"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accessibility is uneven</w:t>
      </w:r>
      <w:r w:rsidR="009065D9">
        <w:t>ly distributed across space and different population segments</w:t>
      </w:r>
      <w:r>
        <w:t>.  In particular, low accessibility may significantly hinder disadvantaged residents’ access to jobs, healthcare, services, education and leisure, thereby constraining their options, increasing travel burdens, lowering quality of life and entrenching social disadvantage.  To make the situation fairer, authorities recommend targeting accessibility improvements to better connect areas with more disadvantaged residents to the opportunities they need.</w:t>
      </w:r>
    </w:p>
    <w:p w14:paraId="66D07C32" w14:textId="71977071"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to reflect the relative </w:t>
      </w:r>
      <w:r>
        <w:lastRenderedPageBreak/>
        <w:t>distribution of deprivation among small areas across a wide range of domains, including income, employment, health, education, crime, housing and the living environment</w:t>
      </w:r>
      <w:sdt>
        <w:sdtPr>
          <w:id w:val="-179664967"/>
          <w:citation/>
        </w:sdtPr>
        <w:sdtContent>
          <w:r>
            <w:fldChar w:fldCharType="begin"/>
          </w:r>
          <w:r>
            <w:instrText xml:space="preserve"> CITATION Dep15 \l 18441 </w:instrText>
          </w:r>
          <w:r>
            <w:fldChar w:fldCharType="separate"/>
          </w:r>
          <w:r>
            <w:rPr>
              <w:noProof/>
            </w:rPr>
            <w:t xml:space="preserve"> </w:t>
          </w:r>
          <w:r w:rsidRPr="00C25D04">
            <w:rPr>
              <w:noProof/>
            </w:rPr>
            <w:t>(Department for Housing, Communities and Local Government, 2015)</w:t>
          </w:r>
          <w:r>
            <w:fldChar w:fldCharType="end"/>
          </w:r>
        </w:sdtContent>
      </w:sdt>
      <w:r>
        <w:t xml:space="preserve">.  In this study, I use the IMD data to capture the relative deprivation of </w:t>
      </w:r>
      <w:r w:rsidR="008622BD">
        <w:t>different areas</w:t>
      </w:r>
      <w:r w:rsidR="000A7BBD">
        <w:t xml:space="preserve">, and will follow the </w:t>
      </w:r>
      <w:r w:rsidR="008A15BC">
        <w:t>DHCLG guidance to focus on the relative ranking of the areas by IMD index scores, rather than on the raw scores themselves</w:t>
      </w:r>
      <w:r>
        <w:t>.</w:t>
      </w:r>
    </w:p>
    <w:p w14:paraId="20B77236" w14:textId="2699F4B6" w:rsidR="00092E3A" w:rsidRDefault="00931B20" w:rsidP="009065D9">
      <w:pPr>
        <w:pStyle w:val="NoSpacing"/>
        <w:spacing w:line="480" w:lineRule="auto"/>
        <w:ind w:firstLine="567"/>
        <w:jc w:val="both"/>
        <w:rPr>
          <w:rFonts w:eastAsiaTheme="minorEastAsia"/>
        </w:rPr>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0467AD">
        <w:t xml:space="preserve">The </w:t>
      </w:r>
      <w:r w:rsidR="00EC2065">
        <w:t xml:space="preserve">“location-based” </w:t>
      </w:r>
      <w:r w:rsidR="00CF0BE6">
        <w:t>type</w:t>
      </w:r>
      <w:r w:rsidR="000467AD">
        <w:t>, which regards accessibility as a property of different areas,</w:t>
      </w:r>
      <w:r w:rsidR="00CF0BE6">
        <w:t xml:space="preserve"> </w:t>
      </w:r>
      <w:r w:rsidR="00EC2065">
        <w:t>is</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B93BDD">
        <w:t xml:space="preserve">One simple </w:t>
      </w:r>
      <w:r w:rsidR="00180EBE">
        <w:t xml:space="preserve">location-based 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180EBE">
        <w:t>express</w:t>
      </w:r>
      <w:r>
        <w:t>es</w:t>
      </w:r>
      <w:r w:rsidR="00180EBE">
        <w:t xml:space="preserve"> accessibility as </w:t>
      </w:r>
      <w:r w:rsidR="00137B56">
        <w:t xml:space="preserve">the </w:t>
      </w:r>
      <w:r w:rsidR="00553E85">
        <w:t xml:space="preserve">total </w:t>
      </w:r>
      <w:r w:rsidR="00137B56">
        <w:t xml:space="preserve">number of </w:t>
      </w:r>
      <w:r w:rsidR="00180EBE">
        <w:t xml:space="preserve">opportunities (in the case of this study, </w:t>
      </w:r>
      <w:r w:rsidR="00137B56">
        <w:t>jobs</w:t>
      </w:r>
      <w:r w:rsidR="00180EBE">
        <w:t>)</w:t>
      </w:r>
      <w:r w:rsidR="00137B56">
        <w:t xml:space="preserve"> that can potentially be reached from each </w:t>
      </w:r>
      <w:r w:rsidR="00B635DE" w:rsidRPr="001467F4">
        <w:t>area</w:t>
      </w:r>
      <w:r w:rsidR="00B635DE">
        <w:t>:</w:t>
      </w:r>
    </w:p>
    <w:p w14:paraId="6DE3A3D9" w14:textId="1FB93F20" w:rsidR="00B635DE"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e>
          </m:nary>
        </m:oMath>
      </m:oMathPara>
    </w:p>
    <w:p w14:paraId="26D33761" w14:textId="25C7E0BE" w:rsidR="003B767A" w:rsidRDefault="00B635DE"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the accessibility to jobs for area i,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is the number of jobs in area j,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is the cost (</w:t>
      </w:r>
      <w:r w:rsidR="00442B84">
        <w:rPr>
          <w:rFonts w:eastAsiaTheme="minorEastAsia"/>
        </w:rPr>
        <w:t xml:space="preserve">distance, </w:t>
      </w:r>
      <w:r>
        <w:rPr>
          <w:rFonts w:eastAsiaTheme="minorEastAsia"/>
        </w:rPr>
        <w:t xml:space="preserve">time </w:t>
      </w:r>
      <w:r w:rsidR="00442B84">
        <w:rPr>
          <w:rFonts w:eastAsiaTheme="minorEastAsia"/>
        </w:rPr>
        <w:t>and/</w:t>
      </w:r>
      <w:r>
        <w:rPr>
          <w:rFonts w:eastAsiaTheme="minorEastAsia"/>
        </w:rPr>
        <w:t xml:space="preserve">or fiscal) of travelling </w:t>
      </w:r>
      <w:r w:rsidR="00180EBE">
        <w:rPr>
          <w:rFonts w:eastAsiaTheme="minorEastAsia"/>
        </w:rPr>
        <w:t xml:space="preserve">from </w:t>
      </w:r>
      <w:r>
        <w:rPr>
          <w:rFonts w:eastAsiaTheme="minorEastAsia"/>
        </w:rPr>
        <w:t xml:space="preserve">area i </w:t>
      </w:r>
      <w:r w:rsidR="00180EBE">
        <w:rPr>
          <w:rFonts w:eastAsiaTheme="minorEastAsia"/>
        </w:rPr>
        <w:t xml:space="preserve">to area </w:t>
      </w:r>
      <w:r>
        <w:rPr>
          <w:rFonts w:eastAsiaTheme="minorEastAsia"/>
        </w:rPr>
        <w:t xml:space="preserve">j,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is an impedance function which </w:t>
      </w:r>
      <w:r w:rsidR="00931B20">
        <w:rPr>
          <w:rFonts w:eastAsiaTheme="minorEastAsia"/>
        </w:rPr>
        <w:t xml:space="preserve">decreases </w:t>
      </w:r>
      <w:r>
        <w:rPr>
          <w:rFonts w:eastAsiaTheme="minorEastAsia"/>
        </w:rPr>
        <w:t xml:space="preserve">the extent to which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931B20">
        <w:rPr>
          <w:rFonts w:eastAsiaTheme="minorEastAsia"/>
        </w:rPr>
        <w:t xml:space="preserve"> contributes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31B20">
        <w:rPr>
          <w:rFonts w:eastAsiaTheme="minorEastAsia"/>
        </w:rPr>
        <w:t xml:space="preserve">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31B20">
        <w:rPr>
          <w:rFonts w:eastAsiaTheme="minorEastAsia"/>
        </w:rPr>
        <w:t xml:space="preserve"> increases</w:t>
      </w:r>
      <w:r>
        <w:rPr>
          <w:rFonts w:eastAsiaTheme="minorEastAsia"/>
        </w:rPr>
        <w:t>.</w:t>
      </w:r>
    </w:p>
    <w:p w14:paraId="47894066" w14:textId="0EF48188" w:rsidR="008E598F" w:rsidRDefault="00B93BDD" w:rsidP="00FE2BCF">
      <w:pPr>
        <w:pStyle w:val="NoSpacing"/>
        <w:spacing w:line="480" w:lineRule="auto"/>
        <w:ind w:firstLine="567"/>
        <w:jc w:val="both"/>
        <w:rPr>
          <w:rFonts w:eastAsiaTheme="minorEastAsia"/>
        </w:rPr>
      </w:pPr>
      <w:r>
        <w:rPr>
          <w:rFonts w:eastAsiaTheme="minorEastAsia"/>
        </w:rPr>
        <w:t xml:space="preserve">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53E85">
        <w:rPr>
          <w:rFonts w:eastAsiaTheme="minorEastAsia"/>
        </w:rPr>
        <w:t xml:space="preserve"> </w:t>
      </w:r>
      <w:r w:rsidR="00C25DE1">
        <w:rPr>
          <w:rFonts w:eastAsiaTheme="minorEastAsia"/>
        </w:rPr>
        <w:t xml:space="preserve">measures accessibility as a function of the distributions of jobs and travel costs and </w:t>
      </w:r>
      <w:r w:rsidR="00553E85">
        <w:rPr>
          <w:rFonts w:eastAsiaTheme="minorEastAsia"/>
        </w:rPr>
        <w:t>is simple to calculate and interpret</w:t>
      </w:r>
      <w:r>
        <w:rPr>
          <w:rFonts w:eastAsiaTheme="minorEastAsia"/>
        </w:rPr>
        <w:t>, a significant drawback is that</w:t>
      </w:r>
      <w:r w:rsidR="00553E85">
        <w:rPr>
          <w:rFonts w:eastAsiaTheme="minorEastAsia"/>
        </w:rPr>
        <w:t xml:space="preserve"> i</w:t>
      </w:r>
      <w:r w:rsidR="008E598F">
        <w:rPr>
          <w:rFonts w:eastAsiaTheme="minorEastAsia"/>
        </w:rPr>
        <w:t xml:space="preserve">t </w:t>
      </w:r>
      <w:r w:rsidR="00C25DE1">
        <w:rPr>
          <w:rFonts w:eastAsiaTheme="minorEastAsia"/>
        </w:rPr>
        <w:t xml:space="preserve">does not account for </w:t>
      </w:r>
      <w:r w:rsidR="008E598F">
        <w:rPr>
          <w:rFonts w:eastAsiaTheme="minorEastAsia"/>
        </w:rPr>
        <w:t xml:space="preserve">the </w:t>
      </w:r>
      <w:r w:rsidR="00C25DE1">
        <w:rPr>
          <w:rFonts w:eastAsiaTheme="minorEastAsia"/>
        </w:rPr>
        <w:t xml:space="preserve">distribution of </w:t>
      </w:r>
      <w:r>
        <w:rPr>
          <w:rFonts w:eastAsiaTheme="minorEastAsia"/>
        </w:rPr>
        <w:t xml:space="preserve">the </w:t>
      </w:r>
      <w:r w:rsidR="00C25DE1">
        <w:rPr>
          <w:rFonts w:eastAsiaTheme="minorEastAsia"/>
        </w:rPr>
        <w:t>workers who seek jobs</w:t>
      </w:r>
      <w:sdt>
        <w:sdtPr>
          <w:rPr>
            <w:rFonts w:eastAsiaTheme="minorEastAsia"/>
          </w:rPr>
          <w:id w:val="530467981"/>
          <w:citation/>
        </w:sdtPr>
        <w:sdtContent>
          <w:r w:rsidR="00C25DE1">
            <w:rPr>
              <w:rFonts w:eastAsiaTheme="minorEastAsia"/>
            </w:rPr>
            <w:fldChar w:fldCharType="begin"/>
          </w:r>
          <w:r w:rsidR="00C25DE1">
            <w:rPr>
              <w:rFonts w:eastAsiaTheme="minorEastAsia"/>
            </w:rPr>
            <w:instrText xml:space="preserve"> CITATION Shen1998 \p 348 \l 18441  \m Hu2019 \p 279 \ </w:instrText>
          </w:r>
          <w:r w:rsidR="00C25DE1">
            <w:rPr>
              <w:rFonts w:eastAsiaTheme="minorEastAsia"/>
            </w:rPr>
            <w:fldChar w:fldCharType="separate"/>
          </w:r>
          <w:r w:rsidR="00C25DE1">
            <w:rPr>
              <w:rFonts w:eastAsiaTheme="minorEastAsia"/>
              <w:noProof/>
            </w:rPr>
            <w:t xml:space="preserve"> </w:t>
          </w:r>
          <w:r w:rsidR="00C25DE1" w:rsidRPr="007665BA">
            <w:rPr>
              <w:rFonts w:eastAsiaTheme="minorEastAsia"/>
              <w:noProof/>
            </w:rPr>
            <w:t>(Shen, 1998, p. 348; Hu &amp; Downs, 2019, p. 279)</w:t>
          </w:r>
          <w:r w:rsidR="00C25DE1">
            <w:rPr>
              <w:rFonts w:eastAsiaTheme="minorEastAsia"/>
            </w:rPr>
            <w:fldChar w:fldCharType="end"/>
          </w:r>
        </w:sdtContent>
      </w:sdt>
      <w:r w:rsidR="00553E85">
        <w:rPr>
          <w:rFonts w:eastAsiaTheme="minorEastAsia"/>
        </w:rPr>
        <w:t xml:space="preserve">; </w:t>
      </w:r>
      <w:r w:rsidR="000467AD">
        <w:rPr>
          <w:rFonts w:eastAsiaTheme="minorEastAsia"/>
        </w:rPr>
        <w:t xml:space="preserve">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25DE1">
        <w:rPr>
          <w:rFonts w:eastAsiaTheme="minorEastAsia"/>
        </w:rPr>
        <w:t xml:space="preserve"> value</w:t>
      </w:r>
      <w:r w:rsidR="000467AD">
        <w:rPr>
          <w:rFonts w:eastAsiaTheme="minorEastAsia"/>
        </w:rPr>
        <w:t xml:space="preserve"> for an area will remain the same regardless of the area’s population of workers</w:t>
      </w:r>
      <w:r w:rsidR="00C25DE1">
        <w:rPr>
          <w:rFonts w:eastAsiaTheme="minorEastAsia"/>
        </w:rPr>
        <w:t xml:space="preserve">, but intuitively </w:t>
      </w:r>
      <w:r w:rsidR="00553E85">
        <w:rPr>
          <w:rFonts w:eastAsiaTheme="minorEastAsia"/>
        </w:rPr>
        <w:t xml:space="preserve">the </w:t>
      </w:r>
      <w:r w:rsidR="000467AD">
        <w:rPr>
          <w:rFonts w:eastAsiaTheme="minorEastAsia"/>
        </w:rPr>
        <w:t>accessibility level should decrease as the number of workers increases, to reflect that</w:t>
      </w:r>
      <w:r w:rsidR="00553E85">
        <w:rPr>
          <w:rFonts w:eastAsiaTheme="minorEastAsia"/>
        </w:rPr>
        <w:t xml:space="preserve"> the </w:t>
      </w:r>
      <w:r w:rsidR="000467AD">
        <w:rPr>
          <w:rFonts w:eastAsiaTheme="minorEastAsia"/>
        </w:rPr>
        <w:t xml:space="preserve">limited </w:t>
      </w:r>
      <w:r w:rsidR="00553E85">
        <w:rPr>
          <w:rFonts w:eastAsiaTheme="minorEastAsia"/>
        </w:rPr>
        <w:t xml:space="preserve">job supply </w:t>
      </w:r>
      <w:r w:rsidR="000467AD">
        <w:rPr>
          <w:rFonts w:eastAsiaTheme="minorEastAsia"/>
        </w:rPr>
        <w:t xml:space="preserve">needs to be </w:t>
      </w:r>
      <w:r w:rsidR="00C25DE1">
        <w:rPr>
          <w:rFonts w:eastAsiaTheme="minorEastAsia"/>
        </w:rPr>
        <w:t xml:space="preserve">shared </w:t>
      </w:r>
      <w:r w:rsidR="00553E85">
        <w:rPr>
          <w:rFonts w:eastAsiaTheme="minorEastAsia"/>
        </w:rPr>
        <w:t>among a larger demand</w:t>
      </w:r>
      <w:r w:rsidR="000467AD">
        <w:rPr>
          <w:rFonts w:eastAsiaTheme="minorEastAsia"/>
        </w:rPr>
        <w:t xml:space="preserve"> pool</w:t>
      </w:r>
      <w:r w:rsidR="00EC2065">
        <w:rPr>
          <w:rFonts w:eastAsiaTheme="minorEastAsia"/>
        </w:rPr>
        <w:t xml:space="preserve">.  </w:t>
      </w:r>
      <w:r w:rsidR="008E598F">
        <w:rPr>
          <w:rFonts w:eastAsiaTheme="minorEastAsia"/>
        </w:rPr>
        <w:t xml:space="preserve">To address </w:t>
      </w:r>
      <w:r w:rsidR="00EC2065">
        <w:rPr>
          <w:rFonts w:eastAsiaTheme="minorEastAsia"/>
        </w:rPr>
        <w:t>this</w:t>
      </w:r>
      <w:r w:rsidR="00C25DE1">
        <w:rPr>
          <w:rFonts w:eastAsiaTheme="minorEastAsia"/>
        </w:rPr>
        <w:t xml:space="preserve"> shortcoming</w:t>
      </w:r>
      <w:r w:rsidR="008E598F">
        <w:rPr>
          <w:rFonts w:eastAsiaTheme="minorEastAsia"/>
        </w:rPr>
        <w:t xml:space="preserve">, Shen </w:t>
      </w:r>
      <w:sdt>
        <w:sdtPr>
          <w:rPr>
            <w:rFonts w:eastAsiaTheme="minorEastAsia"/>
          </w:rPr>
          <w:id w:val="679630622"/>
          <w:citation/>
        </w:sdtPr>
        <w:sdtContent>
          <w:r w:rsidR="002B027C">
            <w:rPr>
              <w:rFonts w:eastAsiaTheme="minorEastAsia"/>
            </w:rPr>
            <w:fldChar w:fldCharType="begin"/>
          </w:r>
          <w:r w:rsidR="002B027C">
            <w:rPr>
              <w:rFonts w:eastAsiaTheme="minorEastAsia"/>
            </w:rPr>
            <w:instrText xml:space="preserve">CITATION Shen1998 \n  \l 18441 </w:instrText>
          </w:r>
          <w:r w:rsidR="002B027C">
            <w:rPr>
              <w:rFonts w:eastAsiaTheme="minorEastAsia"/>
            </w:rPr>
            <w:fldChar w:fldCharType="separate"/>
          </w:r>
          <w:r w:rsidR="007665BA" w:rsidRPr="007665BA">
            <w:rPr>
              <w:rFonts w:eastAsiaTheme="minorEastAsia"/>
              <w:noProof/>
            </w:rPr>
            <w:t>(1998)</w:t>
          </w:r>
          <w:r w:rsidR="002B027C">
            <w:rPr>
              <w:rFonts w:eastAsiaTheme="minorEastAsia"/>
            </w:rPr>
            <w:fldChar w:fldCharType="end"/>
          </w:r>
        </w:sdtContent>
      </w:sdt>
      <w:r w:rsidR="008E598F">
        <w:rPr>
          <w:rFonts w:eastAsiaTheme="minorEastAsia"/>
        </w:rPr>
        <w:t xml:space="preserve"> proposed an adapted measure that accounts for </w:t>
      </w:r>
      <w:r w:rsidR="003B767A">
        <w:rPr>
          <w:rFonts w:eastAsiaTheme="minorEastAsia"/>
        </w:rPr>
        <w:t xml:space="preserve">the number of </w:t>
      </w:r>
      <w:r w:rsidR="002B027C">
        <w:rPr>
          <w:rFonts w:eastAsiaTheme="minorEastAsia"/>
        </w:rPr>
        <w:t xml:space="preserve">workers </w:t>
      </w:r>
      <w:r w:rsidR="003B767A">
        <w:rPr>
          <w:rFonts w:eastAsiaTheme="minorEastAsia"/>
        </w:rPr>
        <w:t xml:space="preserve">in </w:t>
      </w:r>
      <w:r w:rsidR="00931B20">
        <w:rPr>
          <w:rFonts w:eastAsiaTheme="minorEastAsia"/>
        </w:rPr>
        <w:t xml:space="preserve">all </w:t>
      </w:r>
      <w:r w:rsidR="003B767A">
        <w:rPr>
          <w:rFonts w:eastAsiaTheme="minorEastAsia"/>
        </w:rPr>
        <w:t>area</w:t>
      </w:r>
      <w:r w:rsidR="002B027C">
        <w:rPr>
          <w:rFonts w:eastAsiaTheme="minorEastAsia"/>
        </w:rPr>
        <w:t>s</w:t>
      </w:r>
      <w:r w:rsidR="003B767A">
        <w:rPr>
          <w:rFonts w:eastAsiaTheme="minorEastAsia"/>
        </w:rPr>
        <w:t xml:space="preserve"> k </w:t>
      </w:r>
      <w:r w:rsidR="00CF0BE6">
        <w:rPr>
          <w:rFonts w:eastAsiaTheme="minorEastAsia"/>
        </w:rPr>
        <w:t xml:space="preserve">(including area i) </w:t>
      </w:r>
      <w:r w:rsidR="00931B20">
        <w:rPr>
          <w:rFonts w:eastAsiaTheme="minorEastAsia"/>
        </w:rPr>
        <w:t xml:space="preserve">that can access j </w:t>
      </w:r>
      <w:r w:rsidR="003B767A">
        <w:rPr>
          <w:rFonts w:eastAsiaTheme="minorEastAsia"/>
        </w:rPr>
        <w:t xml:space="preserve">and distributes the available jobs </w:t>
      </w:r>
      <w:r w:rsidR="004D23AF">
        <w:rPr>
          <w:rFonts w:eastAsiaTheme="minorEastAsia"/>
        </w:rPr>
        <w:t xml:space="preserve">from </w:t>
      </w:r>
      <w:r w:rsidR="003B767A">
        <w:rPr>
          <w:rFonts w:eastAsiaTheme="minorEastAsia"/>
        </w:rPr>
        <w:t xml:space="preserve">area j </w:t>
      </w:r>
      <w:r w:rsidR="004D23AF">
        <w:rPr>
          <w:rFonts w:eastAsiaTheme="minorEastAsia"/>
        </w:rPr>
        <w:t xml:space="preserve">to the </w:t>
      </w:r>
      <w:r w:rsidR="003B767A">
        <w:rPr>
          <w:rFonts w:eastAsiaTheme="minorEastAsia"/>
        </w:rPr>
        <w:t>areas k</w:t>
      </w:r>
      <w:r w:rsidR="004D23AF">
        <w:rPr>
          <w:rFonts w:eastAsiaTheme="minorEastAsia"/>
        </w:rPr>
        <w:t xml:space="preserve"> proportionally by their populations</w:t>
      </w:r>
      <w:r w:rsidR="006E7AA6">
        <w:rPr>
          <w:rFonts w:eastAsiaTheme="minorEastAsia"/>
        </w:rPr>
        <w:t>, thus accounting for “competition effects” between workers living in different areas for the same jobs</w:t>
      </w:r>
      <w:r w:rsidR="003B767A">
        <w:rPr>
          <w:rFonts w:eastAsiaTheme="minorEastAsia"/>
        </w:rPr>
        <w:t>:</w:t>
      </w:r>
    </w:p>
    <w:p w14:paraId="2FF22354" w14:textId="33048FAA" w:rsidR="003B767A"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kj</m:t>
                              </m:r>
                            </m:sub>
                          </m:sSub>
                        </m:e>
                      </m:d>
                    </m:e>
                  </m:nary>
                </m:den>
              </m:f>
            </m:e>
          </m:nary>
        </m:oMath>
      </m:oMathPara>
    </w:p>
    <w:p w14:paraId="2DDB75DC" w14:textId="2B0B4E16" w:rsidR="003C19BD" w:rsidRDefault="003B767A"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number of workers in area k and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rPr>
          <w:rFonts w:eastAsiaTheme="minorEastAsia"/>
        </w:rPr>
        <w:t xml:space="preserve"> is the travel cost between areas k and j.  </w:t>
      </w:r>
      <w:r w:rsidR="00C25DE1">
        <w:rPr>
          <w:rFonts w:eastAsiaTheme="minorEastAsia"/>
        </w:rPr>
        <w:t>Thus, accessibility is a function of 3 components: the distribution of workers (demand), jobs (supply) and travel costs</w:t>
      </w:r>
      <w:r w:rsidR="003D7F1C">
        <w:rPr>
          <w:rFonts w:eastAsiaTheme="minorEastAsia"/>
        </w:rPr>
        <w:t>.</w:t>
      </w:r>
    </w:p>
    <w:p w14:paraId="228164FB" w14:textId="566A5085" w:rsidR="0012120F" w:rsidRDefault="003A3F90" w:rsidP="00FE2BCF">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0467AD">
        <w:t xml:space="preserve">stochastic </w:t>
      </w:r>
      <w:r w:rsidR="00A304F4">
        <w:t xml:space="preserve">distribution of these variables </w:t>
      </w:r>
      <w:r w:rsidR="007C1C7E">
        <w:t>around the</w:t>
      </w:r>
      <w:r w:rsidR="00A304F4">
        <w:t>ir</w:t>
      </w:r>
      <w:r w:rsidR="007C1C7E">
        <w:t xml:space="preserve"> typical values</w:t>
      </w:r>
      <w:r w:rsidR="005F790A">
        <w:t xml:space="preserve"> that results from variation over time</w:t>
      </w:r>
      <w:r w:rsidR="00A82C99">
        <w:t xml:space="preserve">.  Thus, extant analyses </w:t>
      </w:r>
      <w:r w:rsidR="005F790A">
        <w:t xml:space="preserve">do not account for </w:t>
      </w:r>
      <w:r w:rsidR="00CF0BE6">
        <w:t xml:space="preserve">the uncertainty that </w:t>
      </w:r>
      <w:r w:rsidR="00546319">
        <w:t>actually exists around accessibility</w:t>
      </w:r>
      <w:r w:rsidR="005F790A">
        <w:t xml:space="preserve"> levels</w:t>
      </w:r>
      <w:r w:rsidR="00BD0BE2">
        <w:t>.</w:t>
      </w:r>
    </w:p>
    <w:p w14:paraId="348DE492" w14:textId="52FB20A3" w:rsidR="00B635DE" w:rsidRDefault="00B635DE" w:rsidP="00FE2BCF">
      <w:pPr>
        <w:pStyle w:val="NoSpacing"/>
        <w:spacing w:line="480" w:lineRule="auto"/>
        <w:jc w:val="both"/>
      </w:pPr>
    </w:p>
    <w:p w14:paraId="204A87C9" w14:textId="702C230C" w:rsidR="00DF3A66" w:rsidRDefault="000A7BBD" w:rsidP="00FE2BCF">
      <w:pPr>
        <w:pStyle w:val="NoSpacing"/>
        <w:spacing w:line="480" w:lineRule="auto"/>
        <w:jc w:val="both"/>
        <w:rPr>
          <w:b/>
        </w:rPr>
      </w:pPr>
      <w:r>
        <w:rPr>
          <w:b/>
        </w:rPr>
        <w:t>Study Design and Data Sources</w:t>
      </w:r>
    </w:p>
    <w:p w14:paraId="5BD3F943" w14:textId="0031AE8D" w:rsidR="005F790A" w:rsidRDefault="005F790A" w:rsidP="005F790A">
      <w:pPr>
        <w:pStyle w:val="NoSpacing"/>
        <w:spacing w:line="480" w:lineRule="auto"/>
        <w:ind w:firstLine="567"/>
        <w:jc w:val="both"/>
      </w:pPr>
      <w:r>
        <w:t>This analysis will focus on accessibility to jobs from home locations.  Even though not all trips (even during the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 xml:space="preserve">.  </w:t>
      </w:r>
    </w:p>
    <w:p w14:paraId="076CFB32" w14:textId="2733E4EB" w:rsidR="00DF3A66" w:rsidRDefault="000A7BBD" w:rsidP="00FE2BCF">
      <w:pPr>
        <w:pStyle w:val="NoSpacing"/>
        <w:spacing w:line="480" w:lineRule="auto"/>
        <w:ind w:firstLine="567"/>
        <w:jc w:val="both"/>
      </w:pPr>
      <w:r>
        <w:lastRenderedPageBreak/>
        <w:t>The use of l</w:t>
      </w:r>
      <w:r w:rsidR="00C80A16">
        <w:t xml:space="preserve">ocation-based </w:t>
      </w:r>
      <w:r w:rsidR="00863793">
        <w:t xml:space="preserve">cumulative </w:t>
      </w:r>
      <w:r w:rsidR="00C80A16">
        <w:t xml:space="preserve">potential </w:t>
      </w:r>
      <w:r w:rsidR="00DF3A66">
        <w:t xml:space="preserve">accessibility measures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2134741881"/>
          <w:citation/>
        </w:sdtPr>
        <w:sdtContent>
          <w:r w:rsidR="00C80A16">
            <w:fldChar w:fldCharType="begin"/>
          </w:r>
          <w:r w:rsidR="00C80A16">
            <w:instrText xml:space="preserve"> CITATION Kotavaara_2012 \l 18441  \m Ten16 \m Jär18  \m Hu2019</w:instrText>
          </w:r>
          <w:r w:rsidR="00C80A16">
            <w:fldChar w:fldCharType="separate"/>
          </w:r>
          <w:r w:rsidR="007665BA">
            <w:rPr>
              <w:noProof/>
            </w:rPr>
            <w:t xml:space="preserve"> </w:t>
          </w:r>
          <w:r w:rsidR="007665BA" w:rsidRPr="007665BA">
            <w:rPr>
              <w:noProof/>
            </w:rPr>
            <w:t>(Kotavaara, et al., 2012; Tenkanen, et al., 2016; Järv, et al., 2018; Hu &amp; Downs, 2019)</w:t>
          </w:r>
          <w:r w:rsidR="00C80A16">
            <w:fldChar w:fldCharType="end"/>
          </w:r>
        </w:sdtContent>
      </w:sdt>
      <w:r w:rsidR="00DF3A66">
        <w:t xml:space="preserve">.  </w:t>
      </w:r>
      <w:r w:rsidR="001F317E">
        <w:t xml:space="preserve">However, </w:t>
      </w:r>
      <w:r w:rsidR="00863793">
        <w:t>aggregating spatial data to these squares requires very fine-grained data (which is unlikely to be publicly available) or additional modelling and assumptions to reproject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200249021"/>
          <w:citation/>
        </w:sdtPr>
        <w:sdtContent>
          <w:r w:rsidR="001F317E">
            <w:fldChar w:fldCharType="begin"/>
          </w:r>
          <w:r w:rsidR="001F317E">
            <w:instrText xml:space="preserve"> CITATION Shen1998  \m sanchez1999 \m  El_Geneidy_2016 \l 18441  \m Niehaus2016 \m Guzman2017 \m Guzman_2018 \m Deboosere2018 </w:instrText>
          </w:r>
          <w:r w:rsidR="001F317E">
            <w:fldChar w:fldCharType="separate"/>
          </w:r>
          <w:r w:rsidR="007665BA" w:rsidRPr="007665BA">
            <w:rPr>
              <w:noProof/>
            </w:rPr>
            <w:t>(Shen, 1998; Sanchez, 1999; El-Geneidy, et al., 2016; Neihaus, et al., 2016; Guzman, et al., 2017; Guzman &amp; Oviedo, 2018; Deboosere &amp; El-Geneidy, 2018)</w:t>
          </w:r>
          <w:r w:rsidR="001F317E">
            <w:fldChar w:fldCharType="end"/>
          </w:r>
        </w:sdtContent>
      </w:sdt>
      <w:r w:rsidR="001F317E">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DF3A66">
        <w:t xml:space="preserve">, and thus provide the ability to seamlessly </w:t>
      </w:r>
      <w:r w:rsidR="001F317E">
        <w:t xml:space="preserve">incorporate </w:t>
      </w:r>
      <w:r w:rsidR="00DF3A66">
        <w:t xml:space="preserve">a wealth </w:t>
      </w:r>
      <w:r w:rsidR="00492291">
        <w:t xml:space="preserve">of spatial </w:t>
      </w:r>
      <w:r w:rsidR="00DF3A66">
        <w:t xml:space="preserve">demographic and economic data </w:t>
      </w:r>
      <w:r w:rsidR="00CD52D2">
        <w:t xml:space="preserve">from open government databases </w:t>
      </w:r>
      <w:r w:rsidR="001F317E">
        <w:t>into my analysis</w:t>
      </w:r>
      <w:r w:rsidR="00DF3A66">
        <w:t>.</w:t>
      </w:r>
    </w:p>
    <w:p w14:paraId="23D7AEA9" w14:textId="1BFD6CA8" w:rsidR="000A7BBD" w:rsidRDefault="000A7BBD" w:rsidP="000A7BBD">
      <w:pPr>
        <w:pStyle w:val="NoSpacing"/>
        <w:spacing w:line="480" w:lineRule="auto"/>
        <w:ind w:firstLine="567"/>
        <w:jc w:val="both"/>
      </w:pPr>
      <w:r>
        <w:t xml:space="preserve">The second choice involves which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to use</w:t>
      </w:r>
      <w:r>
        <w:t xml:space="preserve">.  Many studies use a power or exponential function,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 xml:space="preserve">increases,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 but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 xml:space="preserve">.  In contrast, I will follow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1572519F" w14:textId="3C11957D" w:rsidR="000A7BBD" w:rsidRDefault="000A7BBD" w:rsidP="000A7BBD">
      <w:pPr>
        <w:pStyle w:val="NoSpacing"/>
        <w:spacing w:line="480" w:lineRule="auto"/>
        <w:jc w:val="both"/>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xml:space="preserve">.  At any rate, El-Geneidy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EEBCC97" w:rsidR="00DF3A66" w:rsidRDefault="008B6B72" w:rsidP="00FE2BCF">
      <w:pPr>
        <w:pStyle w:val="NoSpacing"/>
        <w:spacing w:line="480" w:lineRule="auto"/>
        <w:ind w:firstLine="567"/>
        <w:jc w:val="both"/>
      </w:pPr>
      <w:r>
        <w:t>In contrast,</w:t>
      </w:r>
      <w:r w:rsidR="001F0E9E">
        <w:t xml:space="preserve"> </w:t>
      </w:r>
      <w:r>
        <w:t>I obtain</w:t>
      </w:r>
      <w:r w:rsidR="00FB6237">
        <w:t>ed</w:t>
      </w:r>
      <w:r>
        <w:t xml:space="preserve">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by non-private transport</w:t>
      </w:r>
      <w:r w:rsidR="00CA08A3">
        <w:t xml:space="preserve"> (i.e. by walking, cycling or motorised public transport like buses or trains, 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lastRenderedPageBreak/>
        <w:t xml:space="preserve">Thus, this data source is uniquely </w:t>
      </w:r>
      <w:r w:rsidR="00FB6237">
        <w:t xml:space="preserve">suited to provide </w:t>
      </w:r>
      <w:r w:rsidR="00BD5A12">
        <w:t>information on travel time variability due to real-time fluctuations in transport service performance</w:t>
      </w:r>
      <w:r w:rsidR="006E7AA6">
        <w:t>.</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4D0A78FE" w:rsidR="00B4229E" w:rsidRDefault="00B4229E" w:rsidP="00FE2BCF">
      <w:pPr>
        <w:pStyle w:val="NoSpacing"/>
        <w:numPr>
          <w:ilvl w:val="0"/>
          <w:numId w:val="3"/>
        </w:numPr>
        <w:spacing w:line="480" w:lineRule="auto"/>
        <w:jc w:val="both"/>
      </w:pPr>
      <w:r>
        <w:t xml:space="preserve">The travel options for trips </w:t>
      </w:r>
      <w:r w:rsidR="00F2270D">
        <w:t xml:space="preserve">between every pair of MSOAs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trips for the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data collection for all 983 x 983 trips </w:t>
      </w:r>
      <w:r w:rsidR="00FB6237">
        <w:t xml:space="preserve">occurred </w:t>
      </w:r>
      <w:r w:rsidR="00F2270D">
        <w:t xml:space="preserve">over </w:t>
      </w:r>
      <w:r w:rsidR="002D06D1">
        <w:t>1</w:t>
      </w:r>
      <w:r w:rsidR="00F2270D">
        <w:t xml:space="preserve"> month.</w:t>
      </w:r>
    </w:p>
    <w:p w14:paraId="09694119" w14:textId="4DEDE3BF" w:rsidR="00F2270D" w:rsidRDefault="00F2270D" w:rsidP="00FE2BCF">
      <w:pPr>
        <w:pStyle w:val="NoSpacing"/>
        <w:numPr>
          <w:ilvl w:val="0"/>
          <w:numId w:val="3"/>
        </w:numPr>
        <w:spacing w:line="480" w:lineRule="auto"/>
        <w:jc w:val="both"/>
      </w:pPr>
      <w:r>
        <w:t>The travel options for trips beginning between 0600 and 0800 every weekday for 50 days</w:t>
      </w:r>
      <w:r w:rsidR="00FB6237">
        <w:t xml:space="preserve"> between 29 January 2019 and 25 April 2019</w:t>
      </w:r>
      <w:r>
        <w:t>.  This constitute</w:t>
      </w:r>
      <w:r w:rsidR="00FB6237">
        <w:t>s</w:t>
      </w:r>
      <w:r>
        <w:t xml:space="preserve"> “real-time” travel option data during the</w:t>
      </w:r>
      <w:r w:rsidR="007949A2">
        <w:t xml:space="preserve"> weekday</w:t>
      </w:r>
      <w:r>
        <w:t xml:space="preserve"> AM peak, reflecting actual day-to-day variability in transport service performance.  Because of the </w:t>
      </w:r>
      <w:r w:rsidR="00252AA7">
        <w:t xml:space="preserve">API request </w:t>
      </w:r>
      <w:r>
        <w:t xml:space="preserve">limit, I </w:t>
      </w:r>
      <w:r w:rsidR="00FB6237">
        <w:t xml:space="preserve">only </w:t>
      </w:r>
      <w:r>
        <w:t>gather</w:t>
      </w:r>
      <w:r w:rsidR="00FB6237">
        <w:t>ed</w:t>
      </w:r>
      <w:r>
        <w:t xml:space="preserve"> data on trips starting from all 983 MSOAs </w:t>
      </w:r>
      <w:r w:rsidR="008622BD">
        <w:t xml:space="preserve">that </w:t>
      </w:r>
      <w:r>
        <w:t xml:space="preserve">end at 7 MSOAs that correspond to 7 key transport nodes evenly spaced across </w:t>
      </w:r>
      <w:r w:rsidR="00F77821">
        <w:t>London</w:t>
      </w:r>
      <w:r>
        <w:t>.</w:t>
      </w:r>
    </w:p>
    <w:p w14:paraId="1E8261BA" w14:textId="35BEDFD6" w:rsidR="00462799" w:rsidRDefault="00462799" w:rsidP="008622BD">
      <w:pPr>
        <w:pStyle w:val="NoSpacing"/>
        <w:spacing w:line="480" w:lineRule="auto"/>
        <w:ind w:firstLine="567"/>
        <w:jc w:val="both"/>
      </w:pPr>
      <w:r>
        <w:t>The methodological benefits of using the Journey Planner data are compelling enough to justify its use in this study, but this does impose some constraints on this study’s design.  This is because the Journey Planner provides information only for trips that do not involve cars or taxis,</w:t>
      </w:r>
      <w:r w:rsidR="00CA08A3">
        <w:t xml:space="preserve"> </w:t>
      </w:r>
      <w:r>
        <w:t xml:space="preserve">and is most reliable for trips within the GLA boundary.  </w:t>
      </w:r>
      <w:r w:rsidR="00CA08A3">
        <w:t xml:space="preserve">As such, my analysis will concentrate only on areas within the GLA boundary and on non-private transport services.  </w:t>
      </w:r>
      <w:r>
        <w:t>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also show that only 37% of trips within the GLA in 2017 used cars or taxis, while 80% of trips within the GLA boundary were by GLA residents.  Nonetheless, I recognise that my results will be distorted by the fact that they omit accessibility by car and taxi, and do not consider areas outside the GLA boundary that can be accessed from London.</w:t>
      </w:r>
    </w:p>
    <w:p w14:paraId="5B0847B5" w14:textId="77777777" w:rsidR="008622BD" w:rsidRDefault="008622BD"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lastRenderedPageBreak/>
        <w:t>Distributions of Jobs, Working-Age Residents, Inter-MSOA Connectivity and IMD Ranks</w:t>
      </w:r>
    </w:p>
    <w:p w14:paraId="25BD4952" w14:textId="7E8F6529" w:rsidR="000A7BBD" w:rsidRDefault="008A15BC" w:rsidP="008A15BC">
      <w:pPr>
        <w:pStyle w:val="NoSpacing"/>
        <w:spacing w:line="480" w:lineRule="auto"/>
        <w:ind w:firstLine="567"/>
        <w:jc w:val="both"/>
        <w:rPr>
          <w:bCs/>
        </w:rPr>
      </w:pPr>
      <w:r>
        <w:rPr>
          <w:bCs/>
        </w:rPr>
        <w:t>As conceptualised in this study, each area’s accessibility to jobs is a function of 3 components: the spatial distributions of working-age population and jobs, and the area-to-area connectivity provided by the public transport system.  Figure XX shows the first two components.  It is clear that the distribution of jobs is extremely concentrated in the centre of the GLA area, where the City of London, Westminster and Southbank are located.  However, there are also smaller concentrations of jobs around some stations in the GLA’s rail and tube network (black lines in the figure), most notably at Canary Wharf.  In contrast, the distribution of working-age residents is more even, with lower residential densities in the areas with the most jobs near the centre, higher densities in a ring around the central job-rich core, and decreasing densities as one moves further away from the centre.</w:t>
      </w:r>
    </w:p>
    <w:p w14:paraId="5E28C7A2" w14:textId="4DFF288B"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stored as a n x n matrix of travel times T between each of the n = 983 MSOAs.  The value in each cell of T, </w:t>
      </w:r>
      <m:oMath>
        <m:sSub>
          <m:sSubPr>
            <m:ctrlPr>
              <w:rPr>
                <w:rFonts w:ascii="Cambria Math" w:hAnsi="Cambria Math"/>
                <w:bCs/>
                <w:i/>
              </w:rPr>
            </m:ctrlPr>
          </m:sSubPr>
          <m:e>
            <m:r>
              <w:rPr>
                <w:rFonts w:ascii="Cambria Math" w:hAnsi="Cambria Math"/>
              </w:rPr>
              <m:t>t</m:t>
            </m:r>
          </m:e>
          <m:sub>
            <m:r>
              <w:rPr>
                <w:rFonts w:ascii="Cambria Math" w:hAnsi="Cambria Math"/>
              </w:rPr>
              <m:t>ij</m:t>
            </m:r>
          </m:sub>
        </m:sSub>
      </m:oMath>
      <w:r>
        <w:rPr>
          <w:bCs/>
        </w:rPr>
        <w:t xml:space="preserve">, is the minimum time (out of all available options) it takes to travel between the population-weighted centroid of MSOA i and the job-weighted centroid of MSOA j during the AM peak using the baseline database, that is, assuming all services run as scheduled.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 xml:space="preserve">i.e. the row vector from T where i = </w:t>
      </w:r>
      <w:r w:rsidRPr="002D06D1">
        <w:rPr>
          <w:bCs/>
        </w:rPr>
        <w:t>E02000726</w:t>
      </w:r>
      <w:r>
        <w:rPr>
          <w:bCs/>
        </w:rPr>
        <w:t xml:space="preserve">) with the distribution of jobs superimposed.  The inset chart shows the total number of jobs that can be reached from Stratford within a certain travel time, i.e.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t>
      </w:r>
      <w:r w:rsidR="00FE0648">
        <w:rPr>
          <w:rFonts w:eastAsiaTheme="minorEastAsia"/>
          <w:bCs/>
        </w:rPr>
        <w:t xml:space="preserve">As the travel time threshold X increases,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FE0648">
        <w:rPr>
          <w:rFonts w:eastAsiaTheme="minorEastAsia"/>
          <w:bCs/>
        </w:rPr>
        <w:t xml:space="preserve"> increases, until all jobs available in the GLA can be reached within X minutes.</w:t>
      </w:r>
    </w:p>
    <w:p w14:paraId="04C2E6A5" w14:textId="259DF4E7"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deprivation of different MSOAs is also important for us to identify which areas in the GLA area are burdened by both accessibility problems and social disadvantage.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rate among working-age residents in 2017.  For all 4 maps, MSOAs are binned into deciles by the </w:t>
      </w:r>
      <w:r>
        <w:rPr>
          <w:rFonts w:eastAsiaTheme="minorEastAsia"/>
          <w:bCs/>
        </w:rPr>
        <w:lastRenderedPageBreak/>
        <w:t xml:space="preserve">distributions of each variable, with more deprived MSOAs visualised in darker shades of red and less deprived ones in darker shades of green.  In general, </w:t>
      </w:r>
      <w:r w:rsidR="0022295E">
        <w:rPr>
          <w:rFonts w:eastAsiaTheme="minorEastAsia"/>
          <w:bCs/>
        </w:rPr>
        <w:t>the IMD rankings correspond quite well to the 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692C4E78" w:rsidR="0022295E" w:rsidRPr="0022295E" w:rsidRDefault="0022295E" w:rsidP="0022295E">
      <w:pPr>
        <w:pStyle w:val="NoSpacing"/>
        <w:spacing w:line="480" w:lineRule="auto"/>
        <w:jc w:val="both"/>
        <w:rPr>
          <w:rFonts w:eastAsiaTheme="minorEastAsia"/>
          <w:bCs/>
          <w:i/>
          <w:iCs/>
        </w:rPr>
      </w:pPr>
      <w:r>
        <w:rPr>
          <w:rFonts w:eastAsiaTheme="minorEastAsia"/>
          <w:bCs/>
          <w:i/>
          <w:iCs/>
        </w:rPr>
        <w:t>Analysis of Accessibility to Jobs</w:t>
      </w:r>
    </w:p>
    <w:p w14:paraId="4D09C756" w14:textId="47AA0D82" w:rsidR="0022295E" w:rsidRDefault="0022295E" w:rsidP="008A15BC">
      <w:pPr>
        <w:pStyle w:val="NoSpacing"/>
        <w:spacing w:line="480" w:lineRule="auto"/>
        <w:ind w:firstLine="567"/>
        <w:jc w:val="both"/>
        <w:rPr>
          <w:rFonts w:eastAsiaTheme="minorEastAsia"/>
          <w:bCs/>
        </w:rPr>
      </w:pPr>
      <w:r>
        <w:rPr>
          <w:bCs/>
        </w:rPr>
        <w:t xml:space="preserve">In the inset of Figure XX, I plotted the curve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for Stratford as the travel time cut-off increases.  This exercise can be repeated for all MSOAs to yield Figure XX, which plots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 curve for each of the 983 MSOAs.  3 MSOAs are highlighted: Stratford (most populous), the City of London (most jobs) and Waterloo (</w:t>
      </w:r>
      <w:r w:rsidR="0042704F">
        <w:rPr>
          <w:rFonts w:eastAsiaTheme="minorEastAsia"/>
          <w:bCs/>
        </w:rPr>
        <w:t xml:space="preserve">the MSOA with among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 for any given travel time cut-off).  The plot reveals 2 points.  First, the time needed for residents of each MSOA to be able to reach a certain number of jobs (say half of all available jobs) varies quite widely, from around 45min for residents of the City and Waterloo, to more than 90min for the least well-connected MSOAs.  Secondly, the rank-ordering of MSOAs by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does not vary significantly regardless of choice of travel time cut-off; an MSOA that has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45min will also tend to have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90min.  This reinforces El-Geneidy et al </w:t>
      </w:r>
      <w:sdt>
        <w:sdtPr>
          <w:rPr>
            <w:rFonts w:eastAsiaTheme="minorEastAsia"/>
            <w:bCs/>
          </w:rPr>
          <w:id w:val="-1596625324"/>
          <w:citation/>
        </w:sdtPr>
        <w:sdtContent>
          <w:r w:rsidR="0042704F">
            <w:rPr>
              <w:rFonts w:eastAsiaTheme="minorEastAsia"/>
              <w:bCs/>
            </w:rPr>
            <w:fldChar w:fldCharType="begin"/>
          </w:r>
          <w:r w:rsidR="0042704F">
            <w:rPr>
              <w:rFonts w:eastAsiaTheme="minorEastAsia"/>
              <w:bCs/>
            </w:rPr>
            <w:instrText xml:space="preserve">CITATION El_Geneidy_2016 \n  \l 18441 </w:instrText>
          </w:r>
          <w:r w:rsidR="0042704F">
            <w:rPr>
              <w:rFonts w:eastAsiaTheme="minorEastAsia"/>
              <w:bCs/>
            </w:rPr>
            <w:fldChar w:fldCharType="separate"/>
          </w:r>
          <w:r w:rsidR="0042704F" w:rsidRPr="0042704F">
            <w:rPr>
              <w:rFonts w:eastAsiaTheme="minorEastAsia"/>
              <w:noProof/>
            </w:rPr>
            <w:t>(2016)</w:t>
          </w:r>
          <w:r w:rsidR="0042704F">
            <w:rPr>
              <w:rFonts w:eastAsiaTheme="minorEastAsia"/>
              <w:bCs/>
            </w:rPr>
            <w:fldChar w:fldCharType="end"/>
          </w:r>
        </w:sdtContent>
      </w:sdt>
      <w:r w:rsidR="0042704F">
        <w:rPr>
          <w:rFonts w:eastAsiaTheme="minorEastAsia"/>
          <w:bCs/>
        </w:rPr>
        <w:t>’s point that contour and gravity-type accessibility measures are largely interchangeable, and indicates that the broad findings from this study are relatively robust against changes in the travel time cut-offs used.</w:t>
      </w:r>
    </w:p>
    <w:p w14:paraId="61D50812" w14:textId="010FF546" w:rsidR="0042704F" w:rsidRDefault="00191F95" w:rsidP="008A15BC">
      <w:pPr>
        <w:pStyle w:val="NoSpacing"/>
        <w:spacing w:line="480" w:lineRule="auto"/>
        <w:ind w:firstLine="567"/>
        <w:jc w:val="both"/>
        <w:rPr>
          <w:rFonts w:eastAsiaTheme="minorEastAsia"/>
          <w:bCs/>
        </w:rPr>
      </w:pPr>
      <w:r>
        <w:rPr>
          <w:rFonts w:eastAsiaTheme="minorEastAsia"/>
          <w:bCs/>
        </w:rPr>
        <w:t xml:space="preserve">I choose a travel time cut-off of 45min (marked with a red dashed line on Figure XX) to align with TfL’s own accessibility analyses.  The value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where each curve intercepts the 45min cut-off line gives a vector of 983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(one for each MSOA).  This is plotted in the left panel of Figure XX, with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binned into deciles.  Clearly, areas in the centre of the GLA area with lots of jobs also have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the connectivity provided by the public transport network (particularly the rail network, visualised with black lines) extends the region with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well beyond the City and Westminster, so much so that areas near the edge of the GLA area that are near </w:t>
      </w:r>
      <w:r>
        <w:rPr>
          <w:rFonts w:eastAsiaTheme="minorEastAsia"/>
          <w:bCs/>
        </w:rPr>
        <w:lastRenderedPageBreak/>
        <w:t xml:space="preserve">rail stations may also have relatively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areas that are not directly served by rail tend to have lower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w:t>
      </w:r>
    </w:p>
    <w:p w14:paraId="5C41338D" w14:textId="111526A9" w:rsidR="00191F95" w:rsidRDefault="00191F95" w:rsidP="008A15BC">
      <w:pPr>
        <w:pStyle w:val="NoSpacing"/>
        <w:spacing w:line="480" w:lineRule="auto"/>
        <w:ind w:firstLine="567"/>
        <w:jc w:val="both"/>
        <w:rPr>
          <w:rFonts w:eastAsiaTheme="minorEastAsia" w:cstheme="minorHAnsi"/>
          <w:bCs/>
        </w:rPr>
      </w:pPr>
      <w:r>
        <w:rPr>
          <w:rFonts w:eastAsiaTheme="minorEastAsia"/>
          <w:bCs/>
        </w:rPr>
        <w:t xml:space="preserve">However, as noted above,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improve on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as the former account for competition effects from residents of different areas for the same jobs.  The right panel of Figure XX visualises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of each MSOA, which can be</w:t>
      </w:r>
      <w:r w:rsidR="004B65AB">
        <w:rPr>
          <w:rFonts w:eastAsiaTheme="minorEastAsia"/>
          <w:bCs/>
        </w:rPr>
        <w:t xml:space="preserve"> straightforwardly</w:t>
      </w:r>
      <w:r>
        <w:rPr>
          <w:rFonts w:eastAsiaTheme="minorEastAsia"/>
          <w:bCs/>
        </w:rPr>
        <w:t xml:space="preserve"> interpreted as</w:t>
      </w:r>
      <w:r w:rsidR="004B65AB">
        <w:rPr>
          <w:rFonts w:eastAsiaTheme="minorEastAsia"/>
          <w:bCs/>
        </w:rPr>
        <w:t xml:space="preserve"> the following ratio:</w:t>
      </w:r>
      <w:r>
        <w:rPr>
          <w:rFonts w:eastAsiaTheme="minorEastAsia"/>
          <w:bCs/>
        </w:rPr>
        <w:t xml:space="preserve"> the number of jobs within 45min AM peak travel time from each MSOA that are allocated to each working-age resident in that MSOA.  </w:t>
      </w:r>
      <w:r w:rsidR="004B65AB">
        <w:rPr>
          <w:rFonts w:eastAsiaTheme="minorEastAsia"/>
          <w:bCs/>
        </w:rPr>
        <w:t xml:space="preserve">If jobs, workers and connectivity were all evenly distributed throughout the GLA area, then all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will equal the ratio of the total number of jobs to the total number of working-age residents,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To express the extent to which actual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&lt;&lt; working-age residents),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 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w:t>
      </w:r>
      <w:r w:rsidR="004B65AB">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&gt;&gt; working-age residents).</w:t>
      </w:r>
    </w:p>
    <w:p w14:paraId="055A133A" w14:textId="1D290B9C" w:rsidR="004B65AB" w:rsidRDefault="004B65AB" w:rsidP="008A15BC">
      <w:pPr>
        <w:pStyle w:val="NoSpacing"/>
        <w:spacing w:line="480" w:lineRule="auto"/>
        <w:ind w:firstLine="567"/>
        <w:jc w:val="both"/>
        <w:rPr>
          <w:rFonts w:eastAsiaTheme="minorEastAsia" w:cstheme="minorHAnsi"/>
          <w:bCs/>
        </w:rPr>
      </w:pPr>
      <w:r>
        <w:rPr>
          <w:rFonts w:eastAsiaTheme="minorEastAsia" w:cstheme="minorHAnsi"/>
          <w:bCs/>
        </w:rPr>
        <w:t xml:space="preserve">From the right panel of Figure XX, we can see that few MSOAs in the GLA area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close to a balanced state.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in the west, where Heathrow 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55368ED0" w:rsidR="004B65AB" w:rsidRDefault="004B65AB" w:rsidP="004B65AB">
      <w:pPr>
        <w:pStyle w:val="NoSpacing"/>
        <w:spacing w:line="480" w:lineRule="auto"/>
        <w:jc w:val="both"/>
        <w:rPr>
          <w:bCs/>
          <w:i/>
          <w:iCs/>
        </w:rPr>
      </w:pPr>
      <w:r>
        <w:rPr>
          <w:bCs/>
          <w:i/>
          <w:iCs/>
        </w:rPr>
        <w:t>Analysis of Accessibility to Jobs by Sector</w:t>
      </w:r>
    </w:p>
    <w:p w14:paraId="2911A0F3" w14:textId="3B1B93AB"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This allows us to analyse how jobs are allocated to working-age residents by sector.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lastRenderedPageBreak/>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625CD083" w:rsidR="004C3000" w:rsidRDefault="004C3000" w:rsidP="004C3000">
      <w:pPr>
        <w:pStyle w:val="NoSpacing"/>
        <w:numPr>
          <w:ilvl w:val="0"/>
          <w:numId w:val="4"/>
        </w:numPr>
        <w:spacing w:line="480" w:lineRule="auto"/>
        <w:jc w:val="both"/>
        <w:rPr>
          <w:bCs/>
        </w:rPr>
      </w:pPr>
      <w:r>
        <w:rPr>
          <w:bCs/>
        </w:rPr>
        <w:t>Retail, Logistics, Food &amp; Beverage and Hospitality</w:t>
      </w:r>
    </w:p>
    <w:p w14:paraId="1DB81A1E" w14:textId="701C60E2"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0E66EE0" w:rsidR="004C3000" w:rsidRDefault="00C22C1F" w:rsidP="004C3000">
      <w:pPr>
        <w:pStyle w:val="NoSpacing"/>
        <w:spacing w:line="480" w:lineRule="auto"/>
        <w:ind w:firstLine="567"/>
        <w:jc w:val="both"/>
        <w:rPr>
          <w:bCs/>
        </w:rPr>
      </w:pPr>
      <w:r>
        <w:rPr>
          <w:bCs/>
        </w:rPr>
        <w:t xml:space="preserve">The inset of Figure XX shows the proportion of all jobs in the GLA area that belong to each sector.  The finance, insurance, real estate, professional and administrative support sector is the largest in the GLA area, followed by the retail, logistics, food &amp; beverage and hospitality sector and the public sector.  </w:t>
      </w:r>
      <w:r w:rsidR="004C3000">
        <w:rPr>
          <w:bCs/>
        </w:rPr>
        <w:t xml:space="preserve">Figure XX plots the distribution of jobs in each sector as a dot density map.  </w:t>
      </w:r>
      <w:r>
        <w:rPr>
          <w:bCs/>
        </w:rPr>
        <w:t>Industrial jobs are the most evenly spread out across the GLA area, while retail, logistics, food &amp; beverage, hospitality and public sector jobs are somewhat less spread out with significant concentrations in the job-rich centre.  Unsurprisingly, finance, insurance, real estate, professional and administrative support jobs are the most concentrated in the centre.</w:t>
      </w:r>
    </w:p>
    <w:p w14:paraId="404813B6" w14:textId="7777777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using the job distribution for each sector and plot maps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per sector in Figure XX.  The top left panel of Figure XX reproduces the map in the right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that accessibility to industrial jobs is most evenly distributed, while accessibility to public-sector and retail, logistics, food &amp; beverage and hospitality jobs are also relatively evenly distributed albeit with significant over-provision of jobs per working-age population at the centre of the GLA area.  In contrast, access to finance, insurance, real estate, professional and administrative support jobs is most unevenly distributed, with large swaths of MSOAs in the south, east and north having almost no jobs from this sector allocated per working-age resident.</w:t>
      </w:r>
    </w:p>
    <w:p w14:paraId="098912BC" w14:textId="77777777" w:rsidR="009A2C18" w:rsidRDefault="009A2C18" w:rsidP="004C3000">
      <w:pPr>
        <w:pStyle w:val="NoSpacing"/>
        <w:spacing w:line="480" w:lineRule="auto"/>
        <w:ind w:firstLine="567"/>
        <w:jc w:val="both"/>
        <w:rPr>
          <w:rFonts w:eastAsiaTheme="minorEastAsia"/>
          <w:bCs/>
        </w:rPr>
      </w:pPr>
      <w:r>
        <w:rPr>
          <w:rFonts w:eastAsiaTheme="minorEastAsia"/>
          <w:bCs/>
        </w:rPr>
        <w:t xml:space="preserve">When we plot Lorenz curves of the distribution of jobs allocated per sector to the working-age population (lower right panel of Figure XX), we can assess the extent to which the distribution of jobs </w:t>
      </w:r>
      <w:r>
        <w:rPr>
          <w:rFonts w:eastAsiaTheme="minorEastAsia"/>
          <w:bCs/>
        </w:rPr>
        <w:lastRenderedPageBreak/>
        <w:t>in each sector contributes to the unevenness in overall accessibility to jobs.  The Lorenz curves for the industrial, retail, logistics, food &amp; beverage, hospitality and public sectors are closer to the diagonal than the curve for all jobs, but the curves for the finance, insurance, real estate, professional and administrative services and other sectors are below the curve for all jobs.  This indicates that the distributions of the latter two sectors tends to make accessibility to jobs more uneven in the GLA area.  In particular, because the finance, insurance, real estate, professional and administrative services sector is the largest in the GLA, the high concentration of jobs in this sector in the centre of the GLA area tends to drive the unevenness in the distribution of accessibility to jobs in the GLA area.</w:t>
      </w:r>
    </w:p>
    <w:p w14:paraId="04257C23" w14:textId="77777777" w:rsidR="00C355AC" w:rsidRDefault="00C355AC" w:rsidP="00C355AC">
      <w:pPr>
        <w:pStyle w:val="NoSpacing"/>
        <w:spacing w:line="480" w:lineRule="auto"/>
        <w:jc w:val="both"/>
        <w:rPr>
          <w:rFonts w:eastAsiaTheme="minorEastAsia"/>
          <w:bCs/>
        </w:rPr>
      </w:pPr>
    </w:p>
    <w:p w14:paraId="43703AAF" w14:textId="77777777"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Accessibility to Jobs</w:t>
      </w:r>
    </w:p>
    <w:p w14:paraId="11AFA83D" w14:textId="3D6EBFC2" w:rsidR="004C3000" w:rsidRDefault="00C355AC" w:rsidP="00C355AC">
      <w:pPr>
        <w:pStyle w:val="NoSpacing"/>
        <w:spacing w:line="480" w:lineRule="auto"/>
        <w:ind w:firstLine="567"/>
        <w:jc w:val="both"/>
        <w:rPr>
          <w:rFonts w:eastAsiaTheme="minorEastAsia"/>
          <w:bCs/>
        </w:rPr>
      </w:pPr>
      <w:r>
        <w:rPr>
          <w:rFonts w:eastAsiaTheme="minorEastAsia"/>
          <w:bCs/>
        </w:rPr>
        <w:t>Ideally, we should improve the public transport network and redistribute jobs and homes such that accessibility to jobs is even</w:t>
      </w:r>
      <w:r w:rsidR="009A2C18">
        <w:rPr>
          <w:rFonts w:eastAsiaTheme="minorEastAsia"/>
          <w:bCs/>
        </w:rPr>
        <w:t xml:space="preserve"> </w:t>
      </w:r>
      <w:r>
        <w:rPr>
          <w:rFonts w:eastAsiaTheme="minorEastAsia"/>
          <w:bCs/>
        </w:rPr>
        <w:t>throughout the GLA area.  However, in order to minimise social inequity, improvements should be prioritised to benefit the neediest areas first (citation).  To do this, we need to identify areas which have high social deprivation and poor accessibility to jobs.</w:t>
      </w:r>
    </w:p>
    <w:p w14:paraId="3837A9D7" w14:textId="07C1D0E0" w:rsidR="00C355AC" w:rsidRDefault="00C355AC" w:rsidP="00C355AC">
      <w:pPr>
        <w:pStyle w:val="NoSpacing"/>
        <w:spacing w:line="480" w:lineRule="auto"/>
        <w:ind w:firstLine="567"/>
        <w:jc w:val="both"/>
        <w:rPr>
          <w:rFonts w:eastAsiaTheme="minorEastAsia"/>
          <w:bCs/>
        </w:rPr>
      </w:pPr>
      <w:r>
        <w:rPr>
          <w:rFonts w:eastAsiaTheme="minorEastAsia"/>
          <w:bCs/>
        </w:rPr>
        <w:t xml:space="preserve">To this end, I carry out k-means clustering to classify MSOAs according to their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and their IMD ranks, to identify a typology of MSOAs characterised by the number of jobs per sector allocated to each working-age resident and the relative level of deprivation of each area.  The results for when k = 6 are presented in Figure XX.  The upper left panel visualises the distribution of IMD ranks in each cluster.  Cluster 0 is most deprived, while Clusters 1 and 5 tend to be more deprived, and Clusters 2, 3 and 4 tend to be less deprived.  The upper right panel visualises the distribution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for all jobs per cluster.  Among the more deprived clusters, Cluster 0 has the lowest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indicating areas that tend to be most deprived and to have the poorest overall accessibility to jobs.  However, Clusters 1 and 5 tend to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that indicate too many jobs allocated per working-age resident.</w:t>
      </w:r>
    </w:p>
    <w:p w14:paraId="3176E509" w14:textId="650FBCFD"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per cluster.  This sheds some more light on </w:t>
      </w:r>
      <w:r w:rsidR="00633400">
        <w:rPr>
          <w:rFonts w:eastAsiaTheme="minorEastAsia"/>
          <w:bCs/>
        </w:rPr>
        <w:t xml:space="preserve">the job allocation situation for Clusters 1 and 5.  Although these clusters </w:t>
      </w:r>
      <w:r w:rsidR="00633400">
        <w:rPr>
          <w:rFonts w:eastAsiaTheme="minorEastAsia"/>
          <w:bCs/>
        </w:rPr>
        <w:lastRenderedPageBreak/>
        <w:t>tend to have plenty of jobs per working-age resident, most of these jobs are in the finance, insurance, real estate, professional and administrative support sector.  Insofar as these sectors tend to require higher qualifications, there may be a skills mismatch between the more socially disadvantaged residents of MSOAs in Clusters 1 and 5 and the jobs that are available to them; in other words, though there may be enough jobs available, the types of jobs available may not match the types of workers available.</w:t>
      </w:r>
    </w:p>
    <w:p w14:paraId="27D21080" w14:textId="27DDE885" w:rsidR="00633400" w:rsidRDefault="00633400" w:rsidP="00C355AC">
      <w:pPr>
        <w:pStyle w:val="NoSpacing"/>
        <w:spacing w:line="480" w:lineRule="auto"/>
        <w:ind w:firstLine="567"/>
        <w:jc w:val="both"/>
        <w:rPr>
          <w:rFonts w:eastAsiaTheme="minorEastAsia"/>
          <w:bCs/>
        </w:rPr>
      </w:pPr>
      <w:r>
        <w:rPr>
          <w:rFonts w:eastAsiaTheme="minorEastAsia"/>
          <w:bCs/>
        </w:rPr>
        <w:t>In contrast, MSOAs in Clusters 2, 3 and 4 tend to have lower deprivation but also insufficient jobs allocated per working-age resident.  Faced with poor accessibility to the jobs they seek via public transport, residents in these MSOAs may be more likely to rely on cars for their commutes.  Improving public transport accessibility to jobs for these areas may be a prerequisite to encouraging less car-dependent commute choices for residents of these areas, but the effectiveness of public transport improvements to encourage lower car usage remains in doubt.</w:t>
      </w:r>
      <w:bookmarkStart w:id="0" w:name="_GoBack"/>
      <w:bookmarkEnd w:id="0"/>
    </w:p>
    <w:p w14:paraId="4A4CC904" w14:textId="77777777" w:rsidR="009A2C18" w:rsidRPr="004B65AB" w:rsidRDefault="009A2C18"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368C67DD"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AF823" w14:textId="77777777" w:rsidR="00844E83" w:rsidRDefault="00844E83" w:rsidP="00736D38">
      <w:pPr>
        <w:spacing w:after="0" w:line="240" w:lineRule="auto"/>
      </w:pPr>
      <w:r>
        <w:separator/>
      </w:r>
    </w:p>
  </w:endnote>
  <w:endnote w:type="continuationSeparator" w:id="0">
    <w:p w14:paraId="61A65444" w14:textId="77777777" w:rsidR="00844E83" w:rsidRDefault="00844E83"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C355AC" w:rsidRDefault="00C35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C355AC" w:rsidRDefault="00C35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ACF4D" w14:textId="77777777" w:rsidR="00844E83" w:rsidRDefault="00844E83" w:rsidP="00736D38">
      <w:pPr>
        <w:spacing w:after="0" w:line="240" w:lineRule="auto"/>
      </w:pPr>
      <w:r>
        <w:separator/>
      </w:r>
    </w:p>
  </w:footnote>
  <w:footnote w:type="continuationSeparator" w:id="0">
    <w:p w14:paraId="12529D61" w14:textId="77777777" w:rsidR="00844E83" w:rsidRDefault="00844E83" w:rsidP="0073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92E3A"/>
    <w:rsid w:val="000A7BBD"/>
    <w:rsid w:val="000C58FC"/>
    <w:rsid w:val="000D2847"/>
    <w:rsid w:val="0011043B"/>
    <w:rsid w:val="00113AE6"/>
    <w:rsid w:val="0012120F"/>
    <w:rsid w:val="00124E28"/>
    <w:rsid w:val="0012696A"/>
    <w:rsid w:val="00136E83"/>
    <w:rsid w:val="00137B56"/>
    <w:rsid w:val="001467F4"/>
    <w:rsid w:val="00157074"/>
    <w:rsid w:val="0017034A"/>
    <w:rsid w:val="00170EE3"/>
    <w:rsid w:val="00180EBE"/>
    <w:rsid w:val="00191F95"/>
    <w:rsid w:val="001F0E9E"/>
    <w:rsid w:val="001F317E"/>
    <w:rsid w:val="00221FC7"/>
    <w:rsid w:val="0022295E"/>
    <w:rsid w:val="0022453B"/>
    <w:rsid w:val="0024246D"/>
    <w:rsid w:val="00244C07"/>
    <w:rsid w:val="00252AA7"/>
    <w:rsid w:val="00291DEA"/>
    <w:rsid w:val="002B027C"/>
    <w:rsid w:val="002B0A1B"/>
    <w:rsid w:val="002D06D1"/>
    <w:rsid w:val="002F1386"/>
    <w:rsid w:val="0032066E"/>
    <w:rsid w:val="00327BE2"/>
    <w:rsid w:val="0035693A"/>
    <w:rsid w:val="00357952"/>
    <w:rsid w:val="003A3F90"/>
    <w:rsid w:val="003B767A"/>
    <w:rsid w:val="003C19BD"/>
    <w:rsid w:val="003D7F1C"/>
    <w:rsid w:val="004200C5"/>
    <w:rsid w:val="0042704F"/>
    <w:rsid w:val="00427430"/>
    <w:rsid w:val="0043035B"/>
    <w:rsid w:val="00442B84"/>
    <w:rsid w:val="00442BD6"/>
    <w:rsid w:val="00462799"/>
    <w:rsid w:val="00483FB3"/>
    <w:rsid w:val="00486A88"/>
    <w:rsid w:val="00492291"/>
    <w:rsid w:val="004B65AB"/>
    <w:rsid w:val="004C3000"/>
    <w:rsid w:val="004C7462"/>
    <w:rsid w:val="004D23AF"/>
    <w:rsid w:val="004E6D33"/>
    <w:rsid w:val="004F00F2"/>
    <w:rsid w:val="00520975"/>
    <w:rsid w:val="00546319"/>
    <w:rsid w:val="00553E85"/>
    <w:rsid w:val="00560CF6"/>
    <w:rsid w:val="00571146"/>
    <w:rsid w:val="005C3FD5"/>
    <w:rsid w:val="005D1934"/>
    <w:rsid w:val="005E3D53"/>
    <w:rsid w:val="005F790A"/>
    <w:rsid w:val="00602C7A"/>
    <w:rsid w:val="006034DE"/>
    <w:rsid w:val="00633400"/>
    <w:rsid w:val="006512A7"/>
    <w:rsid w:val="0066560E"/>
    <w:rsid w:val="00672CDD"/>
    <w:rsid w:val="00696395"/>
    <w:rsid w:val="006D3389"/>
    <w:rsid w:val="006E7AA6"/>
    <w:rsid w:val="006F0A20"/>
    <w:rsid w:val="006F37E8"/>
    <w:rsid w:val="00736D38"/>
    <w:rsid w:val="00745A30"/>
    <w:rsid w:val="007665BA"/>
    <w:rsid w:val="007949A2"/>
    <w:rsid w:val="007B2AFA"/>
    <w:rsid w:val="007C1C7E"/>
    <w:rsid w:val="007D23F5"/>
    <w:rsid w:val="008124AD"/>
    <w:rsid w:val="008410FA"/>
    <w:rsid w:val="00844E83"/>
    <w:rsid w:val="00855F70"/>
    <w:rsid w:val="008622BD"/>
    <w:rsid w:val="00863793"/>
    <w:rsid w:val="00881464"/>
    <w:rsid w:val="00885322"/>
    <w:rsid w:val="0088686C"/>
    <w:rsid w:val="008A13DE"/>
    <w:rsid w:val="008A15BC"/>
    <w:rsid w:val="008A649D"/>
    <w:rsid w:val="008A7373"/>
    <w:rsid w:val="008B6B72"/>
    <w:rsid w:val="008D5EE9"/>
    <w:rsid w:val="008E598F"/>
    <w:rsid w:val="008F45B2"/>
    <w:rsid w:val="009065D9"/>
    <w:rsid w:val="00931B20"/>
    <w:rsid w:val="009933A7"/>
    <w:rsid w:val="009A2C18"/>
    <w:rsid w:val="009A759F"/>
    <w:rsid w:val="009C3B12"/>
    <w:rsid w:val="009D3B9B"/>
    <w:rsid w:val="009F1861"/>
    <w:rsid w:val="00A304F4"/>
    <w:rsid w:val="00A45594"/>
    <w:rsid w:val="00A6668E"/>
    <w:rsid w:val="00A67083"/>
    <w:rsid w:val="00A72A3D"/>
    <w:rsid w:val="00A82C99"/>
    <w:rsid w:val="00A83414"/>
    <w:rsid w:val="00A8591D"/>
    <w:rsid w:val="00A86C01"/>
    <w:rsid w:val="00AC1D15"/>
    <w:rsid w:val="00AE5E77"/>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55AC"/>
    <w:rsid w:val="00C3794A"/>
    <w:rsid w:val="00C56364"/>
    <w:rsid w:val="00C76EAA"/>
    <w:rsid w:val="00C80A16"/>
    <w:rsid w:val="00C81CBB"/>
    <w:rsid w:val="00C828C4"/>
    <w:rsid w:val="00CA08A3"/>
    <w:rsid w:val="00CD52D2"/>
    <w:rsid w:val="00CF0BE6"/>
    <w:rsid w:val="00CF34BC"/>
    <w:rsid w:val="00D03B46"/>
    <w:rsid w:val="00D16D0D"/>
    <w:rsid w:val="00D239AC"/>
    <w:rsid w:val="00D34CE7"/>
    <w:rsid w:val="00D4597E"/>
    <w:rsid w:val="00D470BF"/>
    <w:rsid w:val="00D964E9"/>
    <w:rsid w:val="00DA1575"/>
    <w:rsid w:val="00DD6292"/>
    <w:rsid w:val="00DF3A66"/>
    <w:rsid w:val="00DF4279"/>
    <w:rsid w:val="00DF4401"/>
    <w:rsid w:val="00E06642"/>
    <w:rsid w:val="00E12EA9"/>
    <w:rsid w:val="00E26C23"/>
    <w:rsid w:val="00E42C92"/>
    <w:rsid w:val="00E543E6"/>
    <w:rsid w:val="00E84342"/>
    <w:rsid w:val="00E9110B"/>
    <w:rsid w:val="00E97BB5"/>
    <w:rsid w:val="00EA23AD"/>
    <w:rsid w:val="00EA40EB"/>
    <w:rsid w:val="00EB6328"/>
    <w:rsid w:val="00EC2065"/>
    <w:rsid w:val="00EC3463"/>
    <w:rsid w:val="00EE7D18"/>
    <w:rsid w:val="00EF0FC3"/>
    <w:rsid w:val="00F2270D"/>
    <w:rsid w:val="00F64297"/>
    <w:rsid w:val="00F77821"/>
    <w:rsid w:val="00F9176B"/>
    <w:rsid w:val="00FB6237"/>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25</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19</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21</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20</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22</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23</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24</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s>
</file>

<file path=customXml/itemProps1.xml><?xml version="1.0" encoding="utf-8"?>
<ds:datastoreItem xmlns:ds="http://schemas.openxmlformats.org/officeDocument/2006/customXml" ds:itemID="{BEEA8BAF-83D9-494A-8EAC-3178A93C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5896</TotalTime>
  <Pages>15</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27</cp:revision>
  <dcterms:created xsi:type="dcterms:W3CDTF">2019-04-25T13:10:00Z</dcterms:created>
  <dcterms:modified xsi:type="dcterms:W3CDTF">2019-07-15T15:12:00Z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