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asciiTheme="Times New Roman" w:cs="Times New Roman" w:eastAsia="Times New Roman"/>
          <w:b/>
          <w:sz w:val="21"/>
        </w:rPr>
        <w:t>Персональная веб-платформа встроенных карточек внешних источников на базе MDX: модуль агрегирования метаданных и граница клиент–сервер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Попов Александр Алексеевич,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студент, направление подготовки «Бизнес-информатика», Финансовый университет при Правительстве Российской Федерации, Москва, Россия, адрес электронной почты указывается в подписном варианте тезисов.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Научный руководитель:</w:t>
      </w:r>
    </w:p>
    <w:p>
      <w:pPr>
        <w:spacing w:line="240" w:lineRule="auto" w:after="40" w:before="0"/>
        <w:ind w:firstLine="0"/>
        <w:jc w:val="left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фамилия, имя, отчество, учёная степень, учёное звание, должность, Финансовый университет при Правительстве Российской Федерации, Москва, Россия, адрес электронной почты указывается в подписном варианте тезисов.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Актуальность определяется повседневной работой целевой аудитории – студентов, преподавателей и аналитиков, которые собирают подборки статей, регламентов и API-документации: при обычном Markdown метаданные с целевой страницы переносят вручную, а вставка карт и тяжёлых виджетов в тот же файл ломает предсказуемый SSR учебной или рабочей страницы. Цель – зафиксировать архитектуру и уже реализованный минимум персональной веб-платформы на MDX: карточка внешнего источника заполняется из Open Graph и JSON-LD через серверный HTTP-агент с кэшем, а интерактив редактора отделён от серверной сборки. Задачи – контракт JSON-API, приоритеты полей DTO, устойчивое поведение при сетевых сбоях. Итог – связка «редактор – сохранение – карточка» без ручного копирования заголовка и превью и без смешения серверного и клиентского графа модулей. Практический эффект для вуза – экономия времени на оформление ссылок в конспектах и хрестоматиях и прозрачный контур для согласования с ИБ; новизна – согласованное в одном решении разведение нормализации метаданных, версионируемого API и границы SSR.</w:t>
      </w:r>
    </w:p>
    <w:p>
      <w:pPr>
        <w:spacing w:line="240" w:lineRule="auto" w:before="120" w:after="0"/>
        <w:ind w:firstLine="0"/>
        <w:jc w:val="both"/>
      </w:pPr>
      <w:r>
        <w:rPr>
          <w:rFonts w:ascii="Times New Roman" w:hAnsi="Times New Roman" w:asciiTheme="Times New Roman" w:cs="Times New Roman" w:eastAsia="Times New Roman"/>
          <w:b/>
          <w:sz w:val="21"/>
        </w:rPr>
        <w:t xml:space="preserve">Ключевые слова: </w:t>
      </w:r>
      <w:r>
        <w:rPr>
          <w:rFonts w:ascii="Times New Roman" w:hAnsi="Times New Roman" w:asciiTheme="Times New Roman" w:cs="Times New Roman" w:eastAsia="Times New Roman"/>
          <w:b w:val="0"/>
          <w:sz w:val="21"/>
        </w:rPr>
        <w:t>веб-платформа, MDX, метаданные, Open Graph, JSON-LD, SSR, карточка ссылки.</w:t>
      </w:r>
    </w:p>
    <w:p>
      <w:pPr>
        <w:spacing w:line="240" w:lineRule="auto" w:before="200" w:after="120"/>
        <w:ind w:firstLine="0"/>
        <w:jc w:val="center"/>
      </w:pPr>
      <w:r>
        <w:rPr>
          <w:rFonts w:ascii="Times New Roman" w:hAnsi="Times New Roman" w:asciiTheme="Times New Roman" w:cs="Times New Roman" w:eastAsia="Times New Roman"/>
          <w:b/>
          <w:sz w:val="21"/>
        </w:rPr>
        <w:t>ВВЕДЕНИЕ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MDX даёт одному исходному файлу и переносимость Markdown, и выразительность JSX: карточка внешней страницы описывается компонентом с URL и подставляемыми полями заголовка, описания и превью, без ручной разметки вокруг каждой ссылки. Для читателя конспекта или методического материала это даёт единообразие оформления и меньше визуального шума по сравнению с голым списком URL.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Чтение HTML стороннего сайта из браузера упирается в same-origin; в проекте реализован серверный агент с парсингом ответа и отдачей нормализованного JSON в редактор. Модули с доступом к window и к DOM страницы (карты, сложные виджеты) не входят в серверный бандл и подгружаются на клиенте после гидратации – так сохраняется стабильный SSR первой выдачи и снимается класс ошибок «сервер вызвал браузерный API».</w:t>
      </w:r>
    </w:p>
    <w:p>
      <w:pPr>
        <w:spacing w:line="240" w:lineRule="auto" w:before="200" w:after="120"/>
        <w:ind w:firstLine="0"/>
        <w:jc w:val="center"/>
      </w:pPr>
      <w:r>
        <w:rPr>
          <w:rFonts w:ascii="Times New Roman" w:hAnsi="Times New Roman" w:asciiTheme="Times New Roman" w:cs="Times New Roman" w:eastAsia="Times New Roman"/>
          <w:b/>
          <w:sz w:val="21"/>
        </w:rPr>
        <w:t>ИССЛЕДОВАНИЕ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Реализованный минимум включает окно MDX с предпросмотром, вставку URL статьи или API-документации, запрос к внутреннему endpoint извлечения метаданных с debounce, автозаполнение полей карточки по Open Graph и JSON-LD и резерв по тексту заголовка документа и метаописанию, если структурированных данных нет. Агент нормализует URL, ограничивает редиректы, объём тела и таймаут, проверяет URI изображения, маппит типы Schema.org на DTO с явным приоритетом при коллизии имён, кэширует ответ по ключу URL с TTL. В редакторе разделены подсказки для Markdown и для JSX; при обрыве сети файл не ломается – остаётся URL и компактное отображение по домену.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Контракт API задаёт коды 200, 400, 404 и 502, JSON с полями DTO, каноническим URL, признаком источника данных и версией схемы – это упрощает регрессионные тесты и эволюцию без скрытых поломок клиента. Ограничены глубина парсинга и логирование; чувствительные query-параметры при необходимости маскируются. Для целевой аудитории вуза выигрыш прямой: меньше ручного труда на конспект и подборку источников, одинаковые правила внешнего HTTP и кэша – проще согласовать с подразделением ИБ и воспроизвести решение в другой группе без копирования «магических» настроек из интерфейса.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Проверяемость зафиксирована в коде: к контракту ответа привязаны автоматические проверки на HTML-фикстурах, поверх них – сквозной сценарий вставки URL в редакторе. При смене версии агента, парсера или HTTP-клиента преподаватель или сопровождающий получают быстрый сигнал о регрессе без ручного обхода всех карточек в материалах курса; состав зависимостей задаёт lockfile, что важно для клонирования репозитория в учебной среде.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Ограничение: статический разбор не подменяет headless-браузер – сайты, отдающие смысл только после клиентского JS, остаются вне гарантии полноты превью; предусмотрены лимиты частоты к домену и учёт robots.txt. В отличие от связки «Markdown-ссылка плюс отдельный плагин превью», здесь карточка и агрегация – одна осмысленная цепочка в MDX, что снижает риск рассинхрона между текстом и метаданными.</w:t>
      </w:r>
    </w:p>
    <w:p>
      <w:pPr>
        <w:spacing w:line="240" w:lineRule="auto" w:before="200" w:after="120"/>
        <w:ind w:firstLine="0"/>
        <w:jc w:val="center"/>
      </w:pPr>
      <w:r>
        <w:rPr>
          <w:rFonts w:ascii="Times New Roman" w:hAnsi="Times New Roman" w:asciiTheme="Times New Roman" w:cs="Times New Roman" w:eastAsia="Times New Roman"/>
          <w:b/>
          <w:sz w:val="21"/>
        </w:rPr>
        <w:t>ЗАКЛЮЧЕНИЕ</w:t>
      </w:r>
    </w:p>
    <w:p>
      <w:pPr>
        <w:spacing w:line="240" w:lineRule="auto" w:after="0" w:before="0"/>
        <w:ind w:firstLine="567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Сформулирован и реализован связный контур: MDX-редактор, серверный агент метаданных с кэшем и явной границей SSR, дающий целевой аудитории экономию времени и предсказуемое оформление внешних ссылок. Следующие шаги – расширение покрытия микроразметки, офлайн и политика кэша под нагрузку; накопленный опыт пригоден как эталон архитектуры для учебных внедрений и оценки совокупной стоимости владения.</w:t>
      </w:r>
    </w:p>
    <w:p>
      <w:pPr>
        <w:spacing w:line="240" w:lineRule="auto" w:before="200" w:after="120"/>
        <w:ind w:firstLine="0"/>
        <w:jc w:val="center"/>
      </w:pPr>
      <w:r>
        <w:rPr>
          <w:rFonts w:ascii="Times New Roman" w:hAnsi="Times New Roman" w:asciiTheme="Times New Roman" w:cs="Times New Roman" w:eastAsia="Times New Roman"/>
          <w:b/>
          <w:sz w:val="21"/>
        </w:rPr>
        <w:t>СПИСОК ИСПОЛЬЗОВАННЫХ ИСТОЧНИКОВ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1. ГОСТ Р 7.0.100-2018. Библиографическая запись. Библиографическое описание. Общие требования и правила составления. – М.: стандартинформ, 2019.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2. MDX: руководство по синтаксису и компиляции [Электронный ресурс]. – URL: https://mdxjs.com/docs/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3. Open Graph protocol [Электронный ресурс]. – URL: https://ogp.me/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4. JSON-LD 1.1 [Электронный ресурс]. – URL: https://www.w3.org/TR/json-ld11/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5. Micromark: модульный парсер разметки [Электронный ресурс]. – URL: https://github.com/micromark/micromark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6. Schema.org [Электронный ресурс]. – URL: https://schema.org/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7. MDXEditor [Электронный ресурс]. – URL: https://mdxeditor.dev/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8. HTTP Semantics [Электронный ресурс]. – URL: https://www.rfc-editor.org/rfc/rfc9110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9. Fetch Living Standard [Электронный ресурс]. – URL: https://fetch.spec.whatwg.org/ (дата обращения: 28.03.2026).</w:t>
      </w:r>
    </w:p>
    <w:p>
      <w:pPr>
        <w:spacing w:line="240" w:lineRule="auto" w:after="60" w:before="0"/>
        <w:ind w:left="198" w:hanging="198"/>
        <w:jc w:val="both"/>
      </w:pPr>
      <w:r>
        <w:rPr>
          <w:rFonts w:ascii="Times New Roman" w:hAnsi="Times New Roman" w:asciiTheme="Times New Roman" w:cs="Times New Roman" w:eastAsia="Times New Roman"/>
          <w:b w:val="0"/>
          <w:sz w:val="21"/>
        </w:rPr>
        <w:t>10. React: Server Components и границы клиента и сервера [Электронный ресурс]. – URL: https://react.dev/reference/rsc/server-components (дата обращения: 28.03.2026).</w:t>
      </w:r>
    </w:p>
    <w:sectPr w:rsidR="00FC693F" w:rsidRPr="0006063C" w:rsidSect="00034616">
      <w:pgSz w:w="12240" w:h="15840"/>
      <w:pgMar w:top="3345" w:right="2721" w:bottom="3628" w:left="27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