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</w:pPr>
      <w:r>
        <w:rPr>
          <w:rFonts w:ascii="Microsoft YaHei" w:hAnsi="Microsoft YaHei" w:eastAsia="Microsoft YaHei"/>
          <w:b/>
          <w:i w:val="0"/>
          <w:color w:val="2E74B5"/>
          <w:sz w:val="22"/>
        </w:rPr>
        <w:t>数据库教学 · 安全执行 · 智能练习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7365D"/>
          <w:sz w:val="52"/>
        </w:rPr>
        <w:t>SQLTeacher SQL教学与智能练习软件</w:t>
      </w:r>
    </w:p>
    <w:p>
      <w:pPr>
        <w:spacing w:after="360"/>
      </w:pPr>
      <w:r>
        <w:rPr>
          <w:rFonts w:ascii="Microsoft YaHei" w:hAnsi="Microsoft YaHei" w:eastAsia="Microsoft YaHei"/>
          <w:b w:val="0"/>
          <w:i w:val="0"/>
          <w:color w:val="2E74B5"/>
          <w:sz w:val="30"/>
        </w:rPr>
        <w:t>用户操作手册  V1.1.0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1EE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文档定位：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本手册对应冻结提交 163aa1b15d6c2e6455f56908cdfb55a31e9d5d86，说明已经实现的桌面教学、SQL安全、练习评测、知识检索、学习分析和可选云端能力。</w:t>
            </w:r>
          </w:p>
        </w:tc>
      </w:tr>
    </w:tbl>
    <w:p>
      <w:pPr>
        <w:spacing w:after="0"/>
      </w:pPr>
    </w:p>
    <w:p>
      <w:pPr>
        <w:pStyle w:val="Heading2"/>
      </w:pPr>
      <w:r>
        <w:t>软件的核心特点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把SQL学习过程拆分为草稿、风险判断、确认、执行、结果解释和学习事件记录，而不是直接把输入交给数据库。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AI只生成结构化SQL草案；模型输出必须经Java解析、方言检查和风险分析，不能直接持有JDBC连接或自行执行。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练习结果由确定性规则评测，可检查列、行、顺序、行数和关键结构，避免用模型主观判断学生答案。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本地教学能力可离线使用；云端账号、班级、任务和同步属于可选增强，网络中断不破坏本地记录。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4933"/>
            <w:shd w:fill="E8EEF5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4933"/>
            <w:shd w:fill="E8EEF5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4933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软件版本</w:t>
            </w:r>
          </w:p>
        </w:tc>
        <w:tc>
          <w:tcPr>
            <w:tcW w:type="dxa" w:w="4933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V1.1.0</w:t>
            </w:r>
          </w:p>
        </w:tc>
      </w:tr>
      <w:tr>
        <w:tc>
          <w:tcPr>
            <w:tcW w:type="dxa" w:w="4933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运行形态</w:t>
            </w:r>
          </w:p>
        </w:tc>
        <w:tc>
          <w:tcPr>
            <w:tcW w:type="dxa" w:w="4933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Java 21 / JavaFX桌面应用，本地SQLite优先</w:t>
            </w:r>
          </w:p>
        </w:tc>
      </w:tr>
      <w:tr>
        <w:tc>
          <w:tcPr>
            <w:tcW w:type="dxa" w:w="4933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适用对象</w:t>
            </w:r>
          </w:p>
        </w:tc>
        <w:tc>
          <w:tcPr>
            <w:tcW w:type="dxa" w:w="4933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数据库课程学生、授课教师、实验管理员</w:t>
            </w:r>
          </w:p>
        </w:tc>
      </w:tr>
      <w:tr>
        <w:tc>
          <w:tcPr>
            <w:tcW w:type="dxa" w:w="4933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文档范围</w:t>
            </w:r>
          </w:p>
        </w:tc>
        <w:tc>
          <w:tcPr>
            <w:tcW w:type="dxa" w:w="4933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安装启动、SQL练习、安全控制、评测、知识与AI、教学协作、数据维护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1  从学习任务到可追溯结果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SQLTeacher围绕“写—查—判—练—记—析”组织完整学习闭环。</w:t>
      </w:r>
    </w:p>
    <w:p>
      <w:pPr>
        <w:pStyle w:val="Heading2"/>
      </w:pPr>
      <w:r>
        <w:t>1.1 典型学习闭环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选择演示数据库或已配置连接，先浏览表和字段，确认练习上下文。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输入单条SQL或从AI助手取得草案；系统拆分语句并识别只读、修改、结构变更或禁止操作。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安全规则决定直接执行、要求二次确认或阻止；通过后才进入JDBC执行路径。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查询结果显示列、行、耗时和截断状态；数据库错误被转换为学生可理解的反馈。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在闯关练习中提交答案，由确定性规则给出通过、差异和分级提示，并记录学习事件。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教师在学情看板按题目、知识点和错误类型汇总，形成下一轮教学干预依据。</w:t>
      </w:r>
    </w:p>
    <w:p>
      <w:pPr>
        <w:pStyle w:val="Heading2"/>
      </w:pPr>
      <w:r>
        <w:t>1.2 身份与边界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300"/>
        <w:gridCol w:w="3610"/>
      </w:tblGrid>
      <w:tr>
        <w:tc>
          <w:tcPr>
            <w:tcW w:type="dxa" w:w="3289"/>
            <w:shd w:fill="E8EEF5"/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身份</w:t>
            </w:r>
          </w:p>
        </w:tc>
        <w:tc>
          <w:tcPr>
            <w:tcW w:type="dxa" w:w="3289"/>
            <w:shd w:fill="E8EEF5"/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主要入口</w:t>
            </w:r>
          </w:p>
        </w:tc>
        <w:tc>
          <w:tcPr>
            <w:tcW w:type="dxa" w:w="3289"/>
            <w:shd w:fill="E8EEF5"/>
            <w:tcW w:w="3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数据边界</w:t>
            </w:r>
          </w:p>
        </w:tc>
      </w:tr>
      <w:tr>
        <w:tc>
          <w:tcPr>
            <w:tcW w:type="dxa" w:w="3289"/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访客</w:t>
            </w:r>
          </w:p>
        </w:tc>
        <w:tc>
          <w:tcPr>
            <w:tcW w:type="dxa" w:w="3289"/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首页、自由SQL、闯关练习、AI助手、表结构</w:t>
            </w:r>
          </w:p>
        </w:tc>
        <w:tc>
          <w:tcPr>
            <w:tcW w:type="dxa" w:w="3289"/>
            <w:tcW w:w="3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仅本机体验，不上传账号</w:t>
            </w:r>
          </w:p>
        </w:tc>
      </w:tr>
      <w:tr>
        <w:tc>
          <w:tcPr>
            <w:tcW w:type="dxa" w:w="3289"/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学生</w:t>
            </w:r>
          </w:p>
        </w:tc>
        <w:tc>
          <w:tcPr>
            <w:tcW w:type="dxa" w:w="3289"/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访客功能、课程知识、云端班级与任务</w:t>
            </w:r>
          </w:p>
        </w:tc>
        <w:tc>
          <w:tcPr>
            <w:tcW w:type="dxa" w:w="3289"/>
            <w:tcW w:w="3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仅同步本人学习事件</w:t>
            </w:r>
          </w:p>
        </w:tc>
      </w:tr>
      <w:tr>
        <w:tc>
          <w:tcPr>
            <w:tcW w:type="dxa" w:w="3289"/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教师</w:t>
            </w:r>
          </w:p>
        </w:tc>
        <w:tc>
          <w:tcPr>
            <w:tcW w:type="dxa" w:w="3289"/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题库、看板、连接设置、班级成员与任务</w:t>
            </w:r>
          </w:p>
        </w:tc>
        <w:tc>
          <w:tcPr>
            <w:tcW w:type="dxa" w:w="3289"/>
            <w:tcW w:w="3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仅管理参与班级</w:t>
            </w:r>
          </w:p>
        </w:tc>
      </w:tr>
      <w:tr>
        <w:tc>
          <w:tcPr>
            <w:tcW w:type="dxa" w:w="3289"/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管理员</w:t>
            </w:r>
          </w:p>
        </w:tc>
        <w:tc>
          <w:tcPr>
            <w:tcW w:type="dxa" w:w="3289"/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全部功能与云端管理</w:t>
            </w:r>
          </w:p>
        </w:tc>
        <w:tc>
          <w:tcPr>
            <w:tcW w:type="dxa" w:w="3289"/>
            <w:tcW w:w="3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仍受服务端鉴权与审计约束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安全原则：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界面是否显示某个入口不是唯一权限控制。桌面控制器和云端服务都会再次校验身份、角色与班级成员关系。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2  登录、注册与访客模式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启动页把账号教学与本地体验明确分开，避免访客数据误同步。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12000" cy="3403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03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图1  V1.1.0登录页：登录、注册学生账号与访客进入共用同一入口</w:t>
      </w:r>
    </w:p>
    <w:p>
      <w:pPr>
        <w:pStyle w:val="Heading2"/>
      </w:pPr>
      <w:r>
        <w:t>2.1 操作步骤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已有账号：填写邮箱和密码，点击“登录并进入”。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新学生：填写邮箱、昵称和至少12位密码，点击“注册学生账号”。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仅体验本地功能：点击“访客进入”，访客数据不会上传到云端账号。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切换身份：在主界面右上角退出当前身份；服务端令牌撤销后返回登录页。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隐私提示：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不要在截图或问题反馈中展示真实邮箱、密码、访问令牌、API Key或学生身份信息。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3  首页与功能导航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首页不是静态宣传页，而是按身份提供可达功能的工作入口。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42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图2  V1.1.0首页：自由SQL、AI助手和表结构构成学生的基础工作区</w:t>
      </w:r>
    </w:p>
    <w:p>
      <w:pPr>
        <w:pStyle w:val="Heading2"/>
      </w:pPr>
      <w:r>
        <w:t>3.1 导航方式</w:t>
      </w:r>
    </w:p>
    <w:p>
      <w:r>
        <w:t>顶部导航用于切换首页、自由SQL、闯关练习、AI助手、表结构及身份相关页面。窄屏时导航区域可横向滚动，耗时操作期间相关按钮会暂时禁用，防止重复提交。</w:t>
      </w:r>
    </w:p>
    <w:p>
      <w:pPr>
        <w:pStyle w:val="Heading2"/>
      </w:pPr>
      <w:r>
        <w:t>3.2 建议的首次使用顺序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先进入表结构，认识student等演示表的字段和主键。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进入自由SQL，执行只读查询并观察结果列、行数和耗时。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进入闯关练习，用题目要求和分级提示完成一次提交。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需要时再使用AI助手生成草案，并返回自由SQL页面复核执行。</w:t>
      </w:r>
    </w:p>
    <w:p>
      <w:r>
        <w:br w:type="page"/>
      </w:r>
    </w:p>
    <w:p>
      <w:pPr>
        <w:pStyle w:val="Heading1"/>
        <w:spacing w:before="0"/>
      </w:pPr>
      <w:r>
        <w:t>4  自由SQL：从输入到结果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所有SQL都先经过Java侧拆分与风险判断，数据库执行位于安全检查之后。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42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ql-pract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图3  V1.1.0自由SQL页：示例、编辑区、执行动作和查询结果位于同一学习上下文</w:t>
      </w:r>
    </w:p>
    <w:p>
      <w:pPr>
        <w:pStyle w:val="Heading2"/>
      </w:pPr>
      <w:r>
        <w:t>4.1 完成一次查询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点击示例SQL或在编辑区输入一条语句。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点击“执行SQL”；系统拒绝空输入和默认禁止的多语句。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风险分析通过后执行查询；结果区显示列名、数据行、执行耗时和是否截断。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若出现错误，根据中文提示检查表名、列名、引号、括号和筛选条件。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after="0"/>
            </w:pPr>
            <w:r>
              <w:rPr>
                <w:rFonts w:ascii="Courier New" w:hAnsi="Courier New" w:eastAsia="Microsoft YaHei"/>
                <w:b w:val="0"/>
                <w:i w:val="0"/>
                <w:color w:val="202B38"/>
                <w:sz w:val="17"/>
              </w:rPr>
              <w:t>SELECT name, score</w:t>
              <w:br/>
            </w:r>
            <w:r>
              <w:rPr>
                <w:rFonts w:ascii="Courier New" w:hAnsi="Courier New" w:eastAsia="Microsoft YaHei"/>
                <w:b w:val="0"/>
                <w:i w:val="0"/>
                <w:color w:val="202B38"/>
                <w:sz w:val="17"/>
              </w:rPr>
              <w:t>FROM student</w:t>
              <w:br/>
            </w:r>
            <w:r>
              <w:rPr>
                <w:rFonts w:ascii="Courier New" w:hAnsi="Courier New" w:eastAsia="Microsoft YaHei"/>
                <w:b w:val="0"/>
                <w:i w:val="0"/>
                <w:color w:val="202B38"/>
                <w:sz w:val="17"/>
              </w:rPr>
              <w:t>WHERE score &gt;= 60</w:t>
              <w:br/>
            </w:r>
            <w:r>
              <w:rPr>
                <w:rFonts w:ascii="Courier New" w:hAnsi="Courier New" w:eastAsia="Microsoft YaHei"/>
                <w:b w:val="0"/>
                <w:i w:val="0"/>
                <w:color w:val="202B38"/>
                <w:sz w:val="17"/>
              </w:rPr>
              <w:t>ORDER BY score DESC;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5  SQL风险识别与执行控制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系统同时处理语句边界、语句类型、禁止规则和高风险确认，不能只靠关键词着色。</w:t>
      </w:r>
    </w:p>
    <w:p>
      <w:pPr>
        <w:pStyle w:val="Heading2"/>
      </w:pPr>
      <w:r>
        <w:t>5.1 风险决策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4860"/>
      </w:tblGrid>
      <w:tr>
        <w:tc>
          <w:tcPr>
            <w:tcW w:type="dxa" w:w="3289"/>
            <w:shd w:fill="E8EEF5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类别</w:t>
            </w:r>
          </w:p>
        </w:tc>
        <w:tc>
          <w:tcPr>
            <w:tcW w:type="dxa" w:w="3289"/>
            <w:shd w:fill="E8EEF5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示例</w:t>
            </w:r>
          </w:p>
        </w:tc>
        <w:tc>
          <w:tcPr>
            <w:tcW w:type="dxa" w:w="3289"/>
            <w:shd w:fill="E8EEF5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系统处理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只读查询</w:t>
            </w:r>
          </w:p>
        </w:tc>
        <w:tc>
          <w:tcPr>
            <w:tcW w:type="dxa" w:w="3289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SELECT</w:t>
            </w:r>
          </w:p>
        </w:tc>
        <w:tc>
          <w:tcPr>
            <w:tcW w:type="dxa" w:w="3289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通过检查后执行，并限制结果数量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数据修改</w:t>
            </w:r>
          </w:p>
        </w:tc>
        <w:tc>
          <w:tcPr>
            <w:tcW w:type="dxa" w:w="3289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UPDATE / DELETE</w:t>
            </w:r>
          </w:p>
        </w:tc>
        <w:tc>
          <w:tcPr>
            <w:tcW w:type="dxa" w:w="3289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展示影响说明，要求明确确认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结构变更</w:t>
            </w:r>
          </w:p>
        </w:tc>
        <w:tc>
          <w:tcPr>
            <w:tcW w:type="dxa" w:w="3289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ALTER / DROP TABLE</w:t>
            </w:r>
          </w:p>
        </w:tc>
        <w:tc>
          <w:tcPr>
            <w:tcW w:type="dxa" w:w="3289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按高风险处理，要求确认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禁止操作</w:t>
            </w:r>
          </w:p>
        </w:tc>
        <w:tc>
          <w:tcPr>
            <w:tcW w:type="dxa" w:w="3289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DROP DATABASE / GRANT / REVOKE</w:t>
            </w:r>
          </w:p>
        </w:tc>
        <w:tc>
          <w:tcPr>
            <w:tcW w:type="dxa" w:w="3289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直接阻止，不进入JDBC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多语句</w:t>
            </w:r>
          </w:p>
        </w:tc>
        <w:tc>
          <w:tcPr>
            <w:tcW w:type="dxa" w:w="3289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以分号拼接两条语句</w:t>
            </w:r>
          </w:p>
        </w:tc>
        <w:tc>
          <w:tcPr>
            <w:tcW w:type="dxa" w:w="3289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默认阻止，避免绕过单语句判断</w:t>
            </w:r>
          </w:p>
        </w:tc>
      </w:tr>
    </w:tbl>
    <w:p>
      <w:pPr>
        <w:pStyle w:val="Heading2"/>
      </w:pPr>
      <w:r>
        <w:t>5.2 为什么能识别复杂输入</w:t>
      </w:r>
    </w:p>
    <w:p>
      <w:r>
        <w:t>SQL拆分器逐字符跟踪单引号、双引号、行注释和块注释，只有位于真实语句边界的分号才用于切分。风险分析器随后规范化SQL、识别首个有效关键字，并结合禁止模式与高风险模式返回风险等级、提示和是否允许执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不可绕过：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自由输入、AI草案和练习草稿最终都进入同一安全路径；用户确认高风险操作只表示理解当前影响，不会改变数据库权限。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6  闯关练习与确定性评测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练习服务为每次作答创建隔离会话，判定依据来自题目规则而不是AI主观结论。</w:t>
      </w:r>
    </w:p>
    <w:p>
      <w:pPr>
        <w:pStyle w:val="Heading2"/>
      </w:pPr>
      <w:r>
        <w:t>6.1 学生操作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从目录选择题目，阅读知识点、难度、目标和可用数据集。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开始会话后运行草稿；草稿仍需经过SQL安全分析。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遇到困难时按层级使用提示，系统记录提示级别但不泄露密码或连接信息。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提交答案后查看每个判定项的通过状态、差异信息和改进建议。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重置会话只重建当前隔离练习库，不修改题库、应用库或其他会话。</w:t>
      </w:r>
    </w:p>
    <w:p>
      <w:pPr>
        <w:pStyle w:val="Heading2"/>
      </w:pPr>
      <w:r>
        <w:t>6.2 评测维度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4933"/>
            <w:shd w:fill="E8EEF5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维度</w:t>
            </w:r>
          </w:p>
        </w:tc>
        <w:tc>
          <w:tcPr>
            <w:tcW w:type="dxa" w:w="4933"/>
            <w:shd w:fill="E8EEF5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判定内容</w:t>
            </w:r>
          </w:p>
        </w:tc>
      </w:tr>
      <w:tr>
        <w:tc>
          <w:tcPr>
            <w:tcW w:type="dxa" w:w="4933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结果列</w:t>
            </w:r>
          </w:p>
        </w:tc>
        <w:tc>
          <w:tcPr>
            <w:tcW w:type="dxa" w:w="4933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列名、列数及必要的顺序</w:t>
            </w:r>
          </w:p>
        </w:tc>
      </w:tr>
      <w:tr>
        <w:tc>
          <w:tcPr>
            <w:tcW w:type="dxa" w:w="4933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结果数据</w:t>
            </w:r>
          </w:p>
        </w:tc>
        <w:tc>
          <w:tcPr>
            <w:tcW w:type="dxa" w:w="4933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行集合、重复行和是否要求固定顺序</w:t>
            </w:r>
          </w:p>
        </w:tc>
      </w:tr>
      <w:tr>
        <w:tc>
          <w:tcPr>
            <w:tcW w:type="dxa" w:w="4933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结果规模</w:t>
            </w:r>
          </w:p>
        </w:tc>
        <w:tc>
          <w:tcPr>
            <w:tcW w:type="dxa" w:w="4933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指定行数或最大行数</w:t>
            </w:r>
          </w:p>
        </w:tc>
      </w:tr>
      <w:tr>
        <w:tc>
          <w:tcPr>
            <w:tcW w:type="dxa" w:w="4933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SQL结构</w:t>
            </w:r>
          </w:p>
        </w:tc>
        <w:tc>
          <w:tcPr>
            <w:tcW w:type="dxa" w:w="4933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题目要求的关键结构和禁止结构</w:t>
            </w:r>
          </w:p>
        </w:tc>
      </w:tr>
      <w:tr>
        <w:tc>
          <w:tcPr>
            <w:tcW w:type="dxa" w:w="4933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安全状态</w:t>
            </w:r>
          </w:p>
        </w:tc>
        <w:tc>
          <w:tcPr>
            <w:tcW w:type="dxa" w:w="4933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多语句、禁止操作和未经确认的高风险语句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原创教学机制：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系统把运行结果、评测差异、提示使用和错误类型统一记录为学习事件，使学生反馈与教师分析共享同一事实来源。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7  AI助手：只生成草案，不代替执行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模型输出被视为不可信输入，必须经过结构化解析和本地安全检查。</w:t>
      </w:r>
    </w:p>
    <w:p>
      <w:pPr>
        <w:pStyle w:val="Heading2"/>
      </w:pPr>
      <w:r>
        <w:t>7.1 生成流程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用户描述查询目标，软件只提供完成任务所需的表结构上下文。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本地Ollama或兼容OpenAI Chat Completions的HTTPS服务返回结构化内容。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Java侧解析JSON并校验SQL、解释、方言和必要字段；格式错误进入降级状态。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安全服务重新分析SQL，禁止语句或多语句不能作为可执行草案返回。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界面展示SQL草案与教学解释；用户复制到自由SQL页后仍要再次检查和确认。</w:t>
      </w:r>
    </w:p>
    <w:p>
      <w:pPr>
        <w:pStyle w:val="Heading2"/>
      </w:pPr>
      <w:r>
        <w:t>7.2 模型不可用时</w:t>
      </w:r>
    </w:p>
    <w:p>
      <w:r>
        <w:t>当模型未安装、服务不可达、请求超时或响应格式不合格时，AI助手显示可理解的错误并停止生成。手写SQL、练习评测、课程知识、学情统计和本地备份仍可继续使用。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密钥边界：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网络AI的API Key仅驻留当前进程内存，不同步、不备份、不写入日志；退出应用后需要重新提供。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8  课程知识与学情分析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课程资料解决“查什么”，学习事件回答“学生在哪一步遇到困难”。</w:t>
      </w:r>
    </w:p>
    <w:p>
      <w:pPr>
        <w:pStyle w:val="Heading2"/>
      </w:pPr>
      <w:r>
        <w:t>8.1 课程知识检索</w:t>
      </w:r>
    </w:p>
    <w:p>
      <w:r>
        <w:t>教师可导入有权使用的UTF-8文本或Markdown资料。系统校验路径、文件类型、大小和编码，将内容分块写入SQLite FTS5索引；检索结果显示标题、来源和命中片段。删除文档时关联索引一并删除。</w:t>
      </w:r>
    </w:p>
    <w:p>
      <w:pPr>
        <w:pStyle w:val="Heading2"/>
      </w:pPr>
      <w:r>
        <w:t>8.2 学习事件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150"/>
        <w:gridCol w:w="3860"/>
      </w:tblGrid>
      <w:tr>
        <w:tc>
          <w:tcPr>
            <w:tcW w:type="dxa" w:w="3289"/>
            <w:shd w:fill="E8EEF5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事件</w:t>
            </w:r>
          </w:p>
        </w:tc>
        <w:tc>
          <w:tcPr>
            <w:tcW w:type="dxa" w:w="3289"/>
            <w:shd w:fill="E8EEF5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代表含义</w:t>
            </w:r>
          </w:p>
        </w:tc>
        <w:tc>
          <w:tcPr>
            <w:tcW w:type="dxa" w:w="3289"/>
            <w:shd w:fill="E8EEF5"/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可分析维度</w:t>
            </w:r>
          </w:p>
        </w:tc>
      </w:tr>
      <w:tr>
        <w:tc>
          <w:tcPr>
            <w:tcW w:type="dxa" w:w="3289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SQL_EXECUTION</w:t>
            </w:r>
          </w:p>
        </w:tc>
        <w:tc>
          <w:tcPr>
            <w:tcW w:type="dxa" w:w="3289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运行SQL草稿</w:t>
            </w:r>
          </w:p>
        </w:tc>
        <w:tc>
          <w:tcPr>
            <w:tcW w:type="dxa" w:w="3289"/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连接、耗时、成功、结果行数</w:t>
            </w:r>
          </w:p>
        </w:tc>
      </w:tr>
      <w:tr>
        <w:tc>
          <w:tcPr>
            <w:tcW w:type="dxa" w:w="3289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SQL_RISK_BLOCKED</w:t>
            </w:r>
          </w:p>
        </w:tc>
        <w:tc>
          <w:tcPr>
            <w:tcW w:type="dxa" w:w="3289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语句被安全规则阻止</w:t>
            </w:r>
          </w:p>
        </w:tc>
        <w:tc>
          <w:tcPr>
            <w:tcW w:type="dxa" w:w="3289"/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风险级别、语句类型</w:t>
            </w:r>
          </w:p>
        </w:tc>
      </w:tr>
      <w:tr>
        <w:tc>
          <w:tcPr>
            <w:tcW w:type="dxa" w:w="3289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EXERCISE_ATTEMPT</w:t>
            </w:r>
          </w:p>
        </w:tc>
        <w:tc>
          <w:tcPr>
            <w:tcW w:type="dxa" w:w="3289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提交练习答案</w:t>
            </w:r>
          </w:p>
        </w:tc>
        <w:tc>
          <w:tcPr>
            <w:tcW w:type="dxa" w:w="3289"/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题目、结果、耗时、错误码</w:t>
            </w:r>
          </w:p>
        </w:tc>
      </w:tr>
      <w:tr>
        <w:tc>
          <w:tcPr>
            <w:tcW w:type="dxa" w:w="3289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EXERCISE_HINT_USED</w:t>
            </w:r>
          </w:p>
        </w:tc>
        <w:tc>
          <w:tcPr>
            <w:tcW w:type="dxa" w:w="3289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使用分级提示</w:t>
            </w:r>
          </w:p>
        </w:tc>
        <w:tc>
          <w:tcPr>
            <w:tcW w:type="dxa" w:w="3289"/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题目、提示级别</w:t>
            </w:r>
          </w:p>
        </w:tc>
      </w:tr>
      <w:tr>
        <w:tc>
          <w:tcPr>
            <w:tcW w:type="dxa" w:w="3289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KNOWLEDGE_SEARCHED</w:t>
            </w:r>
          </w:p>
        </w:tc>
        <w:tc>
          <w:tcPr>
            <w:tcW w:type="dxa" w:w="3289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检索课程资料</w:t>
            </w:r>
          </w:p>
        </w:tc>
        <w:tc>
          <w:tcPr>
            <w:tcW w:type="dxa" w:w="3289"/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查询长度、命中数量</w:t>
            </w:r>
          </w:p>
        </w:tc>
      </w:tr>
    </w:tbl>
    <w:p>
      <w:pPr>
        <w:pStyle w:val="Heading2"/>
      </w:pPr>
      <w:r>
        <w:t>8.3 教师看板</w:t>
      </w:r>
    </w:p>
    <w:p>
      <w:r>
        <w:t>看板按日期、题目、知识点和错误类型筛选，汇总尝试、提交、通过率、完成情况、常见错误和薄弱知识点。CSV导出使用UTF-8，导出文件应按学生数据管理要求保管。</w:t>
      </w:r>
    </w:p>
    <w:p>
      <w:r>
        <w:br w:type="page"/>
      </w:r>
    </w:p>
    <w:p>
      <w:pPr>
        <w:pStyle w:val="Heading1"/>
        <w:spacing w:before="0"/>
      </w:pPr>
      <w:r>
        <w:t>9  云端班级、任务与增量同步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云端能力增强多教师协作，但本地核心教学不依赖网络可用性。</w:t>
      </w:r>
    </w:p>
    <w:p>
      <w:pPr>
        <w:pStyle w:val="Heading2"/>
      </w:pPr>
      <w:r>
        <w:t>9.1 教师操作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创建班级并选中班级，按邮箱添加教师或学生。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填写本地题目ID和任务标题，创建班级任务。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教师只管理自己参与的班级；管理员可查看全部班级。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学生只能查看所属班级和分配给班级的任务，不能维护成员。</w:t>
      </w:r>
    </w:p>
    <w:p>
      <w:pPr>
        <w:pStyle w:val="Heading2"/>
      </w:pPr>
      <w:r>
        <w:t>9.2 同步规则</w:t>
      </w:r>
    </w:p>
    <w:p>
      <w:r>
        <w:t>学习事件采用事件ID幂等上传，并按版本号增量下载。桌面端只选择属于当前登录账号的事件；访客和其他账号的本地事件不会上传到当前账号。网络失败时保留本地数据，用户可在网络恢复后再次同步。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身份隔离：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退出登录后旧令牌不能继续访问服务；班级成员、任务和同步接口均在服务端重新鉴权。</w:t>
            </w:r>
          </w:p>
        </w:tc>
      </w:tr>
    </w:tbl>
    <w:p>
      <w:pPr>
        <w:spacing w:after="0"/>
      </w:pPr>
    </w:p>
    <w:p>
      <w:pPr>
        <w:pStyle w:val="Heading2"/>
      </w:pPr>
      <w:r>
        <w:t>9.3 部署边界</w:t>
      </w:r>
    </w:p>
    <w:p>
      <w:r>
        <w:t>正式教学数据应通过备案域名和HTTPS访问云端服务。数据库端口和应用内部HTTP端口不应直接暴露给互联网。</w:t>
      </w:r>
    </w:p>
    <w:p>
      <w:r>
        <w:br w:type="page"/>
      </w:r>
    </w:p>
    <w:p>
      <w:pPr>
        <w:pStyle w:val="Heading1"/>
        <w:spacing w:before="0"/>
      </w:pPr>
      <w:r>
        <w:t>10  连接管理、备份与恢复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数据库密码和运行数据不进入源程序材料，也不应出现在截图和日志中。</w:t>
      </w:r>
    </w:p>
    <w:p>
      <w:pPr>
        <w:pStyle w:val="Heading2"/>
      </w:pPr>
      <w:r>
        <w:t>10.1 连接管理</w:t>
      </w:r>
    </w:p>
    <w:p>
      <w:r>
        <w:t>设置页可维护SQLite、MySQL或MariaDB连接的非敏感配置并执行连接测试。密码只在当前连接测试会话中使用，不作为长期配置保存。访问真实课程数据库时应使用最小权限账号。</w:t>
      </w:r>
    </w:p>
    <w:p>
      <w:pPr>
        <w:pStyle w:val="Heading2"/>
      </w:pPr>
      <w:r>
        <w:t>10.2 本地数据维护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立即备份：保存应用数据库和演示数据库，并保留有限数量的最近快照。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恢复备份：先校验SQLite完整性并备份当前状态，再恢复所选快照。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恢复演示库：只重建演示数据，不影响题库、学习记录和连接设置。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升级保护：数据库迁移按版本顺序执行，升级前创建可恢复副本。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数据位置：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正式Windows版本默认使用本地应用数据目录；卸载程序默认保留用户数据。开发环境的app-data、数据库、日志和密钥文件不得纳入软著源程序材料。</w:t>
            </w:r>
          </w:p>
        </w:tc>
      </w:tr>
    </w:tbl>
    <w:p>
      <w:pPr>
        <w:spacing w:after="0"/>
      </w:pPr>
    </w:p>
    <w:p>
      <w:pPr>
        <w:pStyle w:val="Heading2"/>
      </w:pPr>
      <w:r>
        <w:t>10.3 恢复后的检查</w:t>
      </w:r>
    </w:p>
    <w:p>
      <w:r>
        <w:t>重新启动软件，确认首页可进入、演示表可查询、题目目录和学习记录存在；如完整性检查失败，停止覆盖并保留原备份。</w:t>
      </w:r>
    </w:p>
    <w:p>
      <w:r>
        <w:br w:type="page"/>
      </w:r>
    </w:p>
    <w:p>
      <w:pPr>
        <w:pStyle w:val="Heading1"/>
        <w:spacing w:before="0"/>
      </w:pPr>
      <w:r>
        <w:t>11  软件结构与独创性体现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本页说明功能之间如何组合成SQL教学专用系统，而非通用后台模板。</w:t>
      </w:r>
    </w:p>
    <w:p>
      <w:pPr>
        <w:pStyle w:val="Heading2"/>
      </w:pPr>
      <w:r>
        <w:t>11.1 分层结构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780"/>
        <w:gridCol w:w="3980"/>
      </w:tblGrid>
      <w:tr>
        <w:tc>
          <w:tcPr>
            <w:tcW w:type="dxa" w:w="3289"/>
            <w:shd w:fill="E8EEF5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层次</w:t>
            </w:r>
          </w:p>
        </w:tc>
        <w:tc>
          <w:tcPr>
            <w:tcW w:type="dxa" w:w="3289"/>
            <w:shd w:fill="E8EEF5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职责</w:t>
            </w:r>
          </w:p>
        </w:tc>
        <w:tc>
          <w:tcPr>
            <w:tcW w:type="dxa" w:w="3289"/>
            <w:shd w:fill="E8EEF5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代表实现</w:t>
            </w:r>
          </w:p>
        </w:tc>
      </w:tr>
      <w:tr>
        <w:tc>
          <w:tcPr>
            <w:tcW w:type="dxa" w:w="3289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桌面层</w:t>
            </w:r>
          </w:p>
        </w:tc>
        <w:tc>
          <w:tcPr>
            <w:tcW w:type="dxa" w:w="3289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JavaFX页面、状态、异步交互和确认</w:t>
            </w:r>
          </w:p>
        </w:tc>
        <w:tc>
          <w:tcPr>
            <w:tcW w:type="dxa" w:w="3289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自由SQL、练习、AI、知识、云端控制器</w:t>
            </w:r>
          </w:p>
        </w:tc>
      </w:tr>
      <w:tr>
        <w:tc>
          <w:tcPr>
            <w:tcW w:type="dxa" w:w="3289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应用层</w:t>
            </w:r>
          </w:p>
        </w:tc>
        <w:tc>
          <w:tcPr>
            <w:tcW w:type="dxa" w:w="3289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用例契约、请求结果、学习事件</w:t>
            </w:r>
          </w:p>
        </w:tc>
        <w:tc>
          <w:tcPr>
            <w:tcW w:type="dxa" w:w="3289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执行、风险、练习、同步服务接口</w:t>
            </w:r>
          </w:p>
        </w:tc>
      </w:tr>
      <w:tr>
        <w:tc>
          <w:tcPr>
            <w:tcW w:type="dxa" w:w="3289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领域层</w:t>
            </w:r>
          </w:p>
        </w:tc>
        <w:tc>
          <w:tcPr>
            <w:tcW w:type="dxa" w:w="3289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题目规则和值对象</w:t>
            </w:r>
          </w:p>
        </w:tc>
        <w:tc>
          <w:tcPr>
            <w:tcW w:type="dxa" w:w="3289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难度、数据集、评测规则</w:t>
            </w:r>
          </w:p>
        </w:tc>
      </w:tr>
      <w:tr>
        <w:tc>
          <w:tcPr>
            <w:tcW w:type="dxa" w:w="3289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基础设施层</w:t>
            </w:r>
          </w:p>
        </w:tc>
        <w:tc>
          <w:tcPr>
            <w:tcW w:type="dxa" w:w="3289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SQLite/JDBC、AI、FTS5、备份</w:t>
            </w:r>
          </w:p>
        </w:tc>
        <w:tc>
          <w:tcPr>
            <w:tcW w:type="dxa" w:w="3289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风险分析、执行、评测、检索、分析</w:t>
            </w:r>
          </w:p>
        </w:tc>
      </w:tr>
      <w:tr>
        <w:tc>
          <w:tcPr>
            <w:tcW w:type="dxa" w:w="3289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云端服务</w:t>
            </w:r>
          </w:p>
        </w:tc>
        <w:tc>
          <w:tcPr>
            <w:tcW w:type="dxa" w:w="3289"/>
            <w:tcW w:w="37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账号、角色、班级、任务、同步</w:t>
            </w:r>
          </w:p>
        </w:tc>
        <w:tc>
          <w:tcPr>
            <w:tcW w:type="dxa" w:w="3289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鉴权、成员关系、事件幂等接口</w:t>
            </w:r>
          </w:p>
        </w:tc>
      </w:tr>
    </w:tbl>
    <w:p>
      <w:pPr>
        <w:pStyle w:val="Heading2"/>
      </w:pPr>
      <w:r>
        <w:t>11.2 代表性的原创组合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同一SQL安全规则同时约束自由输入、AI草案和练习草稿。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练习评测、提示使用和SQL风险统一沉淀为结构化学习事件。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课程知识使用本地全文检索，检索内容不能覆盖系统安全规则。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本地优先与账号同步并存，通过事件所有者和幂等版本隔离多账号数据。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备份恢复、数据库迁移和演示库重建围绕课堂连续性设计。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材料一致性：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配套源程序鉴别材料优先选取上述核心算法与业务实现，排除大量样板DTO、Mock和纯配置代码，使手册描述与代码证据一一对应。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12  故障处理与使用核对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遇到故障时先确认本地数据和安全边界，再处理外部服务。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c>
          <w:tcPr>
            <w:tcW w:type="dxa" w:w="4933"/>
            <w:shd w:fill="E8EEF5"/>
            <w:tcW w:w="26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现象</w:t>
            </w:r>
          </w:p>
        </w:tc>
        <w:tc>
          <w:tcPr>
            <w:tcW w:type="dxa" w:w="4933"/>
            <w:shd w:fill="E8EEF5"/>
            <w:tcW w:w="67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处理方式</w:t>
            </w:r>
          </w:p>
        </w:tc>
      </w:tr>
      <w:tr>
        <w:tc>
          <w:tcPr>
            <w:tcW w:type="dxa" w:w="4933"/>
            <w:tcW w:w="26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SQL语法错误</w:t>
            </w:r>
          </w:p>
        </w:tc>
        <w:tc>
          <w:tcPr>
            <w:tcW w:type="dxa" w:w="4933"/>
            <w:tcW w:w="67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检查表名、列名、引号、括号和逗号；先用简单SELECT缩小问题</w:t>
            </w:r>
          </w:p>
        </w:tc>
      </w:tr>
      <w:tr>
        <w:tc>
          <w:tcPr>
            <w:tcW w:type="dxa" w:w="4933"/>
            <w:tcW w:w="26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高风险语句被阻止</w:t>
            </w:r>
          </w:p>
        </w:tc>
        <w:tc>
          <w:tcPr>
            <w:tcW w:type="dxa" w:w="4933"/>
            <w:tcW w:w="67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阅读风险说明；禁止语句不可通过确认放行</w:t>
            </w:r>
          </w:p>
        </w:tc>
      </w:tr>
      <w:tr>
        <w:tc>
          <w:tcPr>
            <w:tcW w:type="dxa" w:w="4933"/>
            <w:tcW w:w="26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AI不可用</w:t>
            </w:r>
          </w:p>
        </w:tc>
        <w:tc>
          <w:tcPr>
            <w:tcW w:type="dxa" w:w="4933"/>
            <w:tcW w:w="67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检查Ollama或HTTPS服务配置；继续使用手写SQL</w:t>
            </w:r>
          </w:p>
        </w:tc>
      </w:tr>
      <w:tr>
        <w:tc>
          <w:tcPr>
            <w:tcW w:type="dxa" w:w="4933"/>
            <w:tcW w:w="26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课程资料导入失败</w:t>
            </w:r>
          </w:p>
        </w:tc>
        <w:tc>
          <w:tcPr>
            <w:tcW w:type="dxa" w:w="4933"/>
            <w:tcW w:w="67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确认UTF-8编码、文件类型、大小和读取权限</w:t>
            </w:r>
          </w:p>
        </w:tc>
      </w:tr>
      <w:tr>
        <w:tc>
          <w:tcPr>
            <w:tcW w:type="dxa" w:w="4933"/>
            <w:tcW w:w="26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云端同步失败</w:t>
            </w:r>
          </w:p>
        </w:tc>
        <w:tc>
          <w:tcPr>
            <w:tcW w:type="dxa" w:w="4933"/>
            <w:tcW w:w="67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保留本地记录，检查登录状态和网络后重试</w:t>
            </w:r>
          </w:p>
        </w:tc>
      </w:tr>
      <w:tr>
        <w:tc>
          <w:tcPr>
            <w:tcW w:type="dxa" w:w="4933"/>
            <w:tcW w:w="26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恢复失败</w:t>
            </w:r>
          </w:p>
        </w:tc>
        <w:tc>
          <w:tcPr>
            <w:tcW w:type="dxa" w:w="4933"/>
            <w:tcW w:w="67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停止覆盖，保留当前数据与原快照并检查SQLite完整性</w:t>
            </w:r>
          </w:p>
        </w:tc>
      </w:tr>
    </w:tbl>
    <w:p>
      <w:pPr>
        <w:pStyle w:val="Heading2"/>
      </w:pPr>
      <w:r>
        <w:t>12.1 使用前核对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软件名称和版本显示为SQLTeacher V1.1.0。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登录、首页和自由SQL界面与本手册截图一致。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演示数据库可执行只读查询，禁止语句能够被阻止。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练习提交由确定性规则判定，AI生成内容只作为草案。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截图、日志和导出文件中不存在密码、密钥、令牌和真实学生信息。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说明：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本手册只描述冻结版本已经实现的能力。申请主体仍需确认著作权人名称、开发完成日期、发表事实、共同开发者顺序和签章授权。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13  安装、启动与首次初始化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首次启动同时完成运行环境检查、本地目录准备和数据库结构初始化。</w:t>
      </w:r>
    </w:p>
    <w:p>
      <w:pPr>
        <w:pStyle w:val="Heading2"/>
      </w:pPr>
      <w:r>
        <w:t>13.1 运行条件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4933"/>
            <w:shd w:fill="E8EEF5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4933"/>
            <w:shd w:fill="E8EEF5"/>
            <w:tcW w:w="70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要求或说明</w:t>
            </w:r>
          </w:p>
        </w:tc>
      </w:tr>
      <w:tr>
        <w:tc>
          <w:tcPr>
            <w:tcW w:type="dxa" w:w="4933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操作系统</w:t>
            </w:r>
          </w:p>
        </w:tc>
        <w:tc>
          <w:tcPr>
            <w:tcW w:type="dxa" w:w="4933"/>
            <w:tcW w:w="70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Windows 10或Windows 11 64位</w:t>
            </w:r>
          </w:p>
        </w:tc>
      </w:tr>
      <w:tr>
        <w:tc>
          <w:tcPr>
            <w:tcW w:type="dxa" w:w="4933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正式安装包</w:t>
            </w:r>
          </w:p>
        </w:tc>
        <w:tc>
          <w:tcPr>
            <w:tcW w:type="dxa" w:w="4933"/>
            <w:tcW w:w="70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包含自有Java运行时，普通用户无需单独安装JDK</w:t>
            </w:r>
          </w:p>
        </w:tc>
      </w:tr>
      <w:tr>
        <w:tc>
          <w:tcPr>
            <w:tcW w:type="dxa" w:w="4933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开发运行</w:t>
            </w:r>
          </w:p>
        </w:tc>
        <w:tc>
          <w:tcPr>
            <w:tcW w:type="dxa" w:w="4933"/>
            <w:tcW w:w="70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JDK 21、Maven 3.9及可用的JavaFX图形环境</w:t>
            </w:r>
          </w:p>
        </w:tc>
      </w:tr>
      <w:tr>
        <w:tc>
          <w:tcPr>
            <w:tcW w:type="dxa" w:w="4933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建议分辨率</w:t>
            </w:r>
          </w:p>
        </w:tc>
        <w:tc>
          <w:tcPr>
            <w:tcW w:type="dxa" w:w="4933"/>
            <w:tcW w:w="70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不低于1366×768；窄屏导航支持横向滚动</w:t>
            </w:r>
          </w:p>
        </w:tc>
      </w:tr>
      <w:tr>
        <w:tc>
          <w:tcPr>
            <w:tcW w:type="dxa" w:w="4933"/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可选服务</w:t>
            </w:r>
          </w:p>
        </w:tc>
        <w:tc>
          <w:tcPr>
            <w:tcW w:type="dxa" w:w="4933"/>
            <w:tcW w:w="70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本地Ollama、兼容OpenAI协议的HTTPS服务、学校云端服务</w:t>
            </w:r>
          </w:p>
        </w:tc>
      </w:tr>
    </w:tbl>
    <w:p>
      <w:pPr>
        <w:pStyle w:val="Heading2"/>
      </w:pPr>
      <w:r>
        <w:t>13.2 首次启动过程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应用检查JavaFX和运行环境，无法启动图形界面时返回明确的环境提示。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创建应用数据目录，并把应用数据库与教学演示数据库分开保存。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按版本顺序执行SQLite迁移，创建题目、练习、事件、知识索引和连接配置表。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初始化演示数据库；若文件已存在，则保留用户数据并只执行必要升级。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初始化成功后进入登录页；外部AI或云端不可用不会阻止本地入口启动。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启动失败：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先检查数据目录写权限、磁盘空间和杀毒软件拦截。不要通过删除整个数据目录来处理单个数据库错误，应先保留备份。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14  表结构浏览与连接测试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表结构既帮助学生理解数据，也为SQL草案提供受控、可核对的上下文。</w:t>
      </w:r>
    </w:p>
    <w:p>
      <w:pPr>
        <w:pStyle w:val="Heading2"/>
      </w:pPr>
      <w:r>
        <w:t>14.1 浏览数据库结构</w:t>
      </w:r>
    </w:p>
    <w:p>
      <w:r>
        <w:t>进入“表结构”后选择当前连接。页面读取数据库元数据并按表展示字段名、类型、可空性和主键标记；读取失败时保留页面状态并显示面向用户的错误，而不是输出JDBC堆栈。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先确认当前数据库与题目要求一致，避免在错误连接上执行练习。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查看表名与字段拼写，确认主键、可空字段和数据类型。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编写JOIN前核对关联字段；使用AI时只提供完成任务所需的结构。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结构刷新属于只读操作，不会修改数据库对象。</w:t>
      </w:r>
    </w:p>
    <w:p>
      <w:pPr>
        <w:pStyle w:val="Heading2"/>
      </w:pPr>
      <w:r>
        <w:t>14.2 测试外部连接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60"/>
        <w:gridCol w:w="3900"/>
      </w:tblGrid>
      <w:tr>
        <w:tc>
          <w:tcPr>
            <w:tcW w:type="dxa" w:w="3289"/>
            <w:shd w:fill="E8EEF5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连接类型</w:t>
            </w:r>
          </w:p>
        </w:tc>
        <w:tc>
          <w:tcPr>
            <w:tcW w:type="dxa" w:w="3289"/>
            <w:shd w:fill="E8EEF5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需要填写</w:t>
            </w:r>
          </w:p>
        </w:tc>
        <w:tc>
          <w:tcPr>
            <w:tcW w:type="dxa" w:w="3289"/>
            <w:shd w:fill="E8EEF5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安全建议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SQLite</w:t>
            </w:r>
          </w:p>
        </w:tc>
        <w:tc>
          <w:tcPr>
            <w:tcW w:type="dxa" w:w="3289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本地数据库文件路径</w:t>
            </w:r>
          </w:p>
        </w:tc>
        <w:tc>
          <w:tcPr>
            <w:tcW w:type="dxa" w:w="3289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确认文件属于当前课程，不使用未知数据库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MySQL</w:t>
            </w:r>
          </w:p>
        </w:tc>
        <w:tc>
          <w:tcPr>
            <w:tcW w:type="dxa" w:w="3289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主机、端口、库名、用户名和临时密码</w:t>
            </w:r>
          </w:p>
        </w:tc>
        <w:tc>
          <w:tcPr>
            <w:tcW w:type="dxa" w:w="3289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使用专用只读账号，限制来源地址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MariaDB</w:t>
            </w:r>
          </w:p>
        </w:tc>
        <w:tc>
          <w:tcPr>
            <w:tcW w:type="dxa" w:w="3289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主机、端口、库名、用户名和临时密码</w:t>
            </w:r>
          </w:p>
        </w:tc>
        <w:tc>
          <w:tcPr>
            <w:tcW w:type="dxa" w:w="3289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先测试连接，再执行只读查询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密码处理：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连接测试密码由调用方持有，只用于当前测试调用；服务结果、日志和长期连接配置均不得包含密码。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15  教师题库与练习规则设计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题目不是一段说明文字，而是数据集、目标、评测规则和提示层级组成的可执行教学单元。</w:t>
      </w:r>
    </w:p>
    <w:p>
      <w:pPr>
        <w:pStyle w:val="Heading2"/>
      </w:pPr>
      <w:r>
        <w:t>15.1 新建题目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填写题目标题、知识点和难度，使学生能判断当前练习目标。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选择隔离数据集并验证初始化SQL，确保每次会话得到一致起点。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填写参考SQL用于教师核对；学生最终得分不直接依赖字符串相等。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配置结果列、结果行、顺序、行数或关键结构等确定性判定规则。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最多配置三层提示，从概念提醒逐步过渡到结构提示，避免第一层直接泄露答案。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保存后先以教师身份试做，再启用题目供学生选择。</w:t>
      </w:r>
    </w:p>
    <w:p>
      <w:pPr>
        <w:pStyle w:val="Heading2"/>
      </w:pPr>
      <w:r>
        <w:t>15.2 编辑与生命周期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c>
          <w:tcPr>
            <w:tcW w:type="dxa" w:w="3289"/>
            <w:shd w:fill="E8EEF5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操作</w:t>
            </w:r>
          </w:p>
        </w:tc>
        <w:tc>
          <w:tcPr>
            <w:tcW w:type="dxa" w:w="3289"/>
            <w:shd w:fill="E8EEF5"/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适用情形</w:t>
            </w:r>
          </w:p>
        </w:tc>
        <w:tc>
          <w:tcPr>
            <w:tcW w:type="dxa" w:w="3289"/>
            <w:shd w:fill="E8EEF5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编辑</w:t>
            </w:r>
          </w:p>
        </w:tc>
        <w:tc>
          <w:tcPr>
            <w:tcW w:type="dxa" w:w="3289"/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修正文案、规则或提示</w:t>
            </w:r>
          </w:p>
        </w:tc>
        <w:tc>
          <w:tcPr>
            <w:tcW w:type="dxa" w:w="3289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更新当前题目定义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复制</w:t>
            </w:r>
          </w:p>
        </w:tc>
        <w:tc>
          <w:tcPr>
            <w:tcW w:type="dxa" w:w="3289"/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基于已有题目设计变式</w:t>
            </w:r>
          </w:p>
        </w:tc>
        <w:tc>
          <w:tcPr>
            <w:tcW w:type="dxa" w:w="3289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生成独立题目，保留原题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停用</w:t>
            </w:r>
          </w:p>
        </w:tc>
        <w:tc>
          <w:tcPr>
            <w:tcW w:type="dxa" w:w="3289"/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暂不让学生开始新会话</w:t>
            </w:r>
          </w:p>
        </w:tc>
        <w:tc>
          <w:tcPr>
            <w:tcW w:type="dxa" w:w="3289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历史记录保留，目录不再开放</w:t>
            </w:r>
          </w:p>
        </w:tc>
      </w:tr>
      <w:tr>
        <w:tc>
          <w:tcPr>
            <w:tcW w:type="dxa" w:w="3289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重新启用</w:t>
            </w:r>
          </w:p>
        </w:tc>
        <w:tc>
          <w:tcPr>
            <w:tcW w:type="dxa" w:w="3289"/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规则复核完成</w:t>
            </w:r>
          </w:p>
        </w:tc>
        <w:tc>
          <w:tcPr>
            <w:tcW w:type="dxa" w:w="3289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题目重新进入可选目录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设计建议：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一题集中训练一个主要知识点。判定规则应允许语义等价SQL，不应把空格、大小写或无关别名差异误判为错误。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16  题包导入、导出与冲突处理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题包用于课程迁移和教师协作，导入过程以整体一致性为先。</w:t>
      </w:r>
    </w:p>
    <w:p>
      <w:pPr>
        <w:pStyle w:val="Heading2"/>
      </w:pPr>
      <w:r>
        <w:t>16.1 导出题包</w:t>
      </w:r>
    </w:p>
    <w:p>
      <w:r>
        <w:t>教师从题库选择需要共享的题目后导出版本化JSON题包。题包包含题目定义、数据集引用、参考SQL、评测规则和提示，不包含学生作答、连接密码、AI密钥或运行日志。</w:t>
      </w:r>
    </w:p>
    <w:p>
      <w:pPr>
        <w:pStyle w:val="Heading2"/>
      </w:pPr>
      <w:r>
        <w:t>16.2 导入题包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选择来源明确的题包文件，导入前保留当前题库备份。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系统解析版本和结构，校验题目ID、必填字段、难度、规则和提示数量。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对文件内重复ID、与本地题目冲突或无效数据集引用给出明确错误。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全部题目验证通过后才写入数据库；任一题失败时整批回滚。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导入完成后检查新增、更新和跳过数量，并抽查关键题目的评测结果。</w:t>
      </w:r>
    </w:p>
    <w:p>
      <w:pPr>
        <w:pStyle w:val="Heading2"/>
      </w:pPr>
      <w:r>
        <w:t>16.3 版本与可追溯性</w:t>
      </w:r>
    </w:p>
    <w:p>
      <w:r>
        <w:t>题包格式带有版本信息，使后续字段扩展能够被识别。教师应保留导出时间、课程名称和修改说明，不要用聊天软件中的未知附件直接覆盖正式题库。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事务边界：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导入采用数据库事务控制，目标是避免“部分题目已写入、部分题目失败”的半完成状态。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17  教师看板、筛选与CSV导出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看板把学习事件转换为可行动的课堂观察，而不是只展示总次数。</w:t>
      </w:r>
    </w:p>
    <w:p>
      <w:pPr>
        <w:pStyle w:val="Heading2"/>
      </w:pPr>
      <w:r>
        <w:t>17.1 查看学情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先选择日期范围，避免把不同教学阶段混入同一统计。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按题目或知识点定位通过率低、重复尝试多的内容。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按错误类型区分语法问题、风险拦截、结果差异和连接故障。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结合提示使用次数判断学生是在概念、结构还是细节层面遇到困难。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打开具体记录时只查看完成教学判断所需的数据，不传播学生身份信息。</w:t>
      </w:r>
    </w:p>
    <w:p>
      <w:pPr>
        <w:pStyle w:val="Heading2"/>
      </w:pPr>
      <w:r>
        <w:t>17.2 指标解释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c>
          <w:tcPr>
            <w:tcW w:type="dxa" w:w="3289"/>
            <w:shd w:fill="E8EEF5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指标</w:t>
            </w:r>
          </w:p>
        </w:tc>
        <w:tc>
          <w:tcPr>
            <w:tcW w:type="dxa" w:w="3289"/>
            <w:shd w:fill="E8EEF5"/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含义</w:t>
            </w:r>
          </w:p>
        </w:tc>
        <w:tc>
          <w:tcPr>
            <w:tcW w:type="dxa" w:w="3289"/>
            <w:shd w:fill="E8EEF5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使用提醒</w:t>
            </w:r>
          </w:p>
        </w:tc>
      </w:tr>
      <w:tr>
        <w:tc>
          <w:tcPr>
            <w:tcW w:type="dxa" w:w="3289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尝试数</w:t>
            </w:r>
          </w:p>
        </w:tc>
        <w:tc>
          <w:tcPr>
            <w:tcW w:type="dxa" w:w="3289"/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运行草稿或开始作答的次数</w:t>
            </w:r>
          </w:p>
        </w:tc>
        <w:tc>
          <w:tcPr>
            <w:tcW w:type="dxa" w:w="3289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不能单独代表学习质量</w:t>
            </w:r>
          </w:p>
        </w:tc>
      </w:tr>
      <w:tr>
        <w:tc>
          <w:tcPr>
            <w:tcW w:type="dxa" w:w="3289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提交数</w:t>
            </w:r>
          </w:p>
        </w:tc>
        <w:tc>
          <w:tcPr>
            <w:tcW w:type="dxa" w:w="3289"/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进入正式评测的次数</w:t>
            </w:r>
          </w:p>
        </w:tc>
        <w:tc>
          <w:tcPr>
            <w:tcW w:type="dxa" w:w="3289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与尝试数结合观察</w:t>
            </w:r>
          </w:p>
        </w:tc>
      </w:tr>
      <w:tr>
        <w:tc>
          <w:tcPr>
            <w:tcW w:type="dxa" w:w="3289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通过率</w:t>
            </w:r>
          </w:p>
        </w:tc>
        <w:tc>
          <w:tcPr>
            <w:tcW w:type="dxa" w:w="3289"/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通过提交占有效提交比例</w:t>
            </w:r>
          </w:p>
        </w:tc>
        <w:tc>
          <w:tcPr>
            <w:tcW w:type="dxa" w:w="3289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筛选范围不同不可直接比较</w:t>
            </w:r>
          </w:p>
        </w:tc>
      </w:tr>
      <w:tr>
        <w:tc>
          <w:tcPr>
            <w:tcW w:type="dxa" w:w="3289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薄弱知识点</w:t>
            </w:r>
          </w:p>
        </w:tc>
        <w:tc>
          <w:tcPr>
            <w:tcW w:type="dxa" w:w="3289"/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失败、提示和重复尝试集中项</w:t>
            </w:r>
          </w:p>
        </w:tc>
        <w:tc>
          <w:tcPr>
            <w:tcW w:type="dxa" w:w="3289"/>
            <w:tcW w:w="39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用于安排复习或示范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CSV导出：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导出文件采用UTF-8编码。文件离开应用后由用户负责访问控制、存储期限和脱敏，不应上传到公开网盘。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18  一次完整课堂的使用流程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把软件功能放入课前、课中和课后场景，能更清楚地体现教学用途。</w:t>
      </w:r>
    </w:p>
    <w:p>
      <w:pPr>
        <w:pStyle w:val="Heading2"/>
      </w:pPr>
      <w:r>
        <w:t>18.1 课前准备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启动应用并检查演示数据库可查询，创建一份手动备份。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复核本节课题目、数据集、评测规则与提示层级。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如需AI，提前检查本地模型；如需云端，确认备案域名和HTTPS可用。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使用教师测试账号走通登录、任务发布和学生查看路径。</w:t>
      </w:r>
    </w:p>
    <w:p>
      <w:pPr>
        <w:pStyle w:val="Heading2"/>
      </w:pPr>
      <w:r>
        <w:t>18.2 课堂进行</w:t>
      </w:r>
    </w:p>
    <w:p>
      <w:r>
        <w:t>教师先用表结构页说明数据，再让学生在自由SQL中完成低风险查询。进入闯关练习后，学生运行草稿、使用提示并提交；教师通过看板观察共性错误，对高频问题进行现场讲解。AI助手只用于展示草案形成和复核过程，不代替学生提交。</w:t>
      </w:r>
    </w:p>
    <w:p>
      <w:pPr>
        <w:pStyle w:val="Heading2"/>
      </w:pPr>
      <w:r>
        <w:t>18.3 课后处理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导出必要的统计结果并按课程数据要求保存。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整理高频错误和薄弱知识点，调整下一次题目或提示。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同步已登录学生的学习事件；网络失败时保留本地记录稍后重试。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保留题包与备份，清理临时导出文件和脱敏截图。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课堂连续性：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AI、外部数据库或云端暂时不可用时，演示库、手写SQL、隔离练习和本地记录仍能支持核心课堂活动。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19  安全边界与申报材料一致性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64748B"/>
          <w:sz w:val="22"/>
        </w:rPr>
        <w:t>安全设计既体现在运行行为中，也应体现在手册、截图和源程序选材中。</w:t>
      </w:r>
    </w:p>
    <w:p>
      <w:pPr>
        <w:pStyle w:val="Heading2"/>
      </w:pPr>
      <w:r>
        <w:t>19.1 运行安全边界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840"/>
        <w:gridCol w:w="3770"/>
      </w:tblGrid>
      <w:tr>
        <w:tc>
          <w:tcPr>
            <w:tcW w:type="dxa" w:w="3289"/>
            <w:shd w:fill="E8EEF5"/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对象</w:t>
            </w:r>
          </w:p>
        </w:tc>
        <w:tc>
          <w:tcPr>
            <w:tcW w:type="dxa" w:w="3289"/>
            <w:shd w:fill="E8EEF5"/>
            <w:tcW w:w="38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允许范围</w:t>
            </w:r>
          </w:p>
        </w:tc>
        <w:tc>
          <w:tcPr>
            <w:tcW w:type="dxa" w:w="3289"/>
            <w:shd w:fill="E8EEF5"/>
            <w:tcW w:w="37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禁止或限制</w:t>
            </w:r>
          </w:p>
        </w:tc>
      </w:tr>
      <w:tr>
        <w:tc>
          <w:tcPr>
            <w:tcW w:type="dxa" w:w="3289"/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AI模型</w:t>
            </w:r>
          </w:p>
        </w:tc>
        <w:tc>
          <w:tcPr>
            <w:tcW w:type="dxa" w:w="3289"/>
            <w:tcW w:w="38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生成结构化草案和解释</w:t>
            </w:r>
          </w:p>
        </w:tc>
        <w:tc>
          <w:tcPr>
            <w:tcW w:type="dxa" w:w="3289"/>
            <w:tcW w:w="37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不得执行SQL、持有JDBC连接或改变安全规则</w:t>
            </w:r>
          </w:p>
        </w:tc>
      </w:tr>
      <w:tr>
        <w:tc>
          <w:tcPr>
            <w:tcW w:type="dxa" w:w="3289"/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SQL执行</w:t>
            </w:r>
          </w:p>
        </w:tc>
        <w:tc>
          <w:tcPr>
            <w:tcW w:type="dxa" w:w="3289"/>
            <w:tcW w:w="38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单条、通过风险检查的语句</w:t>
            </w:r>
          </w:p>
        </w:tc>
        <w:tc>
          <w:tcPr>
            <w:tcW w:type="dxa" w:w="3289"/>
            <w:tcW w:w="37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禁止语句直接拦截；高风险操作须确认</w:t>
            </w:r>
          </w:p>
        </w:tc>
      </w:tr>
      <w:tr>
        <w:tc>
          <w:tcPr>
            <w:tcW w:type="dxa" w:w="3289"/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连接密码</w:t>
            </w:r>
          </w:p>
        </w:tc>
        <w:tc>
          <w:tcPr>
            <w:tcW w:type="dxa" w:w="3289"/>
            <w:tcW w:w="38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当前测试调用内临时使用</w:t>
            </w:r>
          </w:p>
        </w:tc>
        <w:tc>
          <w:tcPr>
            <w:tcW w:type="dxa" w:w="3289"/>
            <w:tcW w:w="37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不得写入配置、日志、截图或导出文件</w:t>
            </w:r>
          </w:p>
        </w:tc>
      </w:tr>
      <w:tr>
        <w:tc>
          <w:tcPr>
            <w:tcW w:type="dxa" w:w="3289"/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课程资料</w:t>
            </w:r>
          </w:p>
        </w:tc>
        <w:tc>
          <w:tcPr>
            <w:tcW w:type="dxa" w:w="3289"/>
            <w:tcW w:w="38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本地检索和受控上下文</w:t>
            </w:r>
          </w:p>
        </w:tc>
        <w:tc>
          <w:tcPr>
            <w:tcW w:type="dxa" w:w="3289"/>
            <w:tcW w:w="37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不能作为系统指令或放宽SQL安全</w:t>
            </w:r>
          </w:p>
        </w:tc>
      </w:tr>
      <w:tr>
        <w:tc>
          <w:tcPr>
            <w:tcW w:type="dxa" w:w="3289"/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学习数据</w:t>
            </w:r>
          </w:p>
        </w:tc>
        <w:tc>
          <w:tcPr>
            <w:tcW w:type="dxa" w:w="3289"/>
            <w:tcW w:w="384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本地记录和本人账号同步</w:t>
            </w:r>
          </w:p>
        </w:tc>
        <w:tc>
          <w:tcPr>
            <w:tcW w:type="dxa" w:w="3289"/>
            <w:tcW w:w="37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7"/>
              </w:rPr>
              <w:t>访客及其他账号事件不得混传</w:t>
            </w:r>
          </w:p>
        </w:tc>
      </w:tr>
    </w:tbl>
    <w:p>
      <w:pPr>
        <w:pStyle w:val="Heading2"/>
      </w:pPr>
      <w:r>
        <w:t>19.2 软著材料核对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手册的软件名称、版本号、功能范围与申请表保持一致。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截图来自同一冻结版本，界面完整且不含密码、令牌和真实学生信息。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源程序优先展示SQL安全、练习评测、AI校验、知识检索、学情分析和备份恢复。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不把第三方依赖、测试代码、Mock、运行数据、密钥和生成产物作为自研源程序提交。</w:t>
      </w:r>
    </w:p>
    <w:p>
      <w:pPr>
        <w:spacing w:after="100" w:line="300" w:lineRule="auto"/>
        <w:ind w:left="142"/>
        <w:pBdr>
          <w:left w:val="single" w:sz="14" w:space="8" w:color="2E74B5"/>
        </w:pBdr>
      </w:pPr>
      <w:r>
        <w:t>申请主体确认著作权人、开发完成日期、发表事实、共同开发者顺序和签章授权。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866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最终确认：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9"/>
              </w:rPr>
              <w:t>本优化版增强了材料的独创性和代表性表达，但登记机关仍会结合申请表、权属证明和当期受理规则作出审查判断。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4748B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3" w:color="CBD5E1"/>
      </w:pBdr>
    </w:pPr>
    <w:r>
      <w:rPr>
        <w:rFonts w:ascii="Microsoft YaHei" w:hAnsi="Microsoft YaHei" w:eastAsia="Microsoft YaHei"/>
        <w:b w:val="0"/>
        <w:i w:val="0"/>
        <w:color w:val="64748B"/>
        <w:sz w:val="17"/>
      </w:rPr>
      <w:t>SQLTeacher SQL教学与智能练习软件  V1.1.0  |  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rPr>
        <w:rFonts w:ascii="Arial" w:hAnsi="Arial"/>
      </w:rPr>
      <w:suff w:val="tab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  <w:lvlOverride w:ilvl="0">
      <w:startOverride w:val="1"/>
    </w:lvlOverride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  <w:lvlOverride w:ilvl="0">
      <w:startOverride w:val="1"/>
    </w:lvlOverride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  <w:lvlOverride w:ilvl="0">
      <w:startOverride w:val="1"/>
    </w:lvlOverride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  <w:lvlOverride w:ilvl="0">
      <w:startOverride w:val="1"/>
    </w:lvlOverride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  <w:lvlOverride w:ilvl="0">
      <w:startOverride w:val="1"/>
    </w:lvlOverride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  <w:lvlOverride w:ilvl="0">
      <w:startOverride w:val="1"/>
    </w:lvlOverride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  <w:lvlOverride w:ilvl="0">
      <w:startOverride w:val="1"/>
    </w:lvlOverride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8">
    <w:abstractNumId w:val="17"/>
    <w:lvlOverride w:ilvl="0">
      <w:startOverride w:val="1"/>
    </w:lvlOverride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SQLTeacher SQL教学与智能练习软件用户手册V1.1.0-独创性代表性优化版</dc:title>
  <dc:subject>计算机软件著作权登记文档鉴别材料</dc:subject>
  <dc:creator>河南科技大学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