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05F9" w14:textId="77777777" w:rsidR="00F8163A" w:rsidRDefault="00F8163A"/>
    <w:p w14:paraId="2D8BFCA1" w14:textId="77777777" w:rsidR="00AE704D" w:rsidRDefault="00AE704D"/>
    <w:p w14:paraId="10016B16" w14:textId="2D313EA5" w:rsidR="00AE704D" w:rsidRDefault="00AE704D">
      <w:r>
        <w:t>Notes</w:t>
      </w:r>
    </w:p>
    <w:p w14:paraId="3DA5E312" w14:textId="77777777" w:rsidR="00AE704D" w:rsidRPr="00AE704D" w:rsidRDefault="00AE704D" w:rsidP="00AE704D">
      <w:r w:rsidRPr="00AE704D">
        <w:t>Retuned for the locked config (4T4R, 200 MHz iBW, TDD, shared/reduced DPD) and updated the document. Headline result:</w:t>
      </w:r>
    </w:p>
    <w:p w14:paraId="20050AB9" w14:textId="77777777" w:rsidR="00AE704D" w:rsidRPr="00AE704D" w:rsidRDefault="00AE704D" w:rsidP="00AE704D">
      <w:r w:rsidRPr="00AE704D">
        <w:t>The design fits a single ZU48DR, but LUT/routing is the binding resource — estimated ~250k–400k LUTs (~59–94%), while DSP (~1,800–3,000, ~42–70%), FF, BRAM and UltraRAM all stay below ~70%.</w:t>
      </w:r>
    </w:p>
    <w:p w14:paraId="7C79253C" w14:textId="77777777" w:rsidR="00AE704D" w:rsidRPr="00AE704D" w:rsidRDefault="00AE704D" w:rsidP="00AE704D">
      <w:r w:rsidRPr="00AE704D">
        <w:t>What each of your choices did to the numbers: 200 MHz iBW roughly doubles the datapath rate versus a 100 MHz design and is what pushes LUT to the front; TDD lets TX/RX time-share and the DPD observation path reuse the RX front-end, trimming fabric versus FDD; and the shared/reduced DPD is the main reason it fits at all — full per-antenna DPD at 200 MHz would likely overflow the device.</w:t>
      </w:r>
    </w:p>
    <w:p w14:paraId="4E965A52" w14:textId="77777777" w:rsidR="00AE704D" w:rsidRPr="00AE704D" w:rsidRDefault="00AE704D" w:rsidP="00AE704D">
      <w:r w:rsidRPr="00AE704D">
        <w:t>If LUT gets tight in synthesis, the levers are fewer component carriers, a lower DPD model order, or a -2 speed grade for timing headroom. These are still first-order estimates — a trial synthesis on the actual RTL is what confirms them.</w:t>
      </w:r>
    </w:p>
    <w:p w14:paraId="7913C870" w14:textId="77777777" w:rsidR="00AE704D" w:rsidRPr="00AE704D" w:rsidRDefault="00AE704D" w:rsidP="00AE704D">
      <w:r w:rsidRPr="00AE704D">
        <w:t>In the doc, the config-fit table now carries your target row at the top, and Section 7's utilization subsection is rewritten for this exact config with the per-resource table and the modeling notes.</w:t>
      </w:r>
    </w:p>
    <w:p w14:paraId="06FD69ED" w14:textId="77777777" w:rsidR="00AE704D" w:rsidRPr="00AE704D" w:rsidRDefault="00AE704D" w:rsidP="00AE704D">
      <w:r w:rsidRPr="00AE704D">
        <w:t>One caveat on the CC count: I assumed up to ~4 component carriers packed within the 200 MHz. If your carrier plan is different (e.g., a single 200 MHz NR carrier vs. several narrower ones), tell me and I'll adjust the filter/mixer replication accordingly.</w:t>
      </w:r>
    </w:p>
    <w:p w14:paraId="245ABC19" w14:textId="77777777" w:rsidR="00AE704D" w:rsidRDefault="00AE704D"/>
    <w:sectPr w:rsidR="00AE704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3A"/>
    <w:rsid w:val="000F0ACC"/>
    <w:rsid w:val="00AE704D"/>
    <w:rsid w:val="00F8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431E"/>
  <w15:chartTrackingRefBased/>
  <w15:docId w15:val="{1770BDDF-0769-43A5-8EBC-12D7BFB3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2</cp:revision>
  <dcterms:created xsi:type="dcterms:W3CDTF">2026-09-13T05:54:00Z</dcterms:created>
  <dcterms:modified xsi:type="dcterms:W3CDTF">2026-09-13T05:54:00Z</dcterms:modified>
</cp:coreProperties>
</file>