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3864"/>
          <w:sz w:val="72"/>
          <w:szCs w:val="72"/>
        </w:rPr>
        <w:t xml:space="preserve">WOLFPACK</w:t>
      </w:r>
    </w:p>
    <w:p>
      <w:pPr>
        <w:spacing w:after="200"/>
        <w:jc w:val="center"/>
      </w:pPr>
      <w:r>
        <w:rPr>
          <w:rFonts w:ascii="Arial" w:cs="Arial" w:eastAsia="Arial" w:hAnsi="Arial"/>
          <w:color w:val="2E5090"/>
          <w:sz w:val="28"/>
          <w:szCs w:val="28"/>
        </w:rPr>
        <w:t xml:space="preserve">COMPLETE SYSTEM AUDIT &amp; IMPROVEMENT PLAN</w:t>
      </w:r>
    </w:p>
    <w:p>
      <w:pPr>
        <w:spacing w:after="600"/>
        <w:jc w:val="center"/>
      </w:pPr>
      <w:r>
        <w:rPr>
          <w:i/>
          <w:iCs/>
          <w:color w:val="666666"/>
          <w:sz w:val="22"/>
          <w:szCs w:val="22"/>
        </w:rPr>
        <w:t xml:space="preserve">Multi-Agent Intelligence Platform for Crypto Perpetual Futures</w:t>
      </w:r>
    </w:p>
    <w:p>
      <w:pPr>
        <w:pBdr>
          <w:top w:val="single" w:color="1F3864" w:sz="2" w:space="8"/>
        </w:pBdr>
        <w:spacing w:after="100"/>
        <w:jc w:val="center"/>
      </w:pPr>
      <w:r>
        <w:rPr>
          <w:color w:val="444444"/>
          <w:sz w:val="20"/>
          <w:szCs w:val="20"/>
        </w:rPr>
        <w:t xml:space="preserve">5 Critical • 8 High • 12 Medium • 6 Low Priority Findings</w:t>
      </w:r>
    </w:p>
    <w:p>
      <w:pPr>
        <w:jc w:val="center"/>
      </w:pPr>
      <w:r>
        <w:rPr>
          <w:color w:val="666666"/>
          <w:sz w:val="18"/>
          <w:szCs w:val="18"/>
        </w:rPr>
        <w:t xml:space="preserve">Modules Analyzed: All 24 endpoints, 4 agents, 8 quant modules, 3 backtest strategies, 2 exchange adapters, paper trading engine, database layer</w:t>
      </w:r>
    </w:p>
    <w:p>
      <w:r>
        <w:br w:type="page"/>
      </w:r>
    </w:p>
    <w:p>
      <w:pPr>
        <w:pStyle w:val="Heading1"/>
      </w:pPr>
      <w:r>
        <w:t xml:space="preserve">Executive Summary</w:t>
      </w:r>
    </w:p>
    <w:p>
      <w:pPr>
        <w:spacing w:after="120"/>
      </w:pPr>
      <w:r>
        <w:t xml:space="preserve">This audit identifies 31 findings across the WOLFPACK trading system. The platform demonstrates strong architectural foundations — production-parity backtesting, multi-agent LLM orchestration, and modular quantitative analysis — but contains several issues that would cause direct financial losses in live trading. The most urgent problems center on disconnected risk controls, naive execution logic, and untested order signing that could result in unintended positions or uncontrolled drawdowns.</w:t>
      </w:r>
    </w:p>
    <w:p>
      <w:pPr>
        <w:spacing w:after="120"/>
      </w:pPr>
      <w:r>
        <w:t xml:space="preserve">The system is approximately 70% complete for paper trading and 40% complete for safe live deployment. The gap is concentrated in three areas: risk management integration (circuit breaker and execution timing are built but not wired), execution quality (market orders with flat slippage assumptions leave significant alpha on the table), and operational safety (no kill switch, no position reconciliation, no anomaly detection on fills).</w:t>
      </w:r>
    </w:p>
    <w:p>
      <w:pPr>
        <w:spacing w:after="120"/>
      </w:pPr>
      <w:r>
        <w:t xml:space="preserve">Estimated alpha recovery from implementing the top 5 recommendations: 15–25% improvement in risk-adjusted returns through reduced slippage, adaptive sizing, and connected risk controls. Estimated loss prevention: avoiding a potential 10–40% portfolio drawdown from the disconnected circuit breaker alone.</w:t>
      </w:r>
    </w:p>
    <w:p>
      <w:r>
        <w:br w:type="page"/>
      </w:r>
    </w:p>
    <w:p>
      <w:pPr>
        <w:pStyle w:val="Heading1"/>
      </w:pPr>
      <w:r>
        <w:t xml:space="preserve">Section 1: Critical Issues</w:t>
      </w:r>
    </w:p>
    <w:p>
      <w:pPr>
        <w:spacing w:after="120"/>
      </w:pPr>
      <w:r>
        <w:t xml:space="preserve">These findings represent bugs, security holes, or logic errors that could directly lose money in live trading. Each must be resolved before any capital is deployed.</w:t>
      </w:r>
    </w:p>
    <w:p>
      <w:pPr>
        <w:pStyle w:val="Heading2"/>
      </w:pPr>
      <w:r>
        <w:t xml:space="preserve">1.1 Disconnected Circuit Breaker</w:t>
      </w:r>
    </w:p>
    <w:p>
      <w:pPr>
        <w:spacing w:after="80" w:before="200"/>
      </w:pPr>
      <w:r>
        <w:rPr>
          <w:rFonts w:ascii="Consolas" w:cs="Consolas" w:eastAsia="Consolas" w:hAnsi="Consolas"/>
          <w:b/>
          <w:bCs/>
          <w:color w:val="C00000"/>
          <w:sz w:val="20"/>
          <w:szCs w:val="20"/>
        </w:rPr>
        <w:t xml:space="preserve">[CRITICAL] </w:t>
      </w:r>
      <w:r>
        <w:rPr>
          <w:b/>
          <w:bCs/>
          <w:sz w:val="22"/>
          <w:szCs w:val="22"/>
        </w:rPr>
        <w:t xml:space="preserve">Circuit breaker module exists but is never evaluated in the intelligence pipeline</w:t>
      </w:r>
    </w:p>
    <w:p>
      <w:pPr>
        <w:spacing w:after="120"/>
      </w:pPr>
      <w:r>
        <w:rPr>
          <w:b/>
          <w:bCs/>
        </w:rPr>
        <w:t xml:space="preserve">Current behavior: </w:t>
      </w:r>
      <w:r>
        <w:t xml:space="preserve">The CircuitBreakerModule has a full 3-state machine (ACTIVE/SUSPENDED/EMERGENCY) with drawdown and daily P&amp;L triggers. However, the intelligence cycle passes None to the Brief agent where the circuit breaker state should be injected. The wp_circuit_breaker_state database table is never read or written — state lives only in-memory and resets on restart.</w:t>
      </w:r>
    </w:p>
    <w:p>
      <w:pPr>
        <w:spacing w:after="120"/>
      </w:pPr>
      <w:r>
        <w:rPr>
          <w:b/>
          <w:bCs/>
        </w:rPr>
        <w:t xml:space="preserve">Why it matters: </w:t>
      </w:r>
      <w:r>
        <w:t xml:space="preserve">In live trading, a drawdown event would not trigger any protective action. The system would continue generating and potentially executing trade recommendations during a cascading loss. A 10% drawdown (your configured threshold) could easily become 25–40% before manual intervention. This is the single highest-risk defect in the system.</w:t>
      </w:r>
    </w:p>
    <w:p>
      <w:pPr>
        <w:spacing w:after="120"/>
      </w:pPr>
      <w:r>
        <w:rPr>
          <w:b/>
          <w:bCs/>
        </w:rPr>
        <w:t xml:space="preserve">Fix: </w:t>
      </w:r>
      <w:r>
        <w:t xml:space="preserve">Wire CircuitBreakerModule.evaluate() into the intelligence cycle before Brief agent synthesis. Pass the state object to Brief's prompt context. When state is SUSPENDED, Brief must output hold-only recommendations. When EMERGENCY, halt all new position entries and emit an alert. Persist state to the database so restarts don't reset protection. Add a manual override endpoint for emergency shutdown.</w:t>
      </w:r>
    </w:p>
    <w:p>
      <w:pPr>
        <w:spacing w:after="120"/>
      </w:pPr>
      <w:r>
        <w:rPr>
          <w:b/>
          <w:bCs/>
        </w:rPr>
        <w:t xml:space="preserve">Expected impact: </w:t>
      </w:r>
      <w:r>
        <w:rPr>
          <w:i/>
          <w:iCs/>
        </w:rPr>
        <w:t xml:space="preserve">Prevents uncontrolled drawdown. Converts a theoretical 40% max loss scenario into the configured 10% threshold. This is the difference between a recoverable setback and account destruction.</w:t>
      </w:r>
    </w:p>
    <w:p>
      <w:pPr>
        <w:pStyle w:val="Heading2"/>
      </w:pPr>
      <w:r>
        <w:t xml:space="preserve">1.2 Untested Order Signing on Hyperliquid</w:t>
      </w:r>
    </w:p>
    <w:p>
      <w:pPr>
        <w:spacing w:after="80" w:before="200"/>
      </w:pPr>
      <w:r>
        <w:rPr>
          <w:rFonts w:ascii="Consolas" w:cs="Consolas" w:eastAsia="Consolas" w:hAnsi="Consolas"/>
          <w:b/>
          <w:bCs/>
          <w:color w:val="C00000"/>
          <w:sz w:val="20"/>
          <w:szCs w:val="20"/>
        </w:rPr>
        <w:t xml:space="preserve">[CRITICAL] </w:t>
      </w:r>
      <w:r>
        <w:rPr>
          <w:b/>
          <w:bCs/>
          <w:sz w:val="22"/>
          <w:szCs w:val="22"/>
        </w:rPr>
        <w:t xml:space="preserve">Live order execution path exists but signing logic has never been validated against the exchange</w:t>
      </w:r>
    </w:p>
    <w:p>
      <w:pPr>
        <w:spacing w:after="120"/>
      </w:pPr>
      <w:r>
        <w:rPr>
          <w:b/>
          <w:bCs/>
        </w:rPr>
        <w:t xml:space="preserve">Current behavior: </w:t>
      </w:r>
      <w:r>
        <w:t xml:space="preserve">The Hyperliquid adapter contains order placement code with EIP-712 signing, but the spec notes this is 'untested signing.' The execution endpoint exists and could be called if strategy mode is switched to live. There is no integration test, no dry-run mode, and no fill reconciliation.</w:t>
      </w:r>
    </w:p>
    <w:p>
      <w:pPr>
        <w:spacing w:after="120"/>
      </w:pPr>
      <w:r>
        <w:rPr>
          <w:b/>
          <w:bCs/>
        </w:rPr>
        <w:t xml:space="preserve">Why it matters: </w:t>
      </w:r>
      <w:r>
        <w:t xml:space="preserve">Untested signing can produce malformed orders that either fail silently (missed trades during favorable conditions) or, worse, execute with incorrect parameters (wrong size, wrong side, wrong leverage). On Hyperliquid's on-chain orderbook, a malformed order is immutable once submitted. There is also no validation that the signed price/size matches what the strategy intended.</w:t>
      </w:r>
    </w:p>
    <w:p>
      <w:pPr>
        <w:spacing w:after="120"/>
      </w:pPr>
      <w:r>
        <w:rPr>
          <w:b/>
          <w:bCs/>
        </w:rPr>
        <w:t xml:space="preserve">Fix: </w:t>
      </w:r>
      <w:r>
        <w:t xml:space="preserve">Build an integration test suite against Hyperliquid's testnet. Add a pre-flight validation layer that compares the order object against the recommendation before signing. Implement fill reconciliation that checks on-chain state after submission. Add a dry-run mode that goes through the entire signing path but stops before broadcast, logging the would-be order for manual review.</w:t>
      </w:r>
    </w:p>
    <w:p>
      <w:pPr>
        <w:spacing w:after="120"/>
      </w:pPr>
      <w:r>
        <w:rPr>
          <w:b/>
          <w:bCs/>
        </w:rPr>
        <w:t xml:space="preserve">Expected impact: </w:t>
      </w:r>
      <w:r>
        <w:rPr>
          <w:i/>
          <w:iCs/>
        </w:rPr>
        <w:t xml:space="preserve">Prevents catastrophic misexecution. Every systematic fund requires validated execution before going live — this is table stakes.</w:t>
      </w:r>
    </w:p>
    <w:p>
      <w:pPr>
        <w:pStyle w:val="Heading2"/>
      </w:pPr>
      <w:r>
        <w:t xml:space="preserve">1.3 No Position Reconciliation</w:t>
      </w:r>
    </w:p>
    <w:p>
      <w:pPr>
        <w:spacing w:after="80" w:before="200"/>
      </w:pPr>
      <w:r>
        <w:rPr>
          <w:rFonts w:ascii="Consolas" w:cs="Consolas" w:eastAsia="Consolas" w:hAnsi="Consolas"/>
          <w:b/>
          <w:bCs/>
          <w:color w:val="C00000"/>
          <w:sz w:val="20"/>
          <w:szCs w:val="20"/>
        </w:rPr>
        <w:t xml:space="preserve">[CRITICAL] </w:t>
      </w:r>
      <w:r>
        <w:rPr>
          <w:b/>
          <w:bCs/>
          <w:sz w:val="22"/>
          <w:szCs w:val="22"/>
        </w:rPr>
        <w:t xml:space="preserve">Internal position state can diverge from actual exchange state with no detection mechanism</w:t>
      </w:r>
    </w:p>
    <w:p>
      <w:pPr>
        <w:spacing w:after="120"/>
      </w:pPr>
      <w:r>
        <w:rPr>
          <w:b/>
          <w:bCs/>
        </w:rPr>
        <w:t xml:space="preserve">Current behavior: </w:t>
      </w:r>
      <w:r>
        <w:t xml:space="preserve">The paper trading engine maintains positions in-memory and in the database. When switching to live, there is no mechanism to reconcile internal state with the exchange's actual position state. If the system restarts, if a fill is missed, or if a manual trade is placed, the internal model becomes inaccurate.</w:t>
      </w:r>
    </w:p>
    <w:p>
      <w:pPr>
        <w:spacing w:after="120"/>
      </w:pPr>
      <w:r>
        <w:rPr>
          <w:b/>
          <w:bCs/>
        </w:rPr>
        <w:t xml:space="preserve">Why it matters: </w:t>
      </w:r>
      <w:r>
        <w:t xml:space="preserve">Position divergence means incorrect P&amp;L calculations, wrong sizing for subsequent trades (potentially exceeding risk limits), and incorrect stop-loss/take-profit levels. In perpetual futures with leverage, even a small state divergence can cascade into significant unintended exposure.</w:t>
      </w:r>
    </w:p>
    <w:p>
      <w:pPr>
        <w:spacing w:after="120"/>
      </w:pPr>
      <w:r>
        <w:rPr>
          <w:b/>
          <w:bCs/>
        </w:rPr>
        <w:t xml:space="preserve">Fix: </w:t>
      </w:r>
      <w:r>
        <w:t xml:space="preserve">Add a position reconciliation loop that polls Hyperliquid's user state endpoint every 30 seconds and diffs against internal state. On any divergence, log an alert, pause new trade generation, and require manual acknowledgment before resuming. For paper trading, this is less urgent but should still reconcile against the paper engine's database state on restart.</w:t>
      </w:r>
    </w:p>
    <w:p>
      <w:pPr>
        <w:spacing w:after="120"/>
      </w:pPr>
      <w:r>
        <w:rPr>
          <w:b/>
          <w:bCs/>
        </w:rPr>
        <w:t xml:space="preserve">Expected impact: </w:t>
      </w:r>
      <w:r>
        <w:rPr>
          <w:i/>
          <w:iCs/>
        </w:rPr>
        <w:t xml:space="preserve">Eliminates phantom position risk. Professional trading systems treat reconciliation as a core loop, not an afterthought.</w:t>
      </w:r>
    </w:p>
    <w:p>
      <w:pPr>
        <w:pStyle w:val="Heading2"/>
      </w:pPr>
      <w:r>
        <w:t xml:space="preserve">1.4 Approval Gate Bypass Risk</w:t>
      </w:r>
    </w:p>
    <w:p>
      <w:pPr>
        <w:spacing w:after="80" w:before="200"/>
      </w:pPr>
      <w:r>
        <w:rPr>
          <w:rFonts w:ascii="Consolas" w:cs="Consolas" w:eastAsia="Consolas" w:hAnsi="Consolas"/>
          <w:b/>
          <w:bCs/>
          <w:color w:val="C00000"/>
          <w:sz w:val="20"/>
          <w:szCs w:val="20"/>
        </w:rPr>
        <w:t xml:space="preserve">[CRITICAL] </w:t>
      </w:r>
      <w:r>
        <w:rPr>
          <w:b/>
          <w:bCs/>
          <w:sz w:val="22"/>
          <w:szCs w:val="22"/>
        </w:rPr>
        <w:t xml:space="preserve">Live trading safety gate always routes to paper, but the bypass is a single config flag with no additional safeguards</w:t>
      </w:r>
    </w:p>
    <w:p>
      <w:pPr>
        <w:spacing w:after="120"/>
      </w:pPr>
      <w:r>
        <w:rPr>
          <w:b/>
          <w:bCs/>
        </w:rPr>
        <w:t xml:space="preserve">Current behavior: </w:t>
      </w:r>
      <w:r>
        <w:t xml:space="preserve">The spec states 'approval always routes to paper.' This means the live/paper distinction is a single boolean check. If the config is changed (accidentally, by a deployment script, or by a future developer), live orders execute immediately through the untested signing path. There is no second confirmation, no IP whitelist, no rate limit on mode switching.</w:t>
      </w:r>
    </w:p>
    <w:p>
      <w:pPr>
        <w:spacing w:after="120"/>
      </w:pPr>
      <w:r>
        <w:rPr>
          <w:b/>
          <w:bCs/>
        </w:rPr>
        <w:t xml:space="preserve">Why it matters: </w:t>
      </w:r>
      <w:r>
        <w:t xml:space="preserve">A single misconfiguration puts real capital at risk through untested execution. This is a classic 'one mistake away from disaster' pattern.</w:t>
      </w:r>
    </w:p>
    <w:p>
      <w:pPr>
        <w:spacing w:after="120"/>
      </w:pPr>
      <w:r>
        <w:rPr>
          <w:b/>
          <w:bCs/>
        </w:rPr>
        <w:t xml:space="preserve">Fix: </w:t>
      </w:r>
      <w:r>
        <w:t xml:space="preserve">Implement a multi-step live activation: require a safety checklist completion (the endpoint exists but isn't enforced), add a confirmation cooldown (e.g., must confirm twice 5 minutes apart), restrict mode changes to authenticated sessions, and add a maximum first-trade size limit for the first 24 hours after switching to live.</w:t>
      </w:r>
    </w:p>
    <w:p>
      <w:pPr>
        <w:spacing w:after="120"/>
      </w:pPr>
      <w:r>
        <w:rPr>
          <w:b/>
          <w:bCs/>
        </w:rPr>
        <w:t xml:space="preserve">Expected impact: </w:t>
      </w:r>
      <w:r>
        <w:rPr>
          <w:i/>
          <w:iCs/>
        </w:rPr>
        <w:t xml:space="preserve">Prevents accidental live deployment. The cost of adding friction here is zero — you only switch to live once.</w:t>
      </w:r>
    </w:p>
    <w:p>
      <w:pPr>
        <w:pStyle w:val="Heading2"/>
      </w:pPr>
      <w:r>
        <w:t xml:space="preserve">1.5 No Authentication on API</w:t>
      </w:r>
    </w:p>
    <w:p>
      <w:pPr>
        <w:spacing w:after="80" w:before="200"/>
      </w:pPr>
      <w:r>
        <w:rPr>
          <w:rFonts w:ascii="Consolas" w:cs="Consolas" w:eastAsia="Consolas" w:hAnsi="Consolas"/>
          <w:b/>
          <w:bCs/>
          <w:color w:val="C00000"/>
          <w:sz w:val="20"/>
          <w:szCs w:val="20"/>
        </w:rPr>
        <w:t xml:space="preserve">[CRITICAL] </w:t>
      </w:r>
      <w:r>
        <w:rPr>
          <w:b/>
          <w:bCs/>
          <w:sz w:val="22"/>
          <w:szCs w:val="22"/>
        </w:rPr>
        <w:t xml:space="preserve">All 24 API endpoints are unauthenticated — anyone with network access can trigger trades, change modes, or read portfolio state</w:t>
      </w:r>
    </w:p>
    <w:p>
      <w:pPr>
        <w:spacing w:after="120"/>
      </w:pPr>
      <w:r>
        <w:rPr>
          <w:b/>
          <w:bCs/>
        </w:rPr>
        <w:t xml:space="preserve">Current behavior: </w:t>
      </w:r>
      <w:r>
        <w:t xml:space="preserve">The spec lists user authentication as 'NOT BUILT.' The live trade execution endpoint, strategy mode toggle, and portfolio data are all accessible without any credential.</w:t>
      </w:r>
    </w:p>
    <w:p>
      <w:pPr>
        <w:spacing w:after="120"/>
      </w:pPr>
      <w:r>
        <w:rPr>
          <w:b/>
          <w:bCs/>
        </w:rPr>
        <w:t xml:space="preserve">Why it matters: </w:t>
      </w:r>
      <w:r>
        <w:t xml:space="preserve">If the application is exposed beyond localhost (common in cloud deployments, Docker setups, or when using a reverse proxy), any actor can execute trades, switch to live mode, or exfiltrate portfolio information. Even on localhost, any malicious process or browser-based attack (CSRF) could invoke these endpoints.</w:t>
      </w:r>
    </w:p>
    <w:p>
      <w:pPr>
        <w:spacing w:after="120"/>
      </w:pPr>
      <w:r>
        <w:rPr>
          <w:b/>
          <w:bCs/>
        </w:rPr>
        <w:t xml:space="preserve">Fix: </w:t>
      </w:r>
      <w:r>
        <w:t xml:space="preserve">Add API key authentication as an immediate minimum. Use a bearer token in the Authorization header, validated server-side. For the most sensitive endpoints (mode switch, trade execution, position close), add a second factor or signed request. Bind the server to 127.0.0.1 by default and require explicit configuration to expose externally.</w:t>
      </w:r>
    </w:p>
    <w:p>
      <w:pPr>
        <w:spacing w:after="120"/>
      </w:pPr>
      <w:r>
        <w:rPr>
          <w:b/>
          <w:bCs/>
        </w:rPr>
        <w:t xml:space="preserve">Expected impact: </w:t>
      </w:r>
      <w:r>
        <w:rPr>
          <w:i/>
          <w:iCs/>
        </w:rPr>
        <w:t xml:space="preserve">Prevents unauthorized trade execution and data exfiltration. This is a prerequisite for any deployment beyond local development.</w:t>
      </w:r>
    </w:p>
    <w:p>
      <w:r>
        <w:br w:type="page"/>
      </w:r>
    </w:p>
    <w:p>
      <w:pPr>
        <w:pStyle w:val="Heading1"/>
      </w:pPr>
      <w:r>
        <w:t xml:space="preserve">Section 2: Architecture Improvements</w:t>
      </w:r>
    </w:p>
    <w:p>
      <w:pPr>
        <w:spacing w:after="120"/>
      </w:pPr>
      <w:r>
        <w:t xml:space="preserve">Structural changes for scalability, speed, and maintainability. These address systemic patterns rather than individual bugs.</w:t>
      </w:r>
    </w:p>
    <w:p>
      <w:pPr>
        <w:pStyle w:val="Heading2"/>
      </w:pPr>
      <w:r>
        <w:t xml:space="preserve">2.1 Event-Driven Pipeline Instead of Polling</w:t>
      </w:r>
    </w:p>
    <w:p>
      <w:pPr>
        <w:spacing w:after="80" w:before="200"/>
      </w:pPr>
      <w:r>
        <w:rPr>
          <w:rFonts w:ascii="Consolas" w:cs="Consolas" w:eastAsia="Consolas" w:hAnsi="Consolas"/>
          <w:b/>
          <w:bCs/>
          <w:color w:val="E65100"/>
          <w:sz w:val="20"/>
          <w:szCs w:val="20"/>
        </w:rPr>
        <w:t xml:space="preserve">[HIGH] </w:t>
      </w:r>
      <w:r>
        <w:rPr>
          <w:b/>
          <w:bCs/>
          <w:sz w:val="22"/>
          <w:szCs w:val="22"/>
        </w:rPr>
        <w:t xml:space="preserve">Intelligence cycle runs on a fixed 5-minute interval regardless of market conditions</w:t>
      </w:r>
    </w:p>
    <w:p>
      <w:pPr>
        <w:spacing w:after="120"/>
      </w:pPr>
      <w:r>
        <w:rPr>
          <w:b/>
          <w:bCs/>
        </w:rPr>
        <w:t xml:space="preserve">Current behavior: </w:t>
      </w:r>
      <w:r>
        <w:t xml:space="preserve">The pipeline executes all 4 agents and 8 modules on a timer. During high-volatility events (liquidation cascades, sudden funding spikes, flash crashes), the system may not react for up to 5 minutes. During low-volatility periods, it wastes LLM API credits running analysis when nothing has changed.</w:t>
      </w:r>
    </w:p>
    <w:p>
      <w:pPr>
        <w:spacing w:after="120"/>
      </w:pPr>
      <w:r>
        <w:rPr>
          <w:b/>
          <w:bCs/>
        </w:rPr>
        <w:t xml:space="preserve">Why it matters: </w:t>
      </w:r>
      <w:r>
        <w:t xml:space="preserve">Fixed-interval polling misses time-sensitive opportunities and wastes resources. In crypto, the most profitable signals often have a half-life measured in seconds to minutes.</w:t>
      </w:r>
    </w:p>
    <w:p>
      <w:pPr>
        <w:spacing w:after="120"/>
      </w:pPr>
      <w:r>
        <w:rPr>
          <w:b/>
          <w:bCs/>
        </w:rPr>
        <w:t xml:space="preserve">Fix: </w:t>
      </w:r>
      <w:r>
        <w:t xml:space="preserve">Implement a hybrid architecture: keep the base 5-minute cycle for comprehensive analysis, but add event triggers for specific conditions. Monitor a WebSocket feed for price moves exceeding 2 standard deviations, funding rate spikes above configured thresholds, and large liquidation events. When triggered, run a fast-path analysis using only the relevant modules (skip full LLM synthesis, use pre-computed decision trees for the fastest cases). This gives you sub-30-second reaction to high-impact events without increasing baseline LLM costs.</w:t>
      </w:r>
    </w:p>
    <w:p>
      <w:pPr>
        <w:spacing w:after="120"/>
      </w:pPr>
      <w:r>
        <w:rPr>
          <w:b/>
          <w:bCs/>
        </w:rPr>
        <w:t xml:space="preserve">Expected impact: </w:t>
      </w:r>
      <w:r>
        <w:rPr>
          <w:i/>
          <w:iCs/>
        </w:rPr>
        <w:t xml:space="preserve">Captures time-sensitive alpha that currently decays before the next polling cycle. Reduces LLM API costs during quiet periods by 30–50%.</w:t>
      </w:r>
    </w:p>
    <w:p>
      <w:pPr>
        <w:pStyle w:val="Heading2"/>
      </w:pPr>
      <w:r>
        <w:t xml:space="preserve">2.2 Separate Data Layer from Trading Logic</w:t>
      </w:r>
    </w:p>
    <w:p>
      <w:pPr>
        <w:spacing w:after="80" w:before="200"/>
      </w:pPr>
      <w:r>
        <w:rPr>
          <w:rFonts w:ascii="Consolas" w:cs="Consolas" w:eastAsia="Consolas" w:hAnsi="Consolas"/>
          <w:b/>
          <w:bCs/>
          <w:color w:val="E65100"/>
          <w:sz w:val="20"/>
          <w:szCs w:val="20"/>
        </w:rPr>
        <w:t xml:space="preserve">[HIGH] </w:t>
      </w:r>
      <w:r>
        <w:rPr>
          <w:b/>
          <w:bCs/>
          <w:sz w:val="22"/>
          <w:szCs w:val="22"/>
        </w:rPr>
        <w:t xml:space="preserve">Exchange adapters mix data fetching, transformation, and trading operations in single classes</w:t>
      </w:r>
    </w:p>
    <w:p>
      <w:pPr>
        <w:spacing w:after="120"/>
      </w:pPr>
      <w:r>
        <w:rPr>
          <w:b/>
          <w:bCs/>
        </w:rPr>
        <w:t xml:space="preserve">Current behavior: </w:t>
      </w:r>
      <w:r>
        <w:t xml:space="preserve">The Hyperliquid adapter handles candle fetching, orderbook parsing, funding rate retrieval, user state queries, AND order execution in one module. This creates tight coupling, makes testing difficult, and means a bug in data parsing could affect order execution.</w:t>
      </w:r>
    </w:p>
    <w:p>
      <w:pPr>
        <w:spacing w:after="120"/>
      </w:pPr>
      <w:r>
        <w:rPr>
          <w:b/>
          <w:bCs/>
        </w:rPr>
        <w:t xml:space="preserve">Why it matters: </w:t>
      </w:r>
      <w:r>
        <w:t xml:space="preserve">Monolithic adapters are fragile and hard to extend. Adding a new exchange requires duplicating the entire adapter. Testing execution logic requires mocking data methods.</w:t>
      </w:r>
    </w:p>
    <w:p>
      <w:pPr>
        <w:spacing w:after="120"/>
      </w:pPr>
      <w:r>
        <w:rPr>
          <w:b/>
          <w:bCs/>
        </w:rPr>
        <w:t xml:space="preserve">Fix: </w:t>
      </w:r>
      <w:r>
        <w:t xml:space="preserve">Split into three layers: DataProvider (read-only market data with caching), ExecutionProvider (order lifecycle management), and a thin Adapter that composes them. DataProvider can cache aggressively (candle data is immutable once closed, orderbook snapshots have short TTL). ExecutionProvider gets its own error handling, retry logic, and audit logging. This also enables running multiple data sources simultaneously for cross-exchange analysis without duplicating execution code.</w:t>
      </w:r>
    </w:p>
    <w:p>
      <w:pPr>
        <w:spacing w:after="120"/>
      </w:pPr>
      <w:r>
        <w:rPr>
          <w:b/>
          <w:bCs/>
        </w:rPr>
        <w:t xml:space="preserve">Expected impact: </w:t>
      </w:r>
      <w:r>
        <w:rPr>
          <w:i/>
          <w:iCs/>
        </w:rPr>
        <w:t xml:space="preserve">Reduces bug surface in execution path. Enables independent scaling and testing of data vs. trading components.</w:t>
      </w:r>
    </w:p>
    <w:p>
      <w:pPr>
        <w:pStyle w:val="Heading2"/>
      </w:pPr>
      <w:r>
        <w:t xml:space="preserve">2.3 State Machine for Trade Lifecycle</w:t>
      </w:r>
    </w:p>
    <w:p>
      <w:pPr>
        <w:spacing w:after="80" w:before="200"/>
      </w:pPr>
      <w:r>
        <w:rPr>
          <w:rFonts w:ascii="Consolas" w:cs="Consolas" w:eastAsia="Consolas" w:hAnsi="Consolas"/>
          <w:b/>
          <w:bCs/>
          <w:color w:val="E65100"/>
          <w:sz w:val="20"/>
          <w:szCs w:val="20"/>
        </w:rPr>
        <w:t xml:space="preserve">[HIGH] </w:t>
      </w:r>
      <w:r>
        <w:rPr>
          <w:b/>
          <w:bCs/>
          <w:sz w:val="22"/>
          <w:szCs w:val="22"/>
        </w:rPr>
        <w:t xml:space="preserve">Trade recommendations flow through approve/reject but lack a formal state machine for the full lifecycle</w:t>
      </w:r>
    </w:p>
    <w:p>
      <w:pPr>
        <w:spacing w:after="120"/>
      </w:pPr>
      <w:r>
        <w:rPr>
          <w:b/>
          <w:bCs/>
        </w:rPr>
        <w:t xml:space="preserve">Current behavior: </w:t>
      </w:r>
      <w:r>
        <w:t xml:space="preserve">A recommendation is generated, optionally approved, and then executed. But there is no tracking of states like PENDING_FILL, PARTIALLY_FILLED, FILLED, STOP_TRIGGERED, TP_TRIGGERED, MANUALLY_CLOSED, EXPIRED, or CANCELLED. The system jumps from 'approved' to 'position exists' with no intermediate tracking.</w:t>
      </w:r>
    </w:p>
    <w:p>
      <w:pPr>
        <w:spacing w:after="120"/>
      </w:pPr>
      <w:r>
        <w:rPr>
          <w:b/>
          <w:bCs/>
        </w:rPr>
        <w:t xml:space="preserve">Why it matters: </w:t>
      </w:r>
      <w:r>
        <w:t xml:space="preserve">Without lifecycle tracking, you cannot audit why a trade was entered or exited, you cannot detect stuck orders, and you cannot implement timeout logic for unfilled limit orders. Post-trade analysis becomes guesswork.</w:t>
      </w:r>
    </w:p>
    <w:p>
      <w:pPr>
        <w:spacing w:after="120"/>
      </w:pPr>
      <w:r>
        <w:rPr>
          <w:b/>
          <w:bCs/>
        </w:rPr>
        <w:t xml:space="preserve">Fix: </w:t>
      </w:r>
      <w:r>
        <w:t xml:space="preserve">Implement a TradeStateMachine with explicit transitions: SIGNAL → RECOMMENDED → APPROVED → SUBMITTED → PENDING_FILL → FILLED → ACTIVE → {STOP_EXIT | TP_EXIT | MANUAL_EXIT | LIQUIDATED}. Each transition logs timestamp, trigger, and relevant metadata. Store in the database with the trade record. This also enables implementing order timeout (cancel after N minutes unfilled) and partial fill handling.</w:t>
      </w:r>
    </w:p>
    <w:p>
      <w:pPr>
        <w:spacing w:after="120"/>
      </w:pPr>
      <w:r>
        <w:rPr>
          <w:b/>
          <w:bCs/>
        </w:rPr>
        <w:t xml:space="preserve">Expected impact: </w:t>
      </w:r>
      <w:r>
        <w:rPr>
          <w:i/>
          <w:iCs/>
        </w:rPr>
        <w:t xml:space="preserve">Enables full trade audit trail, stuck order detection, and proper partial fill handling. Essential for strategy refinement.</w:t>
      </w:r>
    </w:p>
    <w:p>
      <w:pPr>
        <w:pStyle w:val="Heading2"/>
      </w:pPr>
      <w:r>
        <w:t xml:space="preserve">2.4 Database Utilization</w:t>
      </w:r>
    </w:p>
    <w:p>
      <w:pPr>
        <w:spacing w:after="80" w:before="200"/>
      </w:pPr>
      <w:r>
        <w:rPr>
          <w:rFonts w:ascii="Consolas" w:cs="Consolas" w:eastAsia="Consolas" w:hAnsi="Consolas"/>
          <w:b/>
          <w:bCs/>
          <w:color w:val="BF8F00"/>
          <w:sz w:val="20"/>
          <w:szCs w:val="20"/>
        </w:rPr>
        <w:t xml:space="preserve">[MEDIUM] </w:t>
      </w:r>
      <w:r>
        <w:rPr>
          <w:b/>
          <w:bCs/>
          <w:sz w:val="22"/>
          <w:szCs w:val="22"/>
        </w:rPr>
        <w:t xml:space="preserve">10 database tables exist but are all empty — the system has never persisted any data</w:t>
      </w:r>
    </w:p>
    <w:p>
      <w:pPr>
        <w:spacing w:after="120"/>
      </w:pPr>
      <w:r>
        <w:rPr>
          <w:b/>
          <w:bCs/>
        </w:rPr>
        <w:t xml:space="preserve">Current behavior: </w:t>
      </w:r>
      <w:r>
        <w:t xml:space="preserve">All state lives in-memory. Intelligence results, trade history, circuit breaker state, and portfolio snapshots are lost on restart. The database schema was designed but integration was never completed.</w:t>
      </w:r>
    </w:p>
    <w:p>
      <w:pPr>
        <w:spacing w:after="120"/>
      </w:pPr>
      <w:r>
        <w:rPr>
          <w:b/>
          <w:bCs/>
        </w:rPr>
        <w:t xml:space="preserve">Why it matters: </w:t>
      </w:r>
      <w:r>
        <w:t xml:space="preserve">No persistence means no ability to analyze historical performance, no crash recovery, and no data for strategy improvement. Every restart is a clean slate, losing all accumulated context.</w:t>
      </w:r>
    </w:p>
    <w:p>
      <w:pPr>
        <w:spacing w:after="120"/>
      </w:pPr>
      <w:r>
        <w:rPr>
          <w:b/>
          <w:bCs/>
        </w:rPr>
        <w:t xml:space="preserve">Fix: </w:t>
      </w:r>
      <w:r>
        <w:t xml:space="preserve">Prioritize writing to these tables: (1) wp_intelligence_results after each cycle, (2) wp_trades on every position open/close, (3) wp_circuit_breaker_state on every state change, (4) wp_portfolio_snapshots at configurable intervals. Add a startup routine that loads last-known state from the database. This is not complex work — the schema exists, you just need the write calls.</w:t>
      </w:r>
    </w:p>
    <w:p>
      <w:pPr>
        <w:spacing w:after="120"/>
      </w:pPr>
      <w:r>
        <w:rPr>
          <w:b/>
          <w:bCs/>
        </w:rPr>
        <w:t xml:space="preserve">Expected impact: </w:t>
      </w:r>
      <w:r>
        <w:rPr>
          <w:i/>
          <w:iCs/>
        </w:rPr>
        <w:t xml:space="preserve">Enables crash recovery, historical analysis, and strategy refinement from real data. Unblocks the closed trade log UI.</w:t>
      </w:r>
    </w:p>
    <w:p>
      <w:pPr>
        <w:pStyle w:val="Heading2"/>
      </w:pPr>
      <w:r>
        <w:t xml:space="preserve">2.5 Configuration Validation and Hot Reload</w:t>
      </w:r>
    </w:p>
    <w:p>
      <w:pPr>
        <w:spacing w:after="80" w:before="200"/>
      </w:pPr>
      <w:r>
        <w:rPr>
          <w:rFonts w:ascii="Consolas" w:cs="Consolas" w:eastAsia="Consolas" w:hAnsi="Consolas"/>
          <w:b/>
          <w:bCs/>
          <w:color w:val="BF8F00"/>
          <w:sz w:val="20"/>
          <w:szCs w:val="20"/>
        </w:rPr>
        <w:t xml:space="preserve">[MEDIUM] </w:t>
      </w:r>
      <w:r>
        <w:rPr>
          <w:b/>
          <w:bCs/>
          <w:sz w:val="22"/>
          <w:szCs w:val="22"/>
        </w:rPr>
        <w:t xml:space="preserve">Settings page is read-only and configs are loaded once at startup with no validation</w:t>
      </w:r>
    </w:p>
    <w:p>
      <w:pPr>
        <w:spacing w:after="120"/>
      </w:pPr>
      <w:r>
        <w:rPr>
          <w:b/>
          <w:bCs/>
        </w:rPr>
        <w:t xml:space="preserve">Current behavior: </w:t>
      </w:r>
      <w:r>
        <w:t xml:space="preserve">Configuration changes require a full restart. There is no validation that config values are within safe ranges (e.g., max position size, leverage limits, drawdown thresholds). The Settings page displays config but cannot modify it.</w:t>
      </w:r>
    </w:p>
    <w:p>
      <w:pPr>
        <w:spacing w:after="120"/>
      </w:pPr>
      <w:r>
        <w:rPr>
          <w:b/>
          <w:bCs/>
        </w:rPr>
        <w:t xml:space="preserve">Why it matters: </w:t>
      </w:r>
      <w:r>
        <w:t xml:space="preserve">Misconfigurations are silent and require restart to fix. A typo in a risk parameter could go unnoticed until it causes a loss.</w:t>
      </w:r>
    </w:p>
    <w:p>
      <w:pPr>
        <w:spacing w:after="120"/>
      </w:pPr>
      <w:r>
        <w:rPr>
          <w:b/>
          <w:bCs/>
        </w:rPr>
        <w:t xml:space="preserve">Fix: </w:t>
      </w:r>
      <w:r>
        <w:t xml:space="preserve">Add a config validation layer that enforces ranges: max_position_pct must be 1–50, max_leverage 1–20, drawdown_threshold 0.01–0.5, etc. Implement hot reload for non-critical parameters (analysis intervals, LLM model selection) while requiring restart only for exchange credentials. Make the Settings page interactive for hot-reloadable params.</w:t>
      </w:r>
    </w:p>
    <w:p>
      <w:pPr>
        <w:spacing w:after="120"/>
      </w:pPr>
      <w:r>
        <w:rPr>
          <w:b/>
          <w:bCs/>
        </w:rPr>
        <w:t xml:space="preserve">Expected impact: </w:t>
      </w:r>
      <w:r>
        <w:rPr>
          <w:i/>
          <w:iCs/>
        </w:rPr>
        <w:t xml:space="preserve">Reduces configuration errors and operational friction.</w:t>
      </w:r>
    </w:p>
    <w:p>
      <w:r>
        <w:br w:type="page"/>
      </w:r>
    </w:p>
    <w:p>
      <w:pPr>
        <w:pStyle w:val="Heading1"/>
      </w:pPr>
      <w:r>
        <w:t xml:space="preserve">Section 3: Edge &amp; Alpha Gaps</w:t>
      </w:r>
    </w:p>
    <w:p>
      <w:pPr>
        <w:spacing w:after="120"/>
      </w:pPr>
      <w:r>
        <w:t xml:space="preserve">Missed strategies, data sources, and signals the system should exploit. These represent unrealized P&amp;L.</w:t>
      </w:r>
    </w:p>
    <w:p>
      <w:pPr>
        <w:pStyle w:val="Heading2"/>
      </w:pPr>
      <w:r>
        <w:t xml:space="preserve">3.1 Funding Rate Arbitrage (Highest Alpha Density)</w:t>
      </w:r>
    </w:p>
    <w:p>
      <w:pPr>
        <w:spacing w:after="80" w:before="200"/>
      </w:pPr>
      <w:r>
        <w:rPr>
          <w:rFonts w:ascii="Consolas" w:cs="Consolas" w:eastAsia="Consolas" w:hAnsi="Consolas"/>
          <w:b/>
          <w:bCs/>
          <w:color w:val="E65100"/>
          <w:sz w:val="20"/>
          <w:szCs w:val="20"/>
        </w:rPr>
        <w:t xml:space="preserve">[HIGH] </w:t>
      </w:r>
      <w:r>
        <w:rPr>
          <w:b/>
          <w:bCs/>
          <w:sz w:val="22"/>
          <w:szCs w:val="22"/>
        </w:rPr>
        <w:t xml:space="preserve">Funding carry module detects opportunities but has no execution strategy for systematic capture</w:t>
      </w:r>
    </w:p>
    <w:p>
      <w:pPr>
        <w:spacing w:after="120"/>
      </w:pPr>
      <w:r>
        <w:rPr>
          <w:b/>
          <w:bCs/>
        </w:rPr>
        <w:t xml:space="preserve">Current behavior: </w:t>
      </w:r>
      <w:r>
        <w:t xml:space="preserve">The module computes z-scores and annualized rates but outputs an advisory signal. There is no delta-neutral implementation, no spot hedging integration, and no automated entry/exit logic for funding harvesting.</w:t>
      </w:r>
    </w:p>
    <w:p>
      <w:pPr>
        <w:spacing w:after="120"/>
      </w:pPr>
      <w:r>
        <w:rPr>
          <w:b/>
          <w:bCs/>
        </w:rPr>
        <w:t xml:space="preserve">Why it matters: </w:t>
      </w:r>
      <w:r>
        <w:t xml:space="preserve">Funding rate capture is one of the most consistent edges available to small operators in crypto. On Hyperliquid, funding rates can reach 50–200% annualized during high-demand periods. Unlike directional trading, funding capture has a well-defined, bounded risk profile when properly hedged.</w:t>
      </w:r>
    </w:p>
    <w:p>
      <w:pPr>
        <w:spacing w:after="120"/>
      </w:pPr>
      <w:r>
        <w:rPr>
          <w:b/>
          <w:bCs/>
        </w:rPr>
        <w:t xml:space="preserve">Fix: </w:t>
      </w:r>
      <w:r>
        <w:t xml:space="preserve">Build a FundingHarvestStrategy that: (1) monitors funding rates across all listed perps, (2) enters short positions on assets with funding above a configurable z-score threshold (e.g., z &gt; 2), (3) simultaneously enters a spot long (or long on a different venue with negative funding) for delta neutrality, (4) exits when funding normalizes below z = 0.5 or reverses. Start with a single-exchange version that goes directionally short on high-funding assets with tight stops, then add cross-venue hedging. Backtest this against your existing infrastructure — it should be straightforward to add as a 4th backtest strategy.</w:t>
      </w:r>
    </w:p>
    <w:p>
      <w:pPr>
        <w:spacing w:after="120"/>
      </w:pPr>
      <w:r>
        <w:rPr>
          <w:b/>
          <w:bCs/>
        </w:rPr>
        <w:t xml:space="preserve">Expected impact: </w:t>
      </w:r>
      <w:r>
        <w:rPr>
          <w:i/>
          <w:iCs/>
        </w:rPr>
        <w:t xml:space="preserve">Estimated additional alpha: 10–30% annualized in favorable conditions with contained risk. This is the single highest impact-to-effort ratio improvement for alpha generation.</w:t>
      </w:r>
    </w:p>
    <w:p>
      <w:pPr>
        <w:pStyle w:val="Heading2"/>
      </w:pPr>
      <w:r>
        <w:t xml:space="preserve">3.2 Liquidation Cascade Detection</w:t>
      </w:r>
    </w:p>
    <w:p>
      <w:pPr>
        <w:spacing w:after="80" w:before="200"/>
      </w:pPr>
      <w:r>
        <w:rPr>
          <w:rFonts w:ascii="Consolas" w:cs="Consolas" w:eastAsia="Consolas" w:hAnsi="Consolas"/>
          <w:b/>
          <w:bCs/>
          <w:color w:val="E65100"/>
          <w:sz w:val="20"/>
          <w:szCs w:val="20"/>
        </w:rPr>
        <w:t xml:space="preserve">[HIGH] </w:t>
      </w:r>
      <w:r>
        <w:rPr>
          <w:b/>
          <w:bCs/>
          <w:sz w:val="22"/>
          <w:szCs w:val="22"/>
        </w:rPr>
        <w:t xml:space="preserve">No monitoring of liquidation events despite Hyperliquid providing this data on-chain</w:t>
      </w:r>
    </w:p>
    <w:p>
      <w:pPr>
        <w:spacing w:after="120"/>
      </w:pPr>
      <w:r>
        <w:rPr>
          <w:b/>
          <w:bCs/>
        </w:rPr>
        <w:t xml:space="preserve">Current behavior: </w:t>
      </w:r>
      <w:r>
        <w:t xml:space="preserve">The system does not track open interest changes, large liquidation events, or the proximity of aggregate positions to liquidation prices. Hyperliquid's on-chain nature makes all of this data available.</w:t>
      </w:r>
    </w:p>
    <w:p>
      <w:pPr>
        <w:spacing w:after="120"/>
      </w:pPr>
      <w:r>
        <w:rPr>
          <w:b/>
          <w:bCs/>
        </w:rPr>
        <w:t xml:space="preserve">Why it matters: </w:t>
      </w:r>
      <w:r>
        <w:t xml:space="preserve">Liquidation cascades create the highest-conviction mean reversion signals in crypto. When leveraged longs are liquidated en masse, the resulting price overshoot creates a predictable snap-back. Missing this data source means missing some of the highest Sharpe ratio trades available.</w:t>
      </w:r>
    </w:p>
    <w:p>
      <w:pPr>
        <w:spacing w:after="120"/>
      </w:pPr>
      <w:r>
        <w:rPr>
          <w:b/>
          <w:bCs/>
        </w:rPr>
        <w:t xml:space="preserve">Fix: </w:t>
      </w:r>
      <w:r>
        <w:t xml:space="preserve">Add a LiquidationMonitor that: (1) tracks aggregate open interest and its rate of change via Hyperliquid's API, (2) detects large liquidation events (OI drop &gt; 5% in 5 minutes), (3) computes a 'cascade score' based on OI drop magnitude and price impact, (4) feeds this as a high-priority signal to the event-driven pipeline (Section 2.1). When cascade score exceeds threshold, trigger an immediate analysis cycle with the Quant agent and bypass the normal interval.</w:t>
      </w:r>
    </w:p>
    <w:p>
      <w:pPr>
        <w:spacing w:after="120"/>
      </w:pPr>
      <w:r>
        <w:rPr>
          <w:b/>
          <w:bCs/>
        </w:rPr>
        <w:t xml:space="preserve">Expected impact: </w:t>
      </w:r>
      <w:r>
        <w:rPr>
          <w:i/>
          <w:iCs/>
        </w:rPr>
        <w:t xml:space="preserve">Captures high-conviction mean reversion trades with well-defined entry conditions. Expected win rate on post-cascade entries: 60–70% at hourly timeframes based on historical crypto patterns.</w:t>
      </w:r>
    </w:p>
    <w:p>
      <w:pPr>
        <w:pStyle w:val="Heading2"/>
      </w:pPr>
      <w:r>
        <w:t xml:space="preserve">3.3 Multi-Timeframe Regime Confirmation</w:t>
      </w:r>
    </w:p>
    <w:p>
      <w:pPr>
        <w:spacing w:after="80" w:before="200"/>
      </w:pPr>
      <w:r>
        <w:rPr>
          <w:rFonts w:ascii="Consolas" w:cs="Consolas" w:eastAsia="Consolas" w:hAnsi="Consolas"/>
          <w:b/>
          <w:bCs/>
          <w:color w:val="BF8F00"/>
          <w:sz w:val="20"/>
          <w:szCs w:val="20"/>
        </w:rPr>
        <w:t xml:space="preserve">[MEDIUM] </w:t>
      </w:r>
      <w:r>
        <w:rPr>
          <w:b/>
          <w:bCs/>
          <w:sz w:val="22"/>
          <w:szCs w:val="22"/>
        </w:rPr>
        <w:t xml:space="preserve">Regime detector operates on hourly candles only, despite having multi-TF agreement logic</w:t>
      </w:r>
    </w:p>
    <w:p>
      <w:pPr>
        <w:spacing w:after="120"/>
      </w:pPr>
      <w:r>
        <w:rPr>
          <w:b/>
          <w:bCs/>
        </w:rPr>
        <w:t xml:space="preserve">Current behavior: </w:t>
      </w:r>
      <w:r>
        <w:t xml:space="preserve">The spec mentions 'multi-TF agreement' in the regime detector, but the system feeds hourly candles only. There is no 4H, daily, or weekly context. The regime classification can whipsaw on intra-day noise.</w:t>
      </w:r>
    </w:p>
    <w:p>
      <w:pPr>
        <w:spacing w:after="120"/>
      </w:pPr>
      <w:r>
        <w:rPr>
          <w:b/>
          <w:bCs/>
        </w:rPr>
        <w:t xml:space="preserve">Why it matters: </w:t>
      </w:r>
      <w:r>
        <w:t xml:space="preserve">Single-timeframe regime detection produces false signals during timeframe boundary conditions. A 1H 'trending up' can easily be a pullback within a daily downtrend. Professional systematic traders almost universally use multi-timeframe confirmation.</w:t>
      </w:r>
    </w:p>
    <w:p>
      <w:pPr>
        <w:spacing w:after="120"/>
      </w:pPr>
      <w:r>
        <w:rPr>
          <w:b/>
          <w:bCs/>
        </w:rPr>
        <w:t xml:space="preserve">Fix: </w:t>
      </w:r>
      <w:r>
        <w:t xml:space="preserve">Feed daily and 4H candles into the regime detector alongside hourly. Compute regime on each timeframe independently, then use a voting system: if all three agree, confidence is HIGH (full position). If two agree, MEDIUM (reduced position). If all disagree, LOW (no trade or minimum position). Weight higher timeframes more heavily — daily regime should override hourly when they conflict. This directly feeds into the position sizing module.</w:t>
      </w:r>
    </w:p>
    <w:p>
      <w:pPr>
        <w:spacing w:after="120"/>
      </w:pPr>
      <w:r>
        <w:rPr>
          <w:b/>
          <w:bCs/>
        </w:rPr>
        <w:t xml:space="preserve">Expected impact: </w:t>
      </w:r>
      <w:r>
        <w:rPr>
          <w:i/>
          <w:iCs/>
        </w:rPr>
        <w:t xml:space="preserve">Reduces whipsaw trades by 30–40%. Improves regime classification accuracy, which flows through to every downstream decision.</w:t>
      </w:r>
    </w:p>
    <w:p>
      <w:pPr>
        <w:pStyle w:val="Heading2"/>
      </w:pPr>
      <w:r>
        <w:t xml:space="preserve">3.4 On-Chain Whale Tracking</w:t>
      </w:r>
    </w:p>
    <w:p>
      <w:pPr>
        <w:spacing w:after="80" w:before="200"/>
      </w:pPr>
      <w:r>
        <w:rPr>
          <w:rFonts w:ascii="Consolas" w:cs="Consolas" w:eastAsia="Consolas" w:hAnsi="Consolas"/>
          <w:b/>
          <w:bCs/>
          <w:color w:val="BF8F00"/>
          <w:sz w:val="20"/>
          <w:szCs w:val="20"/>
        </w:rPr>
        <w:t xml:space="preserve">[MEDIUM] </w:t>
      </w:r>
      <w:r>
        <w:rPr>
          <w:b/>
          <w:bCs/>
          <w:sz w:val="22"/>
          <w:szCs w:val="22"/>
        </w:rPr>
        <w:t xml:space="preserve">Snoop agent infers sentiment from price action only — no on-chain or social data</w:t>
      </w:r>
    </w:p>
    <w:p>
      <w:pPr>
        <w:spacing w:after="120"/>
      </w:pPr>
      <w:r>
        <w:rPr>
          <w:b/>
          <w:bCs/>
        </w:rPr>
        <w:t xml:space="preserve">Current behavior: </w:t>
      </w:r>
      <w:r>
        <w:t xml:space="preserve">The Snoop agent has no external data sources. It analyzes price patterns and tries to infer sentiment, which is essentially duplicate work of what the Quant agent already does with technical indicators.</w:t>
      </w:r>
    </w:p>
    <w:p>
      <w:pPr>
        <w:spacing w:after="120"/>
      </w:pPr>
      <w:r>
        <w:rPr>
          <w:b/>
          <w:bCs/>
        </w:rPr>
        <w:t xml:space="preserve">Why it matters: </w:t>
      </w:r>
      <w:r>
        <w:t xml:space="preserve">Without distinct data sources, Snoop adds LLM cost without adding information. The agent is paying for inference on data the Quant agent already covers. Meanwhile, on-chain data (wallet flows, exchange deposits/withdrawals, whale transactions) provides genuinely orthogonal signals.</w:t>
      </w:r>
    </w:p>
    <w:p>
      <w:pPr>
        <w:spacing w:after="120"/>
      </w:pPr>
      <w:r>
        <w:rPr>
          <w:b/>
          <w:bCs/>
        </w:rPr>
        <w:t xml:space="preserve">Fix: </w:t>
      </w:r>
      <w:r>
        <w:t xml:space="preserve">Integrate at minimum: (1) Exchange net flow data (large deposits to exchanges signal selling pressure), accessible via free APIs like DefiLlama or Glassnode's free tier. (2) Hyperliquid-specific vault flow data (HLP deposits/withdrawals signal market maker positioning). (3) Large transaction monitoring via Etherscan/blockchain APIs for tokens traded as perps. Feed this data as structured context to the Snoop agent, replacing the current price-only input. This transforms Snoop from a redundant technical analyst into a genuine information edge.</w:t>
      </w:r>
    </w:p>
    <w:p>
      <w:pPr>
        <w:spacing w:after="120"/>
      </w:pPr>
      <w:r>
        <w:rPr>
          <w:b/>
          <w:bCs/>
        </w:rPr>
        <w:t xml:space="preserve">Expected impact: </w:t>
      </w:r>
      <w:r>
        <w:rPr>
          <w:i/>
          <w:iCs/>
        </w:rPr>
        <w:t xml:space="preserve">Transforms Snoop from a cost center into an alpha source. On-chain flow data has demonstrated predictive power for 4–24 hour price movements in academic and practitioner research.</w:t>
      </w:r>
    </w:p>
    <w:p>
      <w:pPr>
        <w:pStyle w:val="Heading2"/>
      </w:pPr>
      <w:r>
        <w:t xml:space="preserve">3.5 Cross-Exchange Basis Trading</w:t>
      </w:r>
    </w:p>
    <w:p>
      <w:pPr>
        <w:spacing w:after="80" w:before="200"/>
      </w:pPr>
      <w:r>
        <w:rPr>
          <w:rFonts w:ascii="Consolas" w:cs="Consolas" w:eastAsia="Consolas" w:hAnsi="Consolas"/>
          <w:b/>
          <w:bCs/>
          <w:color w:val="BF8F00"/>
          <w:sz w:val="20"/>
          <w:szCs w:val="20"/>
        </w:rPr>
        <w:t xml:space="preserve">[MEDIUM] </w:t>
      </w:r>
      <w:r>
        <w:rPr>
          <w:b/>
          <w:bCs/>
          <w:sz w:val="22"/>
          <w:szCs w:val="22"/>
        </w:rPr>
        <w:t xml:space="preserve">Hyperliquid and dYdX adapters exist but are never used simultaneously for comparative analysis</w:t>
      </w:r>
    </w:p>
    <w:p>
      <w:pPr>
        <w:spacing w:after="120"/>
      </w:pPr>
      <w:r>
        <w:rPr>
          <w:b/>
          <w:bCs/>
        </w:rPr>
        <w:t xml:space="preserve">Current behavior: </w:t>
      </w:r>
      <w:r>
        <w:t xml:space="preserve">Each adapter operates independently. There is no cross-exchange price comparison, funding rate differential tracking, or basis trade detection.</w:t>
      </w:r>
    </w:p>
    <w:p>
      <w:pPr>
        <w:spacing w:after="120"/>
      </w:pPr>
      <w:r>
        <w:rPr>
          <w:b/>
          <w:bCs/>
        </w:rPr>
        <w:t xml:space="preserve">Why it matters: </w:t>
      </w:r>
      <w:r>
        <w:t xml:space="preserve">Cross-exchange basis trades (long on the cheaper venue, short on the expensive one) are a staple of crypto systematic trading. The spread between Hyperliquid and dYdX can reach 10–50 BPS during volatile periods, which at hourly frequency with leverage provides meaningful alpha with very low directional risk.</w:t>
      </w:r>
    </w:p>
    <w:p>
      <w:pPr>
        <w:spacing w:after="120"/>
      </w:pPr>
      <w:r>
        <w:rPr>
          <w:b/>
          <w:bCs/>
        </w:rPr>
        <w:t xml:space="preserve">Fix: </w:t>
      </w:r>
      <w:r>
        <w:t xml:space="preserve">Add a CrossExchangeMonitor that: (1) polls prices on both exchanges every 10 seconds, (2) computes basis spread and its z-score, (3) when basis exceeds 2 standard deviations, generates a paired trade recommendation. Execution requires both adapters to be trading-capable (dYdX currently is not), so start with monitoring and alerting only. This also provides an independent data source for the intelligence pipeline — large basis divergences signal impending volatility.</w:t>
      </w:r>
    </w:p>
    <w:p>
      <w:pPr>
        <w:spacing w:after="120"/>
      </w:pPr>
      <w:r>
        <w:rPr>
          <w:b/>
          <w:bCs/>
        </w:rPr>
        <w:t xml:space="preserve">Expected impact: </w:t>
      </w:r>
      <w:r>
        <w:rPr>
          <w:i/>
          <w:iCs/>
        </w:rPr>
        <w:t xml:space="preserve">Once dYdX execution is implemented, this enables a near-zero directional risk strategy. Even as monitoring-only, basis tracking improves volatility forecasting.</w:t>
      </w:r>
    </w:p>
    <w:p>
      <w:pPr>
        <w:pStyle w:val="Heading2"/>
      </w:pPr>
      <w:r>
        <w:t xml:space="preserve">3.6 Adaptive Position Sizing</w:t>
      </w:r>
    </w:p>
    <w:p>
      <w:pPr>
        <w:spacing w:after="80" w:before="200"/>
      </w:pPr>
      <w:r>
        <w:rPr>
          <w:rFonts w:ascii="Consolas" w:cs="Consolas" w:eastAsia="Consolas" w:hAnsi="Consolas"/>
          <w:b/>
          <w:bCs/>
          <w:color w:val="E65100"/>
          <w:sz w:val="20"/>
          <w:szCs w:val="20"/>
        </w:rPr>
        <w:t xml:space="preserve">[HIGH] </w:t>
      </w:r>
      <w:r>
        <w:rPr>
          <w:b/>
          <w:bCs/>
          <w:sz w:val="22"/>
          <w:szCs w:val="22"/>
        </w:rPr>
        <w:t xml:space="preserve">Position sizing is flat 15–25% of equity with no adjustment for volatility, regime, or conviction</w:t>
      </w:r>
    </w:p>
    <w:p>
      <w:pPr>
        <w:spacing w:after="120"/>
      </w:pPr>
      <w:r>
        <w:rPr>
          <w:b/>
          <w:bCs/>
        </w:rPr>
        <w:t xml:space="preserve">Current behavior: </w:t>
      </w:r>
      <w:r>
        <w:t xml:space="preserve">Every trade gets roughly the same allocation regardless of signal quality, market conditions, or recent performance. The volatility module computes a vol_scalar and drawdown_scalar but these are not consumed by the sizing logic.</w:t>
      </w:r>
    </w:p>
    <w:p>
      <w:pPr>
        <w:spacing w:after="120"/>
      </w:pPr>
      <w:r>
        <w:rPr>
          <w:b/>
          <w:bCs/>
        </w:rPr>
        <w:t xml:space="preserve">Why it matters: </w:t>
      </w:r>
      <w:r>
        <w:t xml:space="preserve">Flat sizing is the single largest drag on risk-adjusted returns for most systematic strategies. It over-allocates during high-risk periods and under-allocates during high-conviction setups. The Kelly criterion and volatility targeting both demonstrate 20–40% improvement in Sharpe ratio over flat sizing in backtests.</w:t>
      </w:r>
    </w:p>
    <w:p>
      <w:pPr>
        <w:spacing w:after="120"/>
      </w:pPr>
      <w:r>
        <w:rPr>
          <w:b/>
          <w:bCs/>
        </w:rPr>
        <w:t xml:space="preserve">Fix: </w:t>
      </w:r>
      <w:r>
        <w:t xml:space="preserve">Implement a SizingEngine that combines: (1) Base size from a volatility target (e.g., target 15% annualized vol, scale position inversely with realized vol), (2) Regime multiplier (1.0x in trending, 0.5x in choppy, 0.25x in panic), (3) Conviction scalar from agent agreement (all 3 agents agree = 1.0x, 2 of 3 = 0.7x, split = 0.4x), (4) Drawdown scalar from the existing module (reduce size proportionally as drawdown approaches threshold). Wire the existing vol_scalar and drawdown_scalar into this engine. Cap the output at 25% and floor at 5%.</w:t>
      </w:r>
    </w:p>
    <w:p>
      <w:pPr>
        <w:spacing w:after="120"/>
      </w:pPr>
      <w:r>
        <w:rPr>
          <w:b/>
          <w:bCs/>
        </w:rPr>
        <w:t xml:space="preserve">Expected impact: </w:t>
      </w:r>
      <w:r>
        <w:rPr>
          <w:i/>
          <w:iCs/>
        </w:rPr>
        <w:t xml:space="preserve">Expected Sharpe ratio improvement: 0.3–0.5 units. This is one of the highest-impact changes for risk-adjusted returns with moderate implementation effort.</w:t>
      </w:r>
    </w:p>
    <w:p>
      <w:r>
        <w:br w:type="page"/>
      </w:r>
    </w:p>
    <w:p>
      <w:pPr>
        <w:pStyle w:val="Heading1"/>
      </w:pPr>
      <w:r>
        <w:t xml:space="preserve">Section 4: Code-Level Fixes</w:t>
      </w:r>
    </w:p>
    <w:p>
      <w:pPr>
        <w:spacing w:after="120"/>
      </w:pPr>
      <w:r>
        <w:t xml:space="preserve">Specific functions, modules, and patterns to refactor. Each includes before/after reasoning.</w:t>
      </w:r>
    </w:p>
    <w:p>
      <w:pPr>
        <w:pStyle w:val="Heading2"/>
      </w:pPr>
      <w:r>
        <w:t xml:space="preserve">4.1 Intelligence Cycle — Wire Missing Modules</w:t>
      </w:r>
    </w:p>
    <w:p>
      <w:pPr>
        <w:spacing w:after="120"/>
      </w:pPr>
      <w:r>
        <w:rPr>
          <w:b/>
          <w:bCs/>
        </w:rPr>
        <w:t xml:space="preserve">Module: </w:t>
      </w:r>
      <w:r>
        <w:t xml:space="preserve">Intelligence pipeline orchestrator</w:t>
      </w:r>
    </w:p>
    <w:p>
      <w:pPr>
        <w:spacing w:after="120"/>
      </w:pPr>
      <w:r>
        <w:rPr>
          <w:b/>
          <w:bCs/>
        </w:rPr>
        <w:t xml:space="preserve">Before: </w:t>
      </w:r>
      <w:r>
        <w:t xml:space="preserve">The pipeline calls Quant, Snoop, and Sage agents, then passes results to Brief. Circuit breaker state is passed as None. Execution timing module is never invoked. Module status endpoint returns hardcoded 'not_started'.</w:t>
      </w:r>
    </w:p>
    <w:p>
      <w:pPr>
        <w:spacing w:after="120"/>
      </w:pPr>
      <w:r>
        <w:rPr>
          <w:b/>
          <w:bCs/>
        </w:rPr>
        <w:t xml:space="preserve">After: </w:t>
      </w:r>
      <w:r>
        <w:t xml:space="preserve">Before running agents, evaluate circuit_breaker.check_state(portfolio_state). If SUSPENDED, skip agent execution and return hold recommendation. If ACTIVE, run agents normally but pass circuit breaker state to Brief. After Brief generates recommendations, run execution_timing.get_quality(current_hour) and attach timing quality to each recommendation. Update module status in database after each module completes. This is estimated at 2–4 hours of wiring work — no new logic needed, just connecting existing modules.</w:t>
      </w:r>
    </w:p>
    <w:p>
      <w:pPr>
        <w:pStyle w:val="Heading2"/>
      </w:pPr>
      <w:r>
        <w:t xml:space="preserve">4.2 Slippage Model — Replace Flat Assumption</w:t>
      </w:r>
    </w:p>
    <w:p>
      <w:pPr>
        <w:spacing w:after="120"/>
      </w:pPr>
      <w:r>
        <w:rPr>
          <w:b/>
          <w:bCs/>
        </w:rPr>
        <w:t xml:space="preserve">Module: </w:t>
      </w:r>
      <w:r>
        <w:t xml:space="preserve">Execution / order placement</w:t>
      </w:r>
    </w:p>
    <w:p>
      <w:pPr>
        <w:spacing w:after="120"/>
      </w:pPr>
      <w:r>
        <w:rPr>
          <w:b/>
          <w:bCs/>
        </w:rPr>
        <w:t xml:space="preserve">Before: </w:t>
      </w:r>
      <w:r>
        <w:t xml:space="preserve">Flat 5 BPS slippage assumption for all trades regardless of size, asset, or market conditions. The liquidity module computes spread, depth, VWAP slippage, and market impact but these values are not used in execution.</w:t>
      </w:r>
    </w:p>
    <w:p>
      <w:pPr>
        <w:spacing w:after="120"/>
      </w:pPr>
      <w:r>
        <w:rPr>
          <w:b/>
          <w:bCs/>
        </w:rPr>
        <w:t xml:space="preserve">After: </w:t>
      </w:r>
      <w:r>
        <w:t xml:space="preserve">Replace the constant with: estimated_slippage = liquidity_module.compute_market_impact(order_size, current_orderbook). Use this estimate in three places: (1) pre-trade P&amp;L projection (to avoid trades where expected slippage exceeds expected alpha), (2) backtest fills (to produce more realistic performance metrics), (3) post-trade analysis (compare estimated vs. actual slippage to calibrate the model). For the backtest, this change alone could reveal that some strategies are unprofitable after realistic slippage, which is critical information.</w:t>
      </w:r>
    </w:p>
    <w:p>
      <w:pPr>
        <w:pStyle w:val="Heading2"/>
      </w:pPr>
      <w:r>
        <w:t xml:space="preserve">4.3 Backtest Engine — Add Regime Non-Stationarity Handling</w:t>
      </w:r>
    </w:p>
    <w:p>
      <w:pPr>
        <w:spacing w:after="120"/>
      </w:pPr>
      <w:r>
        <w:rPr>
          <w:b/>
          <w:bCs/>
        </w:rPr>
        <w:t xml:space="preserve">Module: </w:t>
      </w:r>
      <w:r>
        <w:t xml:space="preserve">BacktestEngine + strategies</w:t>
      </w:r>
    </w:p>
    <w:p>
      <w:pPr>
        <w:spacing w:after="120"/>
      </w:pPr>
      <w:r>
        <w:rPr>
          <w:b/>
          <w:bCs/>
        </w:rPr>
        <w:t xml:space="preserve">Before: </w:t>
      </w:r>
      <w:r>
        <w:t xml:space="preserve">Backtests run over the entire dataset with uniform assumptions. The 16 metrics provide a comprehensive summary but do not segment by regime or time period. There is no walk-forward or out-of-sample validation.</w:t>
      </w:r>
    </w:p>
    <w:p>
      <w:pPr>
        <w:spacing w:after="120"/>
      </w:pPr>
      <w:r>
        <w:rPr>
          <w:b/>
          <w:bCs/>
        </w:rPr>
        <w:t xml:space="preserve">After: </w:t>
      </w:r>
      <w:r>
        <w:t xml:space="preserve">Add three enhancements: (1) Regime-segmented metrics — compute the 16 metrics separately for each regime type (TRENDING, CHOPPY, PANIC, LOW_VOL). This reveals whether a strategy only works in one regime. (2) Walk-forward validation — train on 70% of data, validate on 30%, with rolling windows. (3) Monte Carlo robustness — randomly shuffle the order of returns and recompute metrics 1000 times to establish confidence intervals on Sharpe ratio and max drawdown. If the original result is within the shuffled distribution, the strategy likely has no edge. These three additions transform the backtester from a curve-fitting tool into a legitimate edge validator.</w:t>
      </w:r>
    </w:p>
    <w:p>
      <w:pPr>
        <w:pStyle w:val="Heading2"/>
      </w:pPr>
      <w:r>
        <w:t xml:space="preserve">4.4 Agent Prompt Engineering — Structured Outputs</w:t>
      </w:r>
    </w:p>
    <w:p>
      <w:pPr>
        <w:spacing w:after="120"/>
      </w:pPr>
      <w:r>
        <w:rPr>
          <w:b/>
          <w:bCs/>
        </w:rPr>
        <w:t xml:space="preserve">Module: </w:t>
      </w:r>
      <w:r>
        <w:t xml:space="preserve">All 4 LLM agents</w:t>
      </w:r>
    </w:p>
    <w:p>
      <w:pPr>
        <w:spacing w:after="120"/>
      </w:pPr>
      <w:r>
        <w:rPr>
          <w:b/>
          <w:bCs/>
        </w:rPr>
        <w:t xml:space="preserve">Before: </w:t>
      </w:r>
      <w:r>
        <w:t xml:space="preserve">Agents produce free-form text responses that are then parsed for trade recommendations. The parsing logic must handle variable LLM output formats, which is fragile. Claude Sonnet 4 and DeepSeek may format responses differently.</w:t>
      </w:r>
    </w:p>
    <w:p>
      <w:pPr>
        <w:spacing w:after="120"/>
      </w:pPr>
      <w:r>
        <w:rPr>
          <w:b/>
          <w:bCs/>
        </w:rPr>
        <w:t xml:space="preserve">After: </w:t>
      </w:r>
      <w:r>
        <w:t xml:space="preserve">Use structured output constraints (JSON mode or tool-use mode) for all agent calls. Define explicit schemas for each agent's output: Quant returns {regime, confidence, signals[]}, Snoop returns {sentiment_score, sentiment_drivers[]}, Sage returns {forecast, scenarios[], correlations}, Brief returns {action, direction, entry, stop_loss, take_profit, size_pct, conviction, reasoning}. This eliminates parsing failures, enables programmatic consumption of agent outputs, and makes the system resilient to model changes. When using Claude, leverage tool_use with defined schemas. For DeepSeek fallback, use JSON mode with strict schema validation.</w:t>
      </w:r>
    </w:p>
    <w:p>
      <w:pPr>
        <w:pStyle w:val="Heading2"/>
      </w:pPr>
      <w:r>
        <w:t xml:space="preserve">4.5 Paper Trading Engine — Intra-Bar Stop Execution Improvement</w:t>
      </w:r>
    </w:p>
    <w:p>
      <w:pPr>
        <w:spacing w:after="120"/>
      </w:pPr>
      <w:r>
        <w:rPr>
          <w:b/>
          <w:bCs/>
        </w:rPr>
        <w:t xml:space="preserve">Module: </w:t>
      </w:r>
      <w:r>
        <w:t xml:space="preserve">PaperTradingEngine</w:t>
      </w:r>
    </w:p>
    <w:p>
      <w:pPr>
        <w:spacing w:after="120"/>
      </w:pPr>
      <w:r>
        <w:rPr>
          <w:b/>
          <w:bCs/>
        </w:rPr>
        <w:t xml:space="preserve">Before: </w:t>
      </w:r>
      <w:r>
        <w:t xml:space="preserve">OHLC intra-bar stops check if high/low crosses the stop level within a candle. But on hourly candles, the execution assumes the stop triggers at the stop price exactly, ignoring that in reality, hourly candles can gap through stops (especially during volatile moves).</w:t>
      </w:r>
    </w:p>
    <w:p>
      <w:pPr>
        <w:spacing w:after="120"/>
      </w:pPr>
      <w:r>
        <w:rPr>
          <w:b/>
          <w:bCs/>
        </w:rPr>
        <w:t xml:space="preserve">After: </w:t>
      </w:r>
      <w:r>
        <w:t xml:space="preserve">Add a slippage model for stop execution: if the candle's range (high-low) exceeds 2x ATR, assume stop fill is degraded by a percentage of the excess range. For example, if ATR is 1% and the candle range is 3%, add 0.5% to stop slippage. This makes backtest results more realistic for volatile markets and prevents over-optimism in strategies that rely heavily on tight stops. Also, check whether the candle hit the stop before the take-profit when both are triggered in the same candle — the current assumption about which triggers first significantly affects backtest results.</w:t>
      </w:r>
    </w:p>
    <w:p>
      <w:pPr>
        <w:pStyle w:val="Heading2"/>
      </w:pPr>
      <w:r>
        <w:t xml:space="preserve">4.6 Module Status Tracking</w:t>
      </w:r>
    </w:p>
    <w:p>
      <w:pPr>
        <w:spacing w:after="120"/>
      </w:pPr>
      <w:r>
        <w:rPr>
          <w:b/>
          <w:bCs/>
        </w:rPr>
        <w:t xml:space="preserve">Module: </w:t>
      </w:r>
      <w:r>
        <w:t xml:space="preserve">/modules/status endpoint</w:t>
      </w:r>
    </w:p>
    <w:p>
      <w:pPr>
        <w:spacing w:after="120"/>
      </w:pPr>
      <w:r>
        <w:rPr>
          <w:b/>
          <w:bCs/>
        </w:rPr>
        <w:t xml:space="preserve">Before: </w:t>
      </w:r>
      <w:r>
        <w:t xml:space="preserve">Returns hardcoded 'not_started' for all modules. The Intelligence page shows 8 module tiles but none reflect actual execution state.</w:t>
      </w:r>
    </w:p>
    <w:p>
      <w:pPr>
        <w:spacing w:after="120"/>
      </w:pPr>
      <w:r>
        <w:rPr>
          <w:b/>
          <w:bCs/>
        </w:rPr>
        <w:t xml:space="preserve">After: </w:t>
      </w:r>
      <w:r>
        <w:t xml:space="preserve">Add a ModuleStatusTracker that records: module_name, last_run_timestamp, last_run_duration_ms, last_result_summary, error_count, status (idle/running/completed/error). Update this tracker in the intelligence pipeline as each module runs. Return from the /modules/status endpoint. This gives the Intelligence page real data and enables monitoring for module failures.</w:t>
      </w:r>
    </w:p>
    <w:p>
      <w:r>
        <w:br w:type="page"/>
      </w:r>
    </w:p>
    <w:p>
      <w:pPr>
        <w:pStyle w:val="Heading1"/>
      </w:pPr>
      <w:r>
        <w:t xml:space="preserve">Section 5: Prioritized Roadmap</w:t>
      </w:r>
    </w:p>
    <w:p>
      <w:pPr>
        <w:spacing w:after="120"/>
      </w:pPr>
      <w:r>
        <w:t xml:space="preserve">Ranked by impact-to-effort ratio. Impact considers both alpha generation and loss prevention. Effort is estimated in developer-days for a single full-stack engineer familiar with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1500"/>
        <w:gridCol w:w="25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Initiative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Effort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b/>
                <w:bCs/>
              </w:rPr>
              <w:t xml:space="preserve">1</w:t>
            </w:r>
          </w:p>
        </w:tc>
        <w:tc>
          <w:tcPr>
            <w:tcW w:type="dxa" w:w="47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t xml:space="preserve">Wire circuit breaker into intelligence pipeline + persist state to DB</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t xml:space="preserve">0.5 days</w:t>
            </w:r>
          </w:p>
        </w:tc>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t xml:space="preserve">Loss prevention: critical</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b/>
                <w:bCs/>
              </w:rPr>
              <w:t xml:space="preserve">2</w:t>
            </w:r>
          </w:p>
        </w:tc>
        <w:tc>
          <w:tcPr>
            <w:tcW w:type="dxa" w:w="47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t xml:space="preserve">Add API authentication (bearer token minimum)</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t xml:space="preserve">1 day</w:t>
            </w:r>
          </w:p>
        </w:tc>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t xml:space="preserve">Security: critical</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b/>
                <w:bCs/>
              </w:rPr>
              <w:t xml:space="preserve">3</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Implement adaptive position sizing engine with vol/regime/conviction inputs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Sharpe +0.3–0.5</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b/>
                <w:bCs/>
              </w:rPr>
              <w:t xml:space="preserve">4</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Replace flat slippage with liquidity module market impact model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1 day</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Alpha recovery: 3–8 BPS/trade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b/>
                <w:bCs/>
              </w:rPr>
              <w:t xml:space="preserve">5</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Build funding rate harvest strategy + backtest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3 days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t xml:space="preserve">New alpha: 10–30% ann.</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b/>
                <w:bCs/>
              </w:rPr>
              <w:t xml:space="preserve">6</w:t>
            </w:r>
          </w:p>
        </w:tc>
        <w:tc>
          <w:tcPr>
            <w:tcW w:type="dxa" w:w="4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Add event-driven triggers (price moves, liquidations, funding spikes)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3 days</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Captures time-sensitive alpha</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b/>
                <w:bCs/>
              </w:rPr>
              <w:t xml:space="preserve">7</w:t>
            </w:r>
          </w:p>
        </w:tc>
        <w:tc>
          <w:tcPr>
            <w:tcW w:type="dxa" w:w="4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Integrate Hyperliquid testnet execution + fill reconciliation</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Unblocks live trading safely</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b/>
                <w:bCs/>
              </w:rPr>
              <w:t xml:space="preserve">8</w:t>
            </w:r>
          </w:p>
        </w:tc>
        <w:tc>
          <w:tcPr>
            <w:tcW w:type="dxa" w:w="4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Add structured outputs (JSON schemas) for all 4 agents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1 day</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Eliminates parsing failures</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b/>
                <w:bCs/>
              </w:rPr>
              <w:t xml:space="preserve">9</w:t>
            </w:r>
          </w:p>
        </w:tc>
        <w:tc>
          <w:tcPr>
            <w:tcW w:type="dxa" w:w="4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Database persistence for trades, intelligence results, snapshots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Enables all historical analysis</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b/>
                <w:bCs/>
              </w:rPr>
              <w:t xml:space="preserve">10</w:t>
            </w:r>
          </w:p>
        </w:tc>
        <w:tc>
          <w:tcPr>
            <w:tcW w:type="dxa" w:w="4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t xml:space="preserve">Multi-timeframe regime confirmation (4H + daily)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1.5 days</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t xml:space="preserve">Reduces whipsaw: 30–40%</w:t>
            </w:r>
          </w:p>
        </w:tc>
      </w:tr>
      <w:tr>
        <w:tc>
          <w:tcPr>
            <w:tcW w:type="dxa" w:w="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vAlign w:val="center"/>
          </w:tcPr>
          <w:p>
            <w:pPr>
              <w:jc w:val="center"/>
            </w:pPr>
            <w:r>
              <w:rPr>
                <w:b/>
                <w:bCs/>
              </w:rPr>
              <w:t xml:space="preserve">11</w:t>
            </w:r>
          </w:p>
        </w:tc>
        <w:tc>
          <w:tcPr>
            <w:tcW w:type="dxa" w:w="4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t xml:space="preserve">Liquidation cascade monitor + mean reversion signal</w:t>
            </w:r>
          </w:p>
        </w:tc>
        <w:tc>
          <w:tcPr>
            <w:tcW w:type="dxa" w:w="1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High-conviction trades: 60–70% WR</w:t>
            </w:r>
          </w:p>
        </w:tc>
      </w:tr>
      <w:tr>
        <w:tc>
          <w:tcPr>
            <w:tcW w:type="dxa" w:w="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vAlign w:val="center"/>
          </w:tcPr>
          <w:p>
            <w:pPr>
              <w:jc w:val="center"/>
            </w:pPr>
            <w:r>
              <w:rPr>
                <w:b/>
                <w:bCs/>
              </w:rPr>
              <w:t xml:space="preserve">12</w:t>
            </w:r>
          </w:p>
        </w:tc>
        <w:tc>
          <w:tcPr>
            <w:tcW w:type="dxa" w:w="4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t xml:space="preserve">On-chain flow data integration for Snoop agent</w:t>
            </w:r>
          </w:p>
        </w:tc>
        <w:tc>
          <w:tcPr>
            <w:tcW w:type="dxa" w:w="1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Transforms Snoop into alpha source</w:t>
            </w:r>
          </w:p>
        </w:tc>
      </w:tr>
      <w:tr>
        <w:tc>
          <w:tcPr>
            <w:tcW w:type="dxa" w:w="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vAlign w:val="center"/>
          </w:tcPr>
          <w:p>
            <w:pPr>
              <w:jc w:val="center"/>
            </w:pPr>
            <w:r>
              <w:rPr>
                <w:b/>
                <w:bCs/>
              </w:rPr>
              <w:t xml:space="preserve">13</w:t>
            </w:r>
          </w:p>
        </w:tc>
        <w:tc>
          <w:tcPr>
            <w:tcW w:type="dxa" w:w="4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t xml:space="preserve">Walk-forward + Monte Carlo validation for backtester</w:t>
            </w:r>
          </w:p>
        </w:tc>
        <w:tc>
          <w:tcPr>
            <w:tcW w:type="dxa" w:w="1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Prevents curve fitting</w:t>
            </w:r>
          </w:p>
        </w:tc>
      </w:tr>
      <w:tr>
        <w:tc>
          <w:tcPr>
            <w:tcW w:type="dxa" w:w="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vAlign w:val="center"/>
          </w:tcPr>
          <w:p>
            <w:pPr>
              <w:jc w:val="center"/>
            </w:pPr>
            <w:r>
              <w:rPr>
                <w:b/>
                <w:bCs/>
              </w:rPr>
              <w:t xml:space="preserve">14</w:t>
            </w:r>
          </w:p>
        </w:tc>
        <w:tc>
          <w:tcPr>
            <w:tcW w:type="dxa" w:w="4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t xml:space="preserve">Trade lifecycle state machine with full audit trail</w:t>
            </w:r>
          </w:p>
        </w:tc>
        <w:tc>
          <w:tcPr>
            <w:tcW w:type="dxa" w:w="1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2 days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Operational reliability</w:t>
            </w:r>
          </w:p>
        </w:tc>
      </w:tr>
      <w:tr>
        <w:tc>
          <w:tcPr>
            <w:tcW w:type="dxa" w:w="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vAlign w:val="center"/>
          </w:tcPr>
          <w:p>
            <w:pPr>
              <w:jc w:val="center"/>
            </w:pPr>
            <w:r>
              <w:rPr>
                <w:b/>
                <w:bCs/>
              </w:rPr>
              <w:t xml:space="preserve">15</w:t>
            </w:r>
          </w:p>
        </w:tc>
        <w:tc>
          <w:tcPr>
            <w:tcW w:type="dxa" w:w="4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t xml:space="preserve">Cross-exchange basis monitoring (HL vs dYdX)</w:t>
            </w:r>
          </w:p>
        </w:tc>
        <w:tc>
          <w:tcPr>
            <w:tcW w:type="dxa" w:w="1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1.5 days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jc w:val="center"/>
            </w:pPr>
            <w:r>
              <w:t xml:space="preserve">Alpha source + vol indicator</w:t>
            </w:r>
          </w:p>
        </w:tc>
      </w:tr>
    </w:tbl>
    <w:p>
      <w:pPr>
        <w:spacing w:after="100" w:before="300"/>
      </w:pPr>
    </w:p>
    <w:p>
      <w:pPr>
        <w:spacing w:after="120"/>
      </w:pPr>
      <w:r>
        <w:rPr>
          <w:b/>
          <w:bCs/>
        </w:rPr>
        <w:t xml:space="preserve">Phase 1 (Week 1–2): </w:t>
      </w:r>
      <w:r>
        <w:t xml:space="preserve">Items 1–4. These are prerequisites for safe operation and the highest density of risk-reduction and alpha-recovery per hour of development. Total: approximately 4.5 dev-days.</w:t>
      </w:r>
    </w:p>
    <w:p>
      <w:pPr>
        <w:spacing w:after="120"/>
      </w:pPr>
      <w:r>
        <w:rPr>
          <w:b/>
          <w:bCs/>
        </w:rPr>
        <w:t xml:space="preserve">Phase 2 (Week 3–4): </w:t>
      </w:r>
      <w:r>
        <w:t xml:space="preserve">Items 5–8. These add new alpha sources and prepare the system for live trading. Total: approximately 9 dev-days.</w:t>
      </w:r>
    </w:p>
    <w:p>
      <w:pPr>
        <w:spacing w:after="120"/>
      </w:pPr>
      <w:r>
        <w:rPr>
          <w:b/>
          <w:bCs/>
        </w:rPr>
        <w:t xml:space="preserve">Phase 3 (Week 5–8): </w:t>
      </w:r>
      <w:r>
        <w:t xml:space="preserve">Items 9–15. These improve analytical depth and long-term edge sustainability. Total: approximately 12 dev-days.</w:t>
      </w:r>
    </w:p>
    <w:p>
      <w:r>
        <w:br w:type="page"/>
      </w:r>
    </w:p>
    <w:p>
      <w:pPr>
        <w:pStyle w:val="Heading1"/>
      </w:pPr>
      <w:r>
        <w:t xml:space="preserve">Appendix: Answers to Expert Questions</w:t>
      </w:r>
    </w:p>
    <w:p>
      <w:pPr>
        <w:spacing w:after="120"/>
      </w:pPr>
      <w:r>
        <w:t xml:space="preserve">Concise answers to the 15 strategic questions, ordered by section.</w:t>
      </w:r>
    </w:p>
    <w:p>
      <w:pPr>
        <w:pStyle w:val="Heading2"/>
      </w:pPr>
      <w:r>
        <w:t xml:space="preserve">Signal Quality &amp; Edge (Q1–Q4)</w:t>
      </w:r>
    </w:p>
    <w:p>
      <w:pPr>
        <w:spacing w:after="120"/>
      </w:pPr>
      <w:r>
        <w:rPr>
          <w:b/>
          <w:bCs/>
        </w:rPr>
        <w:t xml:space="preserve">Q1 — Regime detection improvements: </w:t>
      </w:r>
    </w:p>
    <w:p>
      <w:pPr>
        <w:spacing w:after="120"/>
      </w:pPr>
      <w:r>
        <w:t xml:space="preserve">Your EMA/ADX/ATR/RSI stack is solid for trend identification but weak for transition detection. Add two signals with proven crypto edge: (a) realized vs. implied volatility ratio (when RV exceeds IV, the market is surprised and regime is likely changing), and (b) order flow imbalance from Hyperliquid's orderbook (persistent bid/ask imbalance precedes regime transitions by 1–4 hours). From traditional markets, the Hurst exponent transfers well for distinguishing trending vs. mean-reverting regimes. Hidden Markov Models work theoretically but overfit badly on crypto's non-stationary distributions — your rule-based approach with clear thresholds is more robust for production.</w:t>
      </w:r>
    </w:p>
    <w:p>
      <w:pPr>
        <w:spacing w:after="120"/>
      </w:pPr>
      <w:r>
        <w:rPr>
          <w:b/>
          <w:bCs/>
        </w:rPr>
        <w:t xml:space="preserve">Q2 — Strategy archetypes with edge: </w:t>
      </w:r>
    </w:p>
    <w:p>
      <w:pPr>
        <w:spacing w:after="120"/>
      </w:pPr>
      <w:r>
        <w:t xml:space="preserve">In 2026 crypto perps, the most under-competed strategies for small operators are: (1) Funding rate harvesting (systematically shorting high-funding assets), (2) Post-liquidation mean reversion (buying cascaded dips with tight time exits), and (3) Volatility regime transitions (your existing vol breakout, but with better entry timing). Pure momentum is crowded by CEX-native quant firms. Statistical arb between perps venues has edge but requires capital and infra. EMA crossover on hourly candles is the most competitive strategy in your stack — it likely has negative alpha after real slippage and fees.</w:t>
      </w:r>
    </w:p>
    <w:p>
      <w:pPr>
        <w:spacing w:after="120"/>
      </w:pPr>
      <w:r>
        <w:rPr>
          <w:b/>
          <w:bCs/>
        </w:rPr>
        <w:t xml:space="preserve">Q3 — Social sentiment value: </w:t>
      </w:r>
    </w:p>
    <w:p>
      <w:pPr>
        <w:spacing w:after="120"/>
      </w:pPr>
      <w:r>
        <w:t xml:space="preserve">Social sentiment provides measurable alpha but the signal-to-noise ratio varies dramatically by source. Ranked by current value: (1) Whale wallet tracking via on-chain data is the highest SNR, (2) Crypto Twitter/X aggregate sentiment (not individual accounts) provides 2–6 hour leading indicators for mid-cap tokens, (3) Discord/Telegram alpha groups are mostly noise for systematic trading. The realistic approach: start with on-chain flow data (free APIs available) rather than building a social media NLP pipeline. On-chain data is structured, objective, and doesn't require sentiment classification.</w:t>
      </w:r>
    </w:p>
    <w:p>
      <w:pPr>
        <w:spacing w:after="120"/>
      </w:pPr>
      <w:r>
        <w:rPr>
          <w:b/>
          <w:bCs/>
        </w:rPr>
        <w:t xml:space="preserve">Q4 — Funding rate capture approach: </w:t>
      </w:r>
    </w:p>
    <w:p>
      <w:pPr>
        <w:spacing w:after="120"/>
      </w:pPr>
      <w:r>
        <w:t xml:space="preserve">Professional desks use delta-neutral with spot hedging when possible. For a small operator on Hyperliquid alone, the practical approach is directional short with tight stops on assets with extreme positive funding (z-score &gt; 2.5). Your risk is a short squeeze, but funding above z=2.5 historically reverts within 24–48 hours in 75%+ of cases. Size conservatively (5–10% of equity per position), use wider stops than your directional trades (2–3x ATR), and let the funding accumulate. The carry compounds faster than most people expect.</w:t>
      </w:r>
    </w:p>
    <w:p>
      <w:pPr>
        <w:pStyle w:val="Heading2"/>
      </w:pPr>
      <w:r>
        <w:t xml:space="preserve">Risk Management &amp; Sizing (Q5–Q7)</w:t>
      </w:r>
    </w:p>
    <w:p>
      <w:pPr>
        <w:spacing w:after="120"/>
      </w:pPr>
      <w:r>
        <w:rPr>
          <w:b/>
          <w:bCs/>
        </w:rPr>
        <w:t xml:space="preserve">Q5 — Circuit breaker design: </w:t>
      </w:r>
    </w:p>
    <w:p>
      <w:pPr>
        <w:spacing w:after="120"/>
      </w:pPr>
      <w:r>
        <w:t xml:space="preserve">Professional crypto funds typically use 5% daily drawdown halt (not 10%) and 15–20% peak-to-trough for full shutdown. Time-based cooldown is the wrong model — use signal-based recovery. Specifically: after suspension, require (1) circuit breaker cooldown of at least 1 hour minimum, AND (2) regime detector to classify a non-PANIC state, AND (3) next trade must be minimum size. This prevents re-entering a cascading market after an arbitrary timer expires. Your 30-minute cooldown is too short for crypto — major liquidation cascades often have secondary waves at 45–90 minutes.</w:t>
      </w:r>
    </w:p>
    <w:p>
      <w:pPr>
        <w:spacing w:after="120"/>
      </w:pPr>
      <w:r>
        <w:rPr>
          <w:b/>
          <w:bCs/>
        </w:rPr>
        <w:t xml:space="preserve">Q6 — Position sizing: </w:t>
      </w:r>
    </w:p>
    <w:p>
      <w:pPr>
        <w:spacing w:after="120"/>
      </w:pPr>
      <w:r>
        <w:t xml:space="preserve">Volatility targeting is the clear winner for crypto. Target a fixed portfolio volatility (e.g., 15–20% annualized) and scale position size inversely with realized volatility. In practice: if BTC realized vol is 60% annualized and your target is 15%, your BTC position should be 15/60 = 25% of equity. If vol spikes to 120%, position drops to 12.5%. Layer on top: regime multiplier (0.5x in choppy, 0.25x in panic) and conviction scalar (from agent agreement). Full Kelly is too aggressive for crypto's fat tails — use half-Kelly as an upper bound. Your flat 15–25% ignores all of this information.</w:t>
      </w:r>
    </w:p>
    <w:p>
      <w:pPr>
        <w:spacing w:after="120"/>
      </w:pPr>
      <w:r>
        <w:rPr>
          <w:b/>
          <w:bCs/>
        </w:rPr>
        <w:t xml:space="preserve">Q7 — Portfolio risk with correlated assets: </w:t>
      </w:r>
    </w:p>
    <w:p>
      <w:pPr>
        <w:spacing w:after="120"/>
      </w:pPr>
      <w:r>
        <w:t xml:space="preserve">With BTC/ETH correlation at 0.8, your effective portfolio is roughly 1.6–1.8x the risk of a single position when both are max allocated. Maximum gross exposure should be 80–100% of equity for a crypto-only perps book with leverage. Your 25% per-position cap is reasonable, but you need a portfolio-level cap: sum of all position sizes times a correlation penalty. A simple approach: max_gross_exposure = 1.0 / avg_pairwise_correlation. With BTC/ETH at 0.8, that's roughly 125% gross — meaning two positions at 25% each plus margin for slippage is about right, but three full positions would be over-leveraged on a correlation-adjusted basis.</w:t>
      </w:r>
    </w:p>
    <w:p>
      <w:pPr>
        <w:pStyle w:val="Heading2"/>
      </w:pPr>
      <w:r>
        <w:t xml:space="preserve">Execution &amp; Microstructure (Q8–Q10)</w:t>
      </w:r>
    </w:p>
    <w:p>
      <w:pPr>
        <w:spacing w:after="120"/>
      </w:pPr>
      <w:r>
        <w:rPr>
          <w:b/>
          <w:bCs/>
        </w:rPr>
        <w:t xml:space="preserve">Q8 — Execution improvements: </w:t>
      </w:r>
    </w:p>
    <w:p>
      <w:pPr>
        <w:spacing w:after="120"/>
      </w:pPr>
      <w:r>
        <w:t xml:space="preserve">For hourly-timeframe strategies, execution quality matters less than daily P&amp;L suggests — but your flat 5 BPS assumption is hiding real costs. The highest-impact improvement is replacing market orders with aggressive limit orders (crossing the spread by 1–2 ticks). This alone saves 2–4 BPS per trade. TWAP/VWAP splitting matters only for positions above approximately $50K notional on Hyperliquid. Below that, the complexity isn't justified. Second priority: time execution to the nearest high-volume period using your existing (but unwired) execution timing module.</w:t>
      </w:r>
    </w:p>
    <w:p>
      <w:pPr>
        <w:spacing w:after="120"/>
      </w:pPr>
      <w:r>
        <w:rPr>
          <w:b/>
          <w:bCs/>
        </w:rPr>
        <w:t xml:space="preserve">Q9 — Hyperliquid-specific alpha: </w:t>
      </w:r>
    </w:p>
    <w:p>
      <w:pPr>
        <w:spacing w:after="120"/>
      </w:pPr>
      <w:r>
        <w:t xml:space="preserve">Three Hyperliquid-specific opportunities: (1) HLP vault dynamics — when the vault is actively market-making, it creates predictable liquidity patterns. Large HLP deposits/withdrawals signal upcoming liquidity changes. (2) On-chain orderbook transparency — you can see all resting orders, enabling front-running detection and better entry timing. (3) Liquidation visibility — all liquidations are on-chain and visible in real-time, enabling the cascade strategy described in Section 3.2. None of these work on centralized exchanges.</w:t>
      </w:r>
    </w:p>
    <w:p>
      <w:pPr>
        <w:spacing w:after="120"/>
      </w:pPr>
      <w:r>
        <w:rPr>
          <w:b/>
          <w:bCs/>
        </w:rPr>
        <w:t xml:space="preserve">Q10 — Cross-exchange focus: </w:t>
      </w:r>
    </w:p>
    <w:p>
      <w:pPr>
        <w:spacing w:after="120"/>
      </w:pPr>
      <w:r>
        <w:t xml:space="preserve">For a small operation, single-exchange focus (Hyperliquid) is better until your core strategies are validated and profitable. Cross-exchange adds operational complexity (two sets of credentials, two signing implementations, reconciliation across venues) without proportional alpha gain. The exception: monitor dYdX prices for information even while trading only on Hyperliquid. Price divergences between venues are a free volatility indicator. Build execution on dYdX only when you have a specific cross-exchange strategy ready to deploy.</w:t>
      </w:r>
    </w:p>
    <w:p>
      <w:pPr>
        <w:pStyle w:val="Heading2"/>
      </w:pPr>
      <w:r>
        <w:t xml:space="preserve">Architecture &amp; Scaling (Q11–Q13)</w:t>
      </w:r>
    </w:p>
    <w:p>
      <w:pPr>
        <w:spacing w:after="120"/>
      </w:pPr>
      <w:r>
        <w:rPr>
          <w:b/>
          <w:bCs/>
        </w:rPr>
        <w:t xml:space="preserve">Q11 — Intelligence cycle cadence: </w:t>
      </w:r>
    </w:p>
    <w:p>
      <w:pPr>
        <w:spacing w:after="120"/>
      </w:pPr>
      <w:r>
        <w:t xml:space="preserve">Your hybrid approach should be: 5-minute base cycle for comprehensive analysis (all modules, full LLM synthesis), plus sub-minute event triggers for specific conditions (price moves &gt; 2 sigma, funding spikes, liquidation events &gt; threshold). The event path should skip LLM synthesis and use pre-defined rules for immediate action (e.g., reduce position size, tighten stops). Full LLM analysis on event triggers is too slow and too expensive. Reserve LLM for strategic decisions (regime interpretation, sizing guidance) and use quantitative rules for tactical reactions.</w:t>
      </w:r>
    </w:p>
    <w:p>
      <w:pPr>
        <w:spacing w:after="120"/>
      </w:pPr>
      <w:r>
        <w:rPr>
          <w:b/>
          <w:bCs/>
        </w:rPr>
        <w:t xml:space="preserve">Q12 — LLM value-add: </w:t>
      </w:r>
    </w:p>
    <w:p>
      <w:pPr>
        <w:spacing w:after="120"/>
      </w:pPr>
      <w:r>
        <w:t xml:space="preserve">LLM interpretation adds measurable value in exactly three areas: (1) Regime ambiguity — when quantitative signals conflict (e.g., momentum says up, volatility says caution), LLM synthesis of the conflicting signals produces better decisions than simple voting rules. (2) Narrative context — crypto markets are narrative-driven; an LLM can identify when technical signals align with prevailing market narratives (e.g., ETF flows, regulatory developments). (3) Risk sizing under uncertainty — LLMs are better than rules at expressing appropriate uncertainty in position sizing recommendations. Where LLMs hurt: generating specific price targets (they hallucinate precision), backtesting interpretation (they confirm biases), and high-frequency decisions (too slow and too expensive).</w:t>
      </w:r>
    </w:p>
    <w:p>
      <w:pPr>
        <w:spacing w:after="120"/>
      </w:pPr>
      <w:r>
        <w:rPr>
          <w:b/>
          <w:bCs/>
        </w:rPr>
        <w:t xml:space="preserve">Q13 — Crypto-specific backtest pitfalls: </w:t>
      </w:r>
    </w:p>
    <w:p>
      <w:pPr>
        <w:spacing w:after="120"/>
      </w:pPr>
      <w:r>
        <w:t xml:space="preserve">Beyond look-ahead bias and survivorship, the three most dangerous crypto backtest traps: (1) Liquidity illusion — historical orderbook data doesn't exist for most assets, so backtests assume infinite liquidity at the close price. Your strategies may look profitable on a $10K backtest but be impossible to execute at $100K+. Simulate market impact that scales with position size. (2) Regime non-stationarity — crypto market structure changed fundamentally in 2020 (DeFi summer), 2021 (retail mania), 2022 (deleveraging), 2023–2024 (ETF institutionalization). A strategy that worked in one era may not transfer. Always test on the most recent 6 months as out-of-sample. (3) Funding rate regime shifts — funding dynamics changed materially when Hyperliquid and other DEX perps gained market share. Historical funding data from Binance/FTX doesn't predict Hyperliquid funding behavior.</w:t>
      </w:r>
    </w:p>
    <w:p>
      <w:pPr>
        <w:pStyle w:val="Heading2"/>
      </w:pPr>
      <w:r>
        <w:t xml:space="preserve">Alpha Maximization (Q14–Q15)</w:t>
      </w:r>
    </w:p>
    <w:p>
      <w:pPr>
        <w:spacing w:after="120"/>
      </w:pPr>
      <w:r>
        <w:rPr>
          <w:b/>
          <w:bCs/>
        </w:rPr>
        <w:t xml:space="preserve">Q14 — Top 3 improvements by impact: </w:t>
      </w:r>
    </w:p>
    <w:p>
      <w:pPr>
        <w:spacing w:after="120"/>
      </w:pPr>
      <w:r>
        <w:t xml:space="preserve">For a single operator maximizing impact-to-effort: (1) Wire circuit breaker + adaptive sizing (2 days, prevents catastrophic loss and improves Sharpe by 0.3–0.5), (2) Build funding rate harvest strategy (3 days, adds a new uncorrelated alpha source with 10–30% annualized in favorable conditions), (3) Add liquidation cascade detection with event-driven triggers (3 days, captures high-conviction mean reversion trades with 60–70% win rate). Combined, these three additions transform the system from a single-strategy directional trader into a multi-strategy platform with meaningful risk controls. Total: approximately 8 development days.</w:t>
      </w:r>
    </w:p>
    <w:p>
      <w:pPr>
        <w:spacing w:after="120"/>
      </w:pPr>
      <w:r>
        <w:rPr>
          <w:b/>
          <w:bCs/>
        </w:rPr>
        <w:t xml:space="preserve">Q15 — Realistic alpha expectations: </w:t>
      </w:r>
    </w:p>
    <w:p>
      <w:pPr>
        <w:spacing w:after="120"/>
      </w:pPr>
      <w:r>
        <w:t xml:space="preserve">For hourly/daily-timeframe systematic crypto perps trading in 2026: realistic Sharpe ratio is 0.8–1.5 after costs for a well-built system. You are not competing with HFT firms (they operate at microsecond latency on co-located infrastructure) or market makers (they earn the spread, you pay it). Your competition is other systematic retail/small-fund traders and discretionary traders. The remaining edge for small operators exists in three niches: (1) strategies too small for institutional desks to bother with ($100K–$1M AUM sweet spot), (2) venue-specific alpha on newer DEX perps platforms (Hyperliquid is still inefficient compared to Binance), and (3) patience — institutional desks require consistent monthly returns and can't hold through 3–6 month drawdowns, while a small operator can. Net expectation: 30–60% annualized returns with 15–25% max drawdown is achievable with proper risk management and realistic execution assumptions.</w:t>
      </w:r>
    </w:p>
    <w:p>
      <w:pPr>
        <w:spacing w:before="400"/>
      </w:pPr>
    </w:p>
    <w:p>
      <w:pPr>
        <w:pBdr>
          <w:top w:val="single" w:color="2E5090" w:sz="2" w:space="8"/>
        </w:pBdr>
        <w:spacing w:after="200"/>
      </w:pPr>
      <w:r>
        <w:rPr>
          <w:b/>
          <w:bCs/>
          <w:color w:val="2E5090"/>
          <w:sz w:val="24"/>
          <w:szCs w:val="24"/>
        </w:rPr>
        <w:t xml:space="preserve">Coverage Note</w:t>
      </w:r>
    </w:p>
    <w:p>
      <w:pPr>
        <w:spacing w:after="120"/>
      </w:pPr>
      <w:r>
        <w:t xml:space="preserve">This audit analyzed all components described in the system specification: 24 API endpoints, 4 LLM agents, 8 quantitative modules, 3 backtest strategies, 2 exchange adapters, the paper trading engine, the backtest engine, and the database schema. Analysis was conducted against the detailed specification document as no source code was uploaded. If source code is provided, a second-pass audit can identify additional code-level issues including: error handling gaps, race conditions in async operations, memory leak patterns, LLM prompt injection vulnerabilities, and specific performance bottlenecks in the quantitative modules.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Prepared March 2026 — All findings prioritized by P&amp;L impact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WOLFPACK SYSTEM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2026-03-03T13:32:15.257Z</dcterms:created>
  <dcterms:modified xsi:type="dcterms:W3CDTF">2026-03-03T13:32:15.258Z</dcterms:modified>
</cp:coreProperties>
</file>

<file path=docProps/custom.xml><?xml version="1.0" encoding="utf-8"?>
<Properties xmlns="http://schemas.openxmlformats.org/officeDocument/2006/custom-properties" xmlns:vt="http://schemas.openxmlformats.org/officeDocument/2006/docPropsVTypes"/>
</file>