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drawing>
          <wp:inline distT="0" distB="0" distL="0" distR="0">
            <wp:extent cx="1097280" cy="1107255"/>
            <wp:effectExtent l="0" t="0" r="0" b="0"/>
            <wp:docPr id="10" name="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o1"/>
                    <pic:cNvPicPr/>
                  </pic:nvPicPr>
                  <pic:blipFill>
                    <a:blip r:embed="rId7"/>
                    <a:stretch>
                      <a:fillRect/>
                    </a:stretch>
                  </pic:blipFill>
                  <pic:spPr>
                    <a:xfrm>
                      <a:off x="0" y="0"/>
                      <a:ext cx="1097280" cy="1107255"/>
                    </a:xfrm>
                    <a:prstGeom prst="rect">
                      <a:avLst/>
                    </a:prstGeom>
                  </pic:spPr>
                </pic:pic>
              </a:graphicData>
            </a:graphic>
          </wp:inline>
        </w:drawing>
      </w:r>
      <w:r>
        <w:t xml:space="preserve">  </w:t>
      </w:r>
      <w:r>
        <w:drawing>
          <wp:inline distT="0" distB="0" distL="0" distR="0">
            <wp:extent cx="1371600" cy="857057"/>
            <wp:effectExtent l="0" t="0" r="0" b="0"/>
            <wp:docPr id="11" name="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o2"/>
                    <pic:cNvPicPr/>
                  </pic:nvPicPr>
                  <pic:blipFill>
                    <a:blip r:embed="rId8"/>
                    <a:stretch>
                      <a:fillRect/>
                    </a:stretch>
                  </pic:blipFill>
                  <pic:spPr>
                    <a:xfrm>
                      <a:off x="0" y="0"/>
                      <a:ext cx="1371600" cy="857057"/>
                    </a:xfrm>
                    <a:prstGeom prst="rect">
                      <a:avLst/>
                    </a:prstGeom>
                  </pic:spPr>
                </pic:pic>
              </a:graphicData>
            </a:graphic>
          </wp:inline>
        </w:drawing>
      </w:r>
    </w:p>
    <w:p>
      <w:pPr>
        <w:pStyle w:val="Normal"/>
        <w:jc w:val="center"/>
      </w:pPr>
      <w:r>
        <w:rPr>
          <w:b/>
          <w:sz w:val="24"/>
          <w:szCs w:val="24"/>
          <w:color w:val="1F3864"/>
        </w:rPr>
        <w:t xml:space="preserve">Pangasinan State University</w:t>
      </w:r>
    </w:p>
    <w:p>
      <w:pPr>
        <w:pStyle w:val="Normal"/>
        <w:jc w:val="center"/>
      </w:pPr>
      <w:r>
        <w:rPr>
          <w:sz w:val="22"/>
          <w:szCs w:val="22"/>
          <w:color w:val="1F3864"/>
        </w:rPr>
        <w:t xml:space="preserve">Urdaneta City Campus</w:t>
      </w:r>
    </w:p>
    <w:p>
      <w:pPr>
        <w:pStyle w:val="Normal"/>
        <w:jc w:val="center"/>
      </w:pPr>
      <w:r>
        <w:rPr>
          <w:sz w:val="22"/>
          <w:szCs w:val="22"/>
          <w:color w:val="1F3864"/>
        </w:rPr>
        <w:t xml:space="preserve">College of Engineering and Architecture</w:t>
      </w:r>
    </w:p>
    <w:p>
      <w:pPr>
        <w:pStyle w:val="Normal"/>
        <w:jc w:val="center"/>
      </w:pPr>
      <w:r>
        <w:rPr>
          <w:sz w:val="22"/>
          <w:szCs w:val="22"/>
          <w:color w:val="1F3864"/>
        </w:rPr>
        <w:t xml:space="preserve">Mechanical Engineering Department</w:t>
      </w:r>
    </w:p>
    <w:p>
      <w:pPr>
        <w:pStyle w:val="Normal"/>
        <w:jc w:val="center"/>
      </w:pPr>
      <w:r>
        <w:rPr>
          <w:sz w:val="22"/>
          <w:szCs w:val="22"/>
        </w:rPr>
        <w:t xml:space="preserve">Second Semester, A.Y. 2025–2026</w:t>
      </w:r>
    </w:p>
    <w:p>
      <w:pPr>
        <w:pStyle w:val="Normal"/>
      </w:pPr>
    </w:p>
    <w:p>
      <w:pPr>
        <w:pStyle w:val="Title"/>
      </w:pPr>
      <w:r>
        <w:rPr>
          <w:b/>
          <w:sz w:val="44"/>
          <w:szCs w:val="44"/>
          <w:color w:val="1F3864"/>
        </w:rPr>
        <w:t xml:space="preserve">WINDMILL PROJECT PROPOSAL</w:t>
      </w:r>
    </w:p>
    <w:p>
      <w:pPr>
        <w:pStyle w:val="Normal"/>
        <w:jc w:val="center"/>
      </w:pPr>
      <w:r>
        <w:rPr>
          <w:i/>
          <w:sz w:val="28"/>
          <w:szCs w:val="28"/>
          <w:color w:val="2E74B5"/>
        </w:rPr>
        <w:t xml:space="preserve">Supplemental Engineering Documentation</w:t>
      </w:r>
    </w:p>
    <w:p>
      <w:pPr>
        <w:pStyle w:val="Normal"/>
        <w:jc w:val="center"/>
      </w:pPr>
      <w:r>
        <w:rPr>
          <w:sz w:val="24"/>
          <w:szCs w:val="24"/>
        </w:rPr>
        <w:t xml:space="preserve">Pasuquin, Ilocos Norte, Philippines</w:t>
      </w:r>
    </w:p>
    <w:p>
      <w:pPr>
        <w:pStyle w:val="Normal"/>
      </w:pPr>
    </w:p>
    <w:p>
      <w:pPr>
        <w:pStyle w:val="Normal"/>
        <w:jc w:val="center"/>
      </w:pPr>
      <w:r>
        <w:rPr>
          <w:b/>
        </w:rPr>
        <w:t xml:space="preserve">Submitted by:</w:t>
      </w:r>
    </w:p>
    <w:p>
      <w:pPr>
        <w:pStyle w:val="Normal"/>
        <w:jc w:val="center"/>
      </w:pPr>
      <w:r>
        <w:rPr>
          <w:b/>
          <w:sz w:val="24"/>
          <w:szCs w:val="24"/>
        </w:rPr>
        <w:t xml:space="preserve">Dan Mark C. Pastoral</w:t>
      </w:r>
    </w:p>
    <w:p>
      <w:pPr>
        <w:pStyle w:val="Normal"/>
        <w:jc w:val="center"/>
      </w:pPr>
      <w:r>
        <w:t xml:space="preserve">BSME-4A</w:t>
      </w:r>
    </w:p>
    <w:p>
      <w:pPr>
        <w:pStyle w:val="Normal"/>
      </w:pPr>
    </w:p>
    <w:p>
      <w:pPr>
        <w:pStyle w:val="Normal"/>
        <w:jc w:val="center"/>
      </w:pPr>
      <w:r>
        <w:rPr>
          <w:b/>
        </w:rPr>
        <w:t xml:space="preserve">Submitted to:</w:t>
      </w:r>
    </w:p>
    <w:p>
      <w:pPr>
        <w:pStyle w:val="Normal"/>
        <w:jc w:val="center"/>
      </w:pPr>
      <w:r>
        <w:rPr>
          <w:b/>
          <w:sz w:val="24"/>
          <w:szCs w:val="24"/>
        </w:rPr>
        <w:t xml:space="preserve">Marfel D. Rosario, PME</w:t>
      </w:r>
    </w:p>
    <w:p>
      <w:pPr>
        <w:pStyle w:val="Normal"/>
        <w:jc w:val="center"/>
      </w:pPr>
      <w:r>
        <w:t xml:space="preserve">Instructor</w:t>
      </w:r>
    </w:p>
    <w:p>
      <w:pPr>
        <w:pStyle w:val="Normal"/>
      </w:pPr>
    </w:p>
    <w:p>
      <w:pPr>
        <w:pStyle w:val="Normal"/>
        <w:jc w:val="center"/>
      </w:pPr>
      <w:r>
        <w:rPr>
          <w:i/>
        </w:rPr>
        <w:t xml:space="preserve">May 2026</w:t>
      </w:r>
    </w:p>
    <w:p>
      <w:r>
        <w:br w:type="page"/>
      </w:r>
    </w:p>
    <w:p>
      <w:pPr>
        <w:pStyle w:val="Heading1"/>
      </w:pPr>
      <w:r>
        <w:t xml:space="preserve">Purpose of this Supplement</w:t>
      </w:r>
    </w:p>
    <w:p>
      <w:pPr>
        <w:pStyle w:val="Normal"/>
      </w:pPr>
      <w:r>
        <w:t xml:space="preserve">This document supplements the original Windmill Project Proposal for Pasuquin, Ilocos Norte (submitted April 29, 2026). It adds ten engineering sections identified as missing after peer comparison: a glossary, detailed equipment specifications, a single-line electrical diagram, foundation calculations, a facility inventory, an energy balance, an O&amp;M plan, materials and color-coding standards, regulatory citations, and extended references. All content is directly based on the data, calculations, and figures already established in the original proposal.</w:t>
      </w:r>
    </w:p>
    <w:p>
      <w:pPr>
        <w:pStyle w:val="Normal"/>
      </w:pPr>
      <w:r>
        <w:t xml:space="preserve">The three process-flow diagrams from Section II-B of the original proposal are reproduced below as reference for the supplemental sections that follow.</w:t>
      </w:r>
    </w:p>
    <w:p>
      <w:pPr>
        <w:pStyle w:val="Normal"/>
      </w:pPr>
    </w:p>
    <w:p>
      <w:pPr>
        <w:pStyle w:val="Heading2"/>
      </w:pPr>
      <w:r>
        <w:t xml:space="preserve">Reference: Original Section II-B — Process Flow Diagrams</w:t>
      </w:r>
    </w:p>
    <w:p>
      <w:pPr>
        <w:pStyle w:val="Normal"/>
      </w:pPr>
      <w:r>
        <w:t xml:space="preserve">The following three figures are taken directly from the original proposal (Section II-B). They are repeated here so this supplement can be read as a standalone engineering annex.</w:t>
      </w:r>
    </w:p>
    <w:p>
      <w:pPr>
        <w:pStyle w:val="Normal"/>
      </w:pPr>
    </w:p>
    <w:p>
      <w:pPr>
        <w:jc w:val="center"/>
      </w:pPr>
      <w:r>
        <w:rPr/>
        <w:drawing>
          <wp:inline distT="0" distB="0" distL="0" distR="0">
            <wp:extent cx="4572000" cy="5486400"/>
            <wp:effectExtent l="0" t="0" r="0" b="0"/>
            <wp:docPr id="20" name="Fig-II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IIB1"/>
                    <pic:cNvPicPr/>
                  </pic:nvPicPr>
                  <pic:blipFill>
                    <a:blip r:embed="rId9"/>
                    <a:stretch>
                      <a:fillRect/>
                    </a:stretch>
                  </pic:blipFill>
                  <pic:spPr>
                    <a:xfrm>
                      <a:off x="0" y="0"/>
                      <a:ext cx="4572000" cy="5486400"/>
                    </a:xfrm>
                    <a:prstGeom prst="rect">
                      <a:avLst/>
                    </a:prstGeom>
                  </pic:spPr>
                </pic:pic>
              </a:graphicData>
            </a:graphic>
          </wp:inline>
        </w:drawing>
      </w:r>
    </w:p>
    <w:p>
      <w:pPr>
        <w:pStyle w:val="Normal"/>
        <w:jc w:val="center"/>
      </w:pPr>
      <w:r>
        <w:rPr>
          <w:i/>
          <w:sz w:val="20"/>
          <w:szCs w:val="20"/>
          <w:color w:val="595959"/>
        </w:rPr>
        <w:t xml:space="preserve">Figure II-B.1 — Wind-to-Grid Process Flow Diagram (Pasuquin Wind Farm)</w:t>
      </w:r>
    </w:p>
    <w:p>
      <w:pPr>
        <w:pStyle w:val="Normal"/>
      </w:pPr>
    </w:p>
    <w:p>
      <w:pPr>
        <w:jc w:val="center"/>
      </w:pPr>
      <w:r>
        <w:rPr/>
        <w:drawing>
          <wp:inline distT="0" distB="0" distL="0" distR="0">
            <wp:extent cx="6883800" cy="5619600"/>
            <wp:effectExtent l="0" t="0" r="0" b="0"/>
            <wp:docPr id="21" name="Fig-II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IIB2"/>
                    <pic:cNvPicPr/>
                  </pic:nvPicPr>
                  <pic:blipFill>
                    <a:blip r:embed="rId10"/>
                    <a:stretch>
                      <a:fillRect/>
                    </a:stretch>
                  </pic:blipFill>
                  <pic:spPr>
                    <a:xfrm>
                      <a:off x="0" y="0"/>
                      <a:ext cx="6883800" cy="5619600"/>
                    </a:xfrm>
                    <a:prstGeom prst="rect">
                      <a:avLst/>
                    </a:prstGeom>
                  </pic:spPr>
                </pic:pic>
              </a:graphicData>
            </a:graphic>
          </wp:inline>
        </w:drawing>
      </w:r>
    </w:p>
    <w:p>
      <w:pPr>
        <w:pStyle w:val="Normal"/>
        <w:jc w:val="center"/>
      </w:pPr>
      <w:r>
        <w:rPr>
          <w:i/>
          <w:sz w:val="20"/>
          <w:szCs w:val="20"/>
          <w:color w:val="595959"/>
        </w:rPr>
        <w:t xml:space="preserve">Figure II-B.2 — Turbine Component Cross-Section with Labeled Parts</w:t>
      </w:r>
    </w:p>
    <w:p>
      <w:pPr>
        <w:pStyle w:val="Normal"/>
      </w:pPr>
    </w:p>
    <w:p>
      <w:pPr>
        <w:jc w:val="center"/>
      </w:pPr>
      <w:r>
        <w:rPr/>
        <w:drawing>
          <wp:inline distT="0" distB="0" distL="0" distR="0">
            <wp:extent cx="5547600" cy="2559240"/>
            <wp:effectExtent l="0" t="0" r="0" b="0"/>
            <wp:docPr id="22" name="Fig-II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IIB3"/>
                    <pic:cNvPicPr/>
                  </pic:nvPicPr>
                  <pic:blipFill>
                    <a:blip r:embed="rId11"/>
                    <a:stretch>
                      <a:fillRect/>
                    </a:stretch>
                  </pic:blipFill>
                  <pic:spPr>
                    <a:xfrm>
                      <a:off x="0" y="0"/>
                      <a:ext cx="5547600" cy="2559240"/>
                    </a:xfrm>
                    <a:prstGeom prst="rect">
                      <a:avLst/>
                    </a:prstGeom>
                  </pic:spPr>
                </pic:pic>
              </a:graphicData>
            </a:graphic>
          </wp:inline>
        </w:drawing>
      </w:r>
    </w:p>
    <w:p>
      <w:pPr>
        <w:pStyle w:val="Normal"/>
        <w:jc w:val="center"/>
      </w:pPr>
      <w:r>
        <w:rPr>
          <w:i/>
          <w:sz w:val="20"/>
          <w:szCs w:val="20"/>
          <w:color w:val="595959"/>
        </w:rPr>
        <w:t xml:space="preserve">Figure II-B.3 — Nacelle Cut-Away: Low-Speed Shaft to 33 kV Output</w:t>
      </w:r>
    </w:p>
    <w:p>
      <w:r>
        <w:br w:type="page"/>
      </w:r>
    </w:p>
    <w:p>
      <w:pPr>
        <w:pStyle w:val="Heading1"/>
      </w:pPr>
      <w:r>
        <w:t xml:space="preserve">Section 1 — Glossary of Terms and Acronyms</w:t>
      </w:r>
    </w:p>
    <w:p>
      <w:pPr>
        <w:pStyle w:val="Normal"/>
      </w:pPr>
      <w:r>
        <w:t xml:space="preserve">The following terms appear throughout the original proposal and this supplement. Definitions follow IEC 61400, DOE Philippines, and ERC usage.</w:t>
      </w:r>
    </w:p>
    <w:p>
      <w:pPr>
        <w:pStyle w:val="Normal"/>
      </w:pP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2000"/>
        <w:gridCol w:w="7000"/>
      </w:tblGrid>
      <w:tr>
        <w:tc>
          <w:tcPr>
            <w:tcW w:w="2000" w:type="dxa"/>
            <w:shd w:val="clear" w:color="auto" w:fill="1F3864"/>
          </w:tcPr>
          <w:p>
            <w:r>
              <w:rPr>
                <w:b/>
                <w:color w:val="FFFFFF"/>
              </w:rPr>
              <w:t xml:space="preserve">Term / Acronym</w:t>
            </w:r>
          </w:p>
        </w:tc>
        <w:tc>
          <w:tcPr>
            <w:tcW w:w="7000" w:type="dxa"/>
            <w:shd w:val="clear" w:color="auto" w:fill="1F3864"/>
          </w:tcPr>
          <w:p>
            <w:r>
              <w:rPr>
                <w:b/>
                <w:color w:val="FFFFFF"/>
              </w:rPr>
              <w:t xml:space="preserve">Definition</w:t>
            </w:r>
          </w:p>
        </w:tc>
      </w:tr>
      <w:tr>
        <w:tc>
          <w:tcPr>
            <w:tcW w:w="2000" w:type="dxa"/>
          </w:tcPr>
          <w:p>
            <w:r>
              <w:t xml:space="preserve">AEP</w:t>
            </w:r>
          </w:p>
        </w:tc>
        <w:tc>
          <w:tcPr>
            <w:tcW w:w="7000" w:type="dxa"/>
          </w:tcPr>
          <w:p>
            <w:r>
              <w:t xml:space="preserve">Annual Energy Production — total electrical energy generated per year (MWh).</w:t>
            </w:r>
          </w:p>
        </w:tc>
      </w:tr>
      <w:tr>
        <w:tc>
          <w:tcPr>
            <w:tcW w:w="2000" w:type="dxa"/>
            <w:shd w:val="clear" w:color="auto" w:fill="EBF3FB"/>
          </w:tcPr>
          <w:p>
            <w:r>
              <w:t xml:space="preserve">Amihan</w:t>
            </w:r>
          </w:p>
        </w:tc>
        <w:tc>
          <w:tcPr>
            <w:tcW w:w="7000" w:type="dxa"/>
            <w:shd w:val="clear" w:color="auto" w:fill="EBF3FB"/>
          </w:tcPr>
          <w:p>
            <w:r>
              <w:t xml:space="preserve">Northeast Monsoon; the primary wind driver for the Pasuquin site (October–March peak).</w:t>
            </w:r>
          </w:p>
        </w:tc>
      </w:tr>
      <w:tr>
        <w:tc>
          <w:tcPr>
            <w:tcW w:w="2000" w:type="dxa"/>
          </w:tcPr>
          <w:p>
            <w:r>
              <w:t xml:space="preserve">Betz Limit</w:t>
            </w:r>
          </w:p>
        </w:tc>
        <w:tc>
          <w:tcPr>
            <w:tcW w:w="7000" w:type="dxa"/>
          </w:tcPr>
          <w:p>
            <w:r>
              <w:t xml:space="preserve">Theoretical max fraction of wind energy extractable by any turbine = 59.3% (Albert Betz, 1919).</w:t>
            </w:r>
          </w:p>
        </w:tc>
      </w:tr>
      <w:tr>
        <w:tc>
          <w:tcPr>
            <w:tcW w:w="2000" w:type="dxa"/>
            <w:shd w:val="clear" w:color="auto" w:fill="EBF3FB"/>
          </w:tcPr>
          <w:p>
            <w:r>
              <w:t xml:space="preserve">Capacity Factor (CF)</w:t>
            </w:r>
          </w:p>
        </w:tc>
        <w:tc>
          <w:tcPr>
            <w:tcW w:w="7000" w:type="dxa"/>
            <w:shd w:val="clear" w:color="auto" w:fill="EBF3FB"/>
          </w:tcPr>
          <w:p>
            <w:r>
              <w:t xml:space="preserve">Actual AEP ÷ (Rated Power × 8,760 h/yr). Pasuquin estimate: 38%.</w:t>
            </w:r>
          </w:p>
        </w:tc>
      </w:tr>
      <w:tr>
        <w:tc>
          <w:tcPr>
            <w:tcW w:w="2000" w:type="dxa"/>
          </w:tcPr>
          <w:p>
            <w:r>
              <w:t xml:space="preserve">Cut-in Speed</w:t>
            </w:r>
          </w:p>
        </w:tc>
        <w:tc>
          <w:tcPr>
            <w:tcW w:w="7000" w:type="dxa"/>
          </w:tcPr>
          <w:p>
            <w:r>
              <w:t xml:space="preserve">Minimum wind speed for net positive power output. This project: 3.0 m/s.</w:t>
            </w:r>
          </w:p>
        </w:tc>
      </w:tr>
      <w:tr>
        <w:tc>
          <w:tcPr>
            <w:tcW w:w="2000" w:type="dxa"/>
            <w:shd w:val="clear" w:color="auto" w:fill="EBF3FB"/>
          </w:tcPr>
          <w:p>
            <w:r>
              <w:t xml:space="preserve">Cut-out Speed</w:t>
            </w:r>
          </w:p>
        </w:tc>
        <w:tc>
          <w:tcPr>
            <w:tcW w:w="7000" w:type="dxa"/>
            <w:shd w:val="clear" w:color="auto" w:fill="EBF3FB"/>
          </w:tcPr>
          <w:p>
            <w:r>
              <w:t xml:space="preserve">Maximum operating wind speed; above this the rotor feathers. This project: 25 m/s.</w:t>
            </w:r>
          </w:p>
        </w:tc>
      </w:tr>
      <w:tr>
        <w:tc>
          <w:tcPr>
            <w:tcW w:w="2000" w:type="dxa"/>
          </w:tcPr>
          <w:p>
            <w:r>
              <w:t xml:space="preserve">DFIG</w:t>
            </w:r>
          </w:p>
        </w:tc>
        <w:tc>
          <w:tcPr>
            <w:tcW w:w="7000" w:type="dxa"/>
          </w:tcPr>
          <w:p>
            <w:r>
              <w:t xml:space="preserve">Doubly Fed Induction Generator — variable-speed generator used in this project.</w:t>
            </w:r>
          </w:p>
        </w:tc>
      </w:tr>
      <w:tr>
        <w:tc>
          <w:tcPr>
            <w:tcW w:w="2000" w:type="dxa"/>
            <w:shd w:val="clear" w:color="auto" w:fill="EBF3FB"/>
          </w:tcPr>
          <w:p>
            <w:r>
              <w:t xml:space="preserve">DOE</w:t>
            </w:r>
          </w:p>
        </w:tc>
        <w:tc>
          <w:tcPr>
            <w:tcW w:w="7000" w:type="dxa"/>
            <w:shd w:val="clear" w:color="auto" w:fill="EBF3FB"/>
          </w:tcPr>
          <w:p>
            <w:r>
              <w:t xml:space="preserve">Department of Energy of the Philippines.</w:t>
            </w:r>
          </w:p>
        </w:tc>
      </w:tr>
      <w:tr>
        <w:tc>
          <w:tcPr>
            <w:tcW w:w="2000" w:type="dxa"/>
          </w:tcPr>
          <w:p>
            <w:r>
              <w:t xml:space="preserve">ECC</w:t>
            </w:r>
          </w:p>
        </w:tc>
        <w:tc>
          <w:tcPr>
            <w:tcW w:w="7000" w:type="dxa"/>
          </w:tcPr>
          <w:p>
            <w:r>
              <w:t xml:space="preserve">Environmental Compliance Certificate issued by DENR-EMB after EIS review.</w:t>
            </w:r>
          </w:p>
        </w:tc>
      </w:tr>
      <w:tr>
        <w:tc>
          <w:tcPr>
            <w:tcW w:w="2000" w:type="dxa"/>
            <w:shd w:val="clear" w:color="auto" w:fill="EBF3FB"/>
          </w:tcPr>
          <w:p>
            <w:r>
              <w:t xml:space="preserve">EIS</w:t>
            </w:r>
          </w:p>
        </w:tc>
        <w:tc>
          <w:tcPr>
            <w:tcW w:w="7000" w:type="dxa"/>
            <w:shd w:val="clear" w:color="auto" w:fill="EBF3FB"/>
          </w:tcPr>
          <w:p>
            <w:r>
              <w:t xml:space="preserve">Environmental Impact Statement filed under the Philippine EIS System (PEISS).</w:t>
            </w:r>
          </w:p>
        </w:tc>
      </w:tr>
      <w:tr>
        <w:tc>
          <w:tcPr>
            <w:tcW w:w="2000" w:type="dxa"/>
          </w:tcPr>
          <w:p>
            <w:r>
              <w:t xml:space="preserve">ERC</w:t>
            </w:r>
          </w:p>
        </w:tc>
        <w:tc>
          <w:tcPr>
            <w:tcW w:w="7000" w:type="dxa"/>
          </w:tcPr>
          <w:p>
            <w:r>
              <w:t xml:space="preserve">Energy Regulatory Commission — approves FiT rates and grid codes.</w:t>
            </w:r>
          </w:p>
        </w:tc>
      </w:tr>
      <w:tr>
        <w:tc>
          <w:tcPr>
            <w:tcW w:w="2000" w:type="dxa"/>
            <w:shd w:val="clear" w:color="auto" w:fill="EBF3FB"/>
          </w:tcPr>
          <w:p>
            <w:r>
              <w:t xml:space="preserve">FiT</w:t>
            </w:r>
          </w:p>
        </w:tc>
        <w:tc>
          <w:tcPr>
            <w:tcW w:w="7000" w:type="dxa"/>
            <w:shd w:val="clear" w:color="auto" w:fill="EBF3FB"/>
          </w:tcPr>
          <w:p>
            <w:r>
              <w:t xml:space="preserve">Feed-in Tariff — guaranteed PHP 8.53/kWh for wind energy (ERC Res. 16, 2022).</w:t>
            </w:r>
          </w:p>
        </w:tc>
      </w:tr>
      <w:tr>
        <w:tc>
          <w:tcPr>
            <w:tcW w:w="2000" w:type="dxa"/>
          </w:tcPr>
          <w:p>
            <w:r>
              <w:t xml:space="preserve">FPIC</w:t>
            </w:r>
          </w:p>
        </w:tc>
        <w:tc>
          <w:tcPr>
            <w:tcW w:w="7000" w:type="dxa"/>
          </w:tcPr>
          <w:p>
            <w:r>
              <w:t xml:space="preserve">Free, Prior and Informed Consent — required under RA 8371 (IPRA).</w:t>
            </w:r>
          </w:p>
        </w:tc>
      </w:tr>
      <w:tr>
        <w:tc>
          <w:tcPr>
            <w:tcW w:w="2000" w:type="dxa"/>
            <w:shd w:val="clear" w:color="auto" w:fill="EBF3FB"/>
          </w:tcPr>
          <w:p>
            <w:r>
              <w:t xml:space="preserve">HAWT</w:t>
            </w:r>
          </w:p>
        </w:tc>
        <w:tc>
          <w:tcPr>
            <w:tcW w:w="7000" w:type="dxa"/>
            <w:shd w:val="clear" w:color="auto" w:fill="EBF3FB"/>
          </w:tcPr>
          <w:p>
            <w:r>
              <w:t xml:space="preserve">Horizontal Axis Wind Turbine — 3-bladed upwind type used in this project.</w:t>
            </w:r>
          </w:p>
        </w:tc>
      </w:tr>
      <w:tr>
        <w:tc>
          <w:tcPr>
            <w:tcW w:w="2000" w:type="dxa"/>
          </w:tcPr>
          <w:p>
            <w:r>
              <w:t xml:space="preserve">Hub Height</w:t>
            </w:r>
          </w:p>
        </w:tc>
        <w:tc>
          <w:tcPr>
            <w:tcW w:w="7000" w:type="dxa"/>
          </w:tcPr>
          <w:p>
            <w:r>
              <w:t xml:space="preserve">Height from ground to rotor hub center. This project: 90–110 m.</w:t>
            </w:r>
          </w:p>
        </w:tc>
      </w:tr>
      <w:tr>
        <w:tc>
          <w:tcPr>
            <w:tcW w:w="2000" w:type="dxa"/>
            <w:shd w:val="clear" w:color="auto" w:fill="EBF3FB"/>
          </w:tcPr>
          <w:p>
            <w:r>
              <w:t xml:space="preserve">IEC 61400</w:t>
            </w:r>
          </w:p>
        </w:tc>
        <w:tc>
          <w:tcPr>
            <w:tcW w:w="7000" w:type="dxa"/>
            <w:shd w:val="clear" w:color="auto" w:fill="EBF3FB"/>
          </w:tcPr>
          <w:p>
            <w:r>
              <w:t xml:space="preserve">IEC standard series for wind turbine design, loads, and grid integration.</w:t>
            </w:r>
          </w:p>
        </w:tc>
      </w:tr>
      <w:tr>
        <w:tc>
          <w:tcPr>
            <w:tcW w:w="2000" w:type="dxa"/>
          </w:tcPr>
          <w:p>
            <w:r>
              <w:t xml:space="preserve">Luzon Strait</w:t>
            </w:r>
          </w:p>
        </w:tc>
        <w:tc>
          <w:tcPr>
            <w:tcW w:w="7000" w:type="dxa"/>
          </w:tcPr>
          <w:p>
            <w:r>
              <w:t xml:space="preserve">Narrow waterway north of Luzon; accelerates Amihan winds over Pasuquin.</w:t>
            </w:r>
          </w:p>
        </w:tc>
      </w:tr>
      <w:tr>
        <w:tc>
          <w:tcPr>
            <w:tcW w:w="2000" w:type="dxa"/>
            <w:shd w:val="clear" w:color="auto" w:fill="EBF3FB"/>
          </w:tcPr>
          <w:p>
            <w:r>
              <w:t xml:space="preserve">MW / MWh</w:t>
            </w:r>
          </w:p>
        </w:tc>
        <w:tc>
          <w:tcPr>
            <w:tcW w:w="7000" w:type="dxa"/>
            <w:shd w:val="clear" w:color="auto" w:fill="EBF3FB"/>
          </w:tcPr>
          <w:p>
            <w:r>
              <w:t xml:space="preserve">Megawatt (power) / Megawatt-hour (energy). 1 MW for 1 hour = 1 MWh.</w:t>
            </w:r>
          </w:p>
        </w:tc>
      </w:tr>
      <w:tr>
        <w:tc>
          <w:tcPr>
            <w:tcW w:w="2000" w:type="dxa"/>
          </w:tcPr>
          <w:p>
            <w:r>
              <w:t xml:space="preserve">NGCP</w:t>
            </w:r>
          </w:p>
        </w:tc>
        <w:tc>
          <w:tcPr>
            <w:tcW w:w="7000" w:type="dxa"/>
          </w:tcPr>
          <w:p>
            <w:r>
              <w:t xml:space="preserve">National Grid Corporation of the Philippines — Luzon Grid operator.</w:t>
            </w:r>
          </w:p>
        </w:tc>
      </w:tr>
      <w:tr>
        <w:tc>
          <w:tcPr>
            <w:tcW w:w="2000" w:type="dxa"/>
            <w:shd w:val="clear" w:color="auto" w:fill="EBF3FB"/>
          </w:tcPr>
          <w:p>
            <w:r>
              <w:t xml:space="preserve">NSCP</w:t>
            </w:r>
          </w:p>
        </w:tc>
        <w:tc>
          <w:tcPr>
            <w:tcW w:w="7000" w:type="dxa"/>
            <w:shd w:val="clear" w:color="auto" w:fill="EBF3FB"/>
          </w:tcPr>
          <w:p>
            <w:r>
              <w:t xml:space="preserve">National Structural Code of the Philippines, 2015 — governs tower foundations.</w:t>
            </w:r>
          </w:p>
        </w:tc>
      </w:tr>
      <w:tr>
        <w:tc>
          <w:tcPr>
            <w:tcW w:w="2000" w:type="dxa"/>
          </w:tcPr>
          <w:p>
            <w:r>
              <w:t xml:space="preserve">O&amp;M</w:t>
            </w:r>
          </w:p>
        </w:tc>
        <w:tc>
          <w:tcPr>
            <w:tcW w:w="7000" w:type="dxa"/>
          </w:tcPr>
          <w:p>
            <w:r>
              <w:t xml:space="preserve">Operations and Maintenance.</w:t>
            </w:r>
          </w:p>
        </w:tc>
      </w:tr>
      <w:tr>
        <w:tc>
          <w:tcPr>
            <w:tcW w:w="2000" w:type="dxa"/>
            <w:shd w:val="clear" w:color="auto" w:fill="EBF3FB"/>
          </w:tcPr>
          <w:p>
            <w:r>
              <w:t xml:space="preserve">RA 9513</w:t>
            </w:r>
          </w:p>
        </w:tc>
        <w:tc>
          <w:tcPr>
            <w:tcW w:w="7000" w:type="dxa"/>
            <w:shd w:val="clear" w:color="auto" w:fill="EBF3FB"/>
          </w:tcPr>
          <w:p>
            <w:r>
              <w:t xml:space="preserve">Renewable Energy Act of 2008 — legal basis for FiT and DOE service contracts.</w:t>
            </w:r>
          </w:p>
        </w:tc>
      </w:tr>
      <w:tr>
        <w:tc>
          <w:tcPr>
            <w:tcW w:w="2000" w:type="dxa"/>
          </w:tcPr>
          <w:p>
            <w:r>
              <w:t xml:space="preserve">Rated Speed</w:t>
            </w:r>
          </w:p>
        </w:tc>
        <w:tc>
          <w:tcPr>
            <w:tcW w:w="7000" w:type="dxa"/>
          </w:tcPr>
          <w:p>
            <w:r>
              <w:t xml:space="preserve">Wind speed at which turbine reaches rated output. This project: 12–14 m/s.</w:t>
            </w:r>
          </w:p>
        </w:tc>
      </w:tr>
      <w:tr>
        <w:tc>
          <w:tcPr>
            <w:tcW w:w="2000" w:type="dxa"/>
            <w:shd w:val="clear" w:color="auto" w:fill="EBF3FB"/>
          </w:tcPr>
          <w:p>
            <w:r>
              <w:t xml:space="preserve">SCADA</w:t>
            </w:r>
          </w:p>
        </w:tc>
        <w:tc>
          <w:tcPr>
            <w:tcW w:w="7000" w:type="dxa"/>
            <w:shd w:val="clear" w:color="auto" w:fill="EBF3FB"/>
          </w:tcPr>
          <w:p>
            <w:r>
              <w:t xml:space="preserve">Supervisory Control and Data Acquisition — remote turbine monitoring system.</w:t>
            </w:r>
          </w:p>
        </w:tc>
      </w:tr>
      <w:tr>
        <w:tc>
          <w:tcPr>
            <w:tcW w:w="2000" w:type="dxa"/>
          </w:tcPr>
          <w:p>
            <w:r>
              <w:t xml:space="preserve">Specific Power</w:t>
            </w:r>
          </w:p>
        </w:tc>
        <w:tc>
          <w:tcPr>
            <w:tcW w:w="7000" w:type="dxa"/>
          </w:tcPr>
          <w:p>
            <w:r>
              <w:t xml:space="preserve">Rated capacity ÷ swept area (W/m²). Optimal Class II: 250–400 W/m².</w:t>
            </w:r>
          </w:p>
        </w:tc>
      </w:tr>
      <w:tr>
        <w:tc>
          <w:tcPr>
            <w:tcW w:w="2000" w:type="dxa"/>
            <w:shd w:val="clear" w:color="auto" w:fill="EBF3FB"/>
          </w:tcPr>
          <w:p>
            <w:r>
              <w:t xml:space="preserve">Swept Area</w:t>
            </w:r>
          </w:p>
        </w:tc>
        <w:tc>
          <w:tcPr>
            <w:tcW w:w="7000" w:type="dxa"/>
            <w:shd w:val="clear" w:color="auto" w:fill="EBF3FB"/>
          </w:tcPr>
          <w:p>
            <w:r>
              <w:t xml:space="preserve">Circle swept by rotor blades, A = πr². For 130 m rotor: 13,273 m².</w:t>
            </w:r>
          </w:p>
        </w:tc>
      </w:tr>
      <w:tr>
        <w:tc>
          <w:tcPr>
            <w:tcW w:w="2000" w:type="dxa"/>
          </w:tcPr>
          <w:p>
            <w:r>
              <w:t xml:space="preserve">Wake Effect</w:t>
            </w:r>
          </w:p>
        </w:tc>
        <w:tc>
          <w:tcPr>
            <w:tcW w:w="7000" w:type="dxa"/>
          </w:tcPr>
          <w:p>
            <w:r>
              <w:t xml:space="preserve">Reduced wind speed and increased turbulence behind an operating turbine.</w:t>
            </w:r>
          </w:p>
        </w:tc>
      </w:tr>
      <w:tr>
        <w:tc>
          <w:tcPr>
            <w:tcW w:w="2000" w:type="dxa"/>
            <w:shd w:val="clear" w:color="auto" w:fill="EBF3FB"/>
          </w:tcPr>
          <w:p>
            <w:r>
              <w:t xml:space="preserve">Weibull Distribution</w:t>
            </w:r>
          </w:p>
        </w:tc>
        <w:tc>
          <w:tcPr>
            <w:tcW w:w="7000" w:type="dxa"/>
            <w:shd w:val="clear" w:color="auto" w:fill="EBF3FB"/>
          </w:tcPr>
          <w:p>
            <w:r>
              <w:t xml:space="preserve">Statistical model for wind speed frequency; defined by k (shape) and c (scale).</w:t>
            </w:r>
          </w:p>
        </w:tc>
      </w:tr>
      <w:tr>
        <w:tc>
          <w:tcPr>
            <w:tcW w:w="2000" w:type="dxa"/>
          </w:tcPr>
          <w:p>
            <w:r>
              <w:t xml:space="preserve">Wind Class II</w:t>
            </w:r>
          </w:p>
        </w:tc>
        <w:tc>
          <w:tcPr>
            <w:tcW w:w="7000" w:type="dxa"/>
          </w:tcPr>
          <w:p>
            <w:r>
              <w:t xml:space="preserve">IEC site classification for average wind speeds 7.5–8.5 m/s — Pasuquin's class.</w:t>
            </w:r>
          </w:p>
        </w:tc>
      </w:tr>
      <w:tr>
        <w:tc>
          <w:tcPr>
            <w:tcW w:w="2000" w:type="dxa"/>
            <w:shd w:val="clear" w:color="auto" w:fill="EBF3FB"/>
          </w:tcPr>
          <w:p>
            <w:r>
              <w:t xml:space="preserve">Wind Power Density</w:t>
            </w:r>
          </w:p>
        </w:tc>
        <w:tc>
          <w:tcPr>
            <w:tcW w:w="7000" w:type="dxa"/>
            <w:shd w:val="clear" w:color="auto" w:fill="EBF3FB"/>
          </w:tcPr>
          <w:p>
            <w:r>
              <w:t xml:space="preserve">Available power per swept area: WPD = ½ρV³ (W/m²).</w:t>
            </w:r>
          </w:p>
        </w:tc>
      </w:tr>
      <w:tr>
        <w:tc>
          <w:tcPr>
            <w:tcW w:w="2000" w:type="dxa"/>
          </w:tcPr>
          <w:p>
            <w:r>
              <w:t xml:space="preserve">Wind Shear</w:t>
            </w:r>
          </w:p>
        </w:tc>
        <w:tc>
          <w:tcPr>
            <w:tcW w:w="7000" w:type="dxa"/>
          </w:tcPr>
          <w:p>
            <w:r>
              <w:t xml:space="preserve">Increase of wind speed with height: V(z)=V_ref·(z/z_ref)^α; α≈0.14 coastal.</w:t>
            </w:r>
          </w:p>
        </w:tc>
      </w:tr>
    </w:tbl>
    <w:p/>
    <w:p>
      <w:r>
        <w:br w:type="page"/>
      </w:r>
    </w:p>
    <w:p>
      <w:pPr>
        <w:pStyle w:val="Heading1"/>
      </w:pPr>
      <w:r>
        <w:t xml:space="preserve">Section 2 — Detailed Equipment Specifications</w:t>
      </w:r>
    </w:p>
    <w:p>
      <w:pPr>
        <w:pStyle w:val="Normal"/>
      </w:pPr>
      <w:r>
        <w:t xml:space="preserve">Based on the 5.0 MW HAWT, 130 m rotor, 100 m hub height, and 33/115 kV electrical system established in Section III of the original proposal. Configuration: 20 turbines × 5 MW = 100 MW.</w:t>
      </w:r>
    </w:p>
    <w:p>
      <w:pPr>
        <w:pStyle w:val="Normal"/>
      </w:pPr>
    </w:p>
    <w:p>
      <w:pPr>
        <w:pStyle w:val="Heading2"/>
      </w:pPr>
      <w:r>
        <w:t xml:space="preserve">2.1 Rotor and Blade Assembly</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2500"/>
        <w:gridCol w:w="3500"/>
        <w:gridCol w:w="3000"/>
      </w:tblGrid>
      <w:tr>
        <w:tc>
          <w:tcPr>
            <w:tcW w:w="2500" w:type="dxa"/>
            <w:shd w:val="clear" w:color="auto" w:fill="1F3864"/>
          </w:tcPr>
          <w:p>
            <w:r>
              <w:rPr>
                <w:b/>
                <w:color w:val="FFFFFF"/>
              </w:rPr>
              <w:t xml:space="preserve">Parameter</w:t>
            </w:r>
          </w:p>
        </w:tc>
        <w:tc>
          <w:tcPr>
            <w:tcW w:w="3500" w:type="dxa"/>
            <w:shd w:val="clear" w:color="auto" w:fill="1F3864"/>
          </w:tcPr>
          <w:p>
            <w:r>
              <w:rPr>
                <w:b/>
                <w:color w:val="FFFFFF"/>
              </w:rPr>
              <w:t xml:space="preserve">Specification</w:t>
            </w:r>
          </w:p>
        </w:tc>
        <w:tc>
          <w:tcPr>
            <w:tcW w:w="3000" w:type="dxa"/>
            <w:shd w:val="clear" w:color="auto" w:fill="1F3864"/>
          </w:tcPr>
          <w:p>
            <w:r>
              <w:rPr>
                <w:b/>
                <w:color w:val="FFFFFF"/>
              </w:rPr>
              <w:t xml:space="preserve">Design Basis</w:t>
            </w:r>
          </w:p>
        </w:tc>
      </w:tr>
      <w:tr>
        <w:tc>
          <w:tcPr>
            <w:tcW w:w="2500" w:type="dxa"/>
          </w:tcPr>
          <w:p>
            <w:r>
              <w:t xml:space="preserve">Configuration</w:t>
            </w:r>
          </w:p>
        </w:tc>
        <w:tc>
          <w:tcPr>
            <w:tcW w:w="3500" w:type="dxa"/>
          </w:tcPr>
          <w:p>
            <w:r>
              <w:t xml:space="preserve">3-bladed upwind HAWT</w:t>
            </w:r>
          </w:p>
        </w:tc>
        <w:tc>
          <w:tcPr>
            <w:tcW w:w="3000" w:type="dxa"/>
          </w:tcPr>
          <w:p>
            <w:r>
              <w:t xml:space="preserve">Industry standard for utility-scale</w:t>
            </w:r>
          </w:p>
        </w:tc>
      </w:tr>
      <w:tr>
        <w:tc>
          <w:tcPr>
            <w:tcW w:w="2500" w:type="dxa"/>
            <w:shd w:val="clear" w:color="auto" w:fill="EBF3FB"/>
          </w:tcPr>
          <w:p>
            <w:r>
              <w:t xml:space="preserve">Rotor diameter</w:t>
            </w:r>
          </w:p>
        </w:tc>
        <w:tc>
          <w:tcPr>
            <w:tcW w:w="3500" w:type="dxa"/>
            <w:shd w:val="clear" w:color="auto" w:fill="EBF3FB"/>
          </w:tcPr>
          <w:p>
            <w:r>
              <w:t xml:space="preserve">130 m</w:t>
            </w:r>
          </w:p>
        </w:tc>
        <w:tc>
          <w:tcPr>
            <w:tcW w:w="3000" w:type="dxa"/>
            <w:shd w:val="clear" w:color="auto" w:fill="EBF3FB"/>
          </w:tcPr>
          <w:p>
            <w:r>
              <w:t xml:space="preserve">Specific Power 339 W/m² — optimal for V=8.5 m/s (Sec. III-A.2)</w:t>
            </w:r>
          </w:p>
        </w:tc>
      </w:tr>
      <w:tr>
        <w:tc>
          <w:tcPr>
            <w:tcW w:w="2500" w:type="dxa"/>
          </w:tcPr>
          <w:p>
            <w:r>
              <w:t xml:space="preserve">Swept area</w:t>
            </w:r>
          </w:p>
        </w:tc>
        <w:tc>
          <w:tcPr>
            <w:tcW w:w="3500" w:type="dxa"/>
          </w:tcPr>
          <w:p>
            <w:r>
              <w:t xml:space="preserve">13,273 m²</w:t>
            </w:r>
          </w:p>
        </w:tc>
        <w:tc>
          <w:tcPr>
            <w:tcW w:w="3000" w:type="dxa"/>
          </w:tcPr>
          <w:p>
            <w:r>
              <w:t xml:space="preserve">A = π × 65²</w:t>
            </w:r>
          </w:p>
        </w:tc>
      </w:tr>
      <w:tr>
        <w:tc>
          <w:tcPr>
            <w:tcW w:w="2500" w:type="dxa"/>
            <w:shd w:val="clear" w:color="auto" w:fill="EBF3FB"/>
          </w:tcPr>
          <w:p>
            <w:r>
              <w:t xml:space="preserve">Blade length</w:t>
            </w:r>
          </w:p>
        </w:tc>
        <w:tc>
          <w:tcPr>
            <w:tcW w:w="3500" w:type="dxa"/>
            <w:shd w:val="clear" w:color="auto" w:fill="EBF3FB"/>
          </w:tcPr>
          <w:p>
            <w:r>
              <w:t xml:space="preserve">63.5 m</w:t>
            </w:r>
          </w:p>
        </w:tc>
        <w:tc>
          <w:tcPr>
            <w:tcW w:w="3000" w:type="dxa"/>
            <w:shd w:val="clear" w:color="auto" w:fill="EBF3FB"/>
          </w:tcPr>
          <w:p>
            <w:r>
              <w:t xml:space="preserve">= Rotor radius − hub radius (1.5 m)</w:t>
            </w:r>
          </w:p>
        </w:tc>
      </w:tr>
      <w:tr>
        <w:tc>
          <w:tcPr>
            <w:tcW w:w="2500" w:type="dxa"/>
          </w:tcPr>
          <w:p>
            <w:r>
              <w:t xml:space="preserve">Blade material</w:t>
            </w:r>
          </w:p>
        </w:tc>
        <w:tc>
          <w:tcPr>
            <w:tcW w:w="3500" w:type="dxa"/>
          </w:tcPr>
          <w:p>
            <w:r>
              <w:t xml:space="preserve">GFRP with carbon-fiber spar caps</w:t>
            </w:r>
          </w:p>
        </w:tc>
        <w:tc>
          <w:tcPr>
            <w:tcW w:w="3000" w:type="dxa"/>
          </w:tcPr>
          <w:p>
            <w:r>
              <w:t xml:space="preserve">IEC 61400-5; fatigue and stiffness</w:t>
            </w:r>
          </w:p>
        </w:tc>
      </w:tr>
      <w:tr>
        <w:tc>
          <w:tcPr>
            <w:tcW w:w="2500" w:type="dxa"/>
            <w:shd w:val="clear" w:color="auto" w:fill="EBF3FB"/>
          </w:tcPr>
          <w:p>
            <w:r>
              <w:t xml:space="preserve">Blade weight</w:t>
            </w:r>
          </w:p>
        </w:tc>
        <w:tc>
          <w:tcPr>
            <w:tcW w:w="3500" w:type="dxa"/>
            <w:shd w:val="clear" w:color="auto" w:fill="EBF3FB"/>
          </w:tcPr>
          <w:p>
            <w:r>
              <w:t xml:space="preserve">≈ 14,000 kg each</w:t>
            </w:r>
          </w:p>
        </w:tc>
        <w:tc>
          <w:tcPr>
            <w:tcW w:w="3000" w:type="dxa"/>
            <w:shd w:val="clear" w:color="auto" w:fill="EBF3FB"/>
          </w:tcPr>
          <w:p>
            <w:r>
              <w:t xml:space="preserve">Vestas V126/V136 class benchmark</w:t>
            </w:r>
          </w:p>
        </w:tc>
      </w:tr>
      <w:tr>
        <w:tc>
          <w:tcPr>
            <w:tcW w:w="2500" w:type="dxa"/>
          </w:tcPr>
          <w:p>
            <w:r>
              <w:t xml:space="preserve">Tip speed (max)</w:t>
            </w:r>
          </w:p>
        </w:tc>
        <w:tc>
          <w:tcPr>
            <w:tcW w:w="3500" w:type="dxa"/>
          </w:tcPr>
          <w:p>
            <w:r>
              <w:t xml:space="preserve">≤ 90 m/s</w:t>
            </w:r>
          </w:p>
        </w:tc>
        <w:tc>
          <w:tcPr>
            <w:tcW w:w="3000" w:type="dxa"/>
          </w:tcPr>
          <w:p>
            <w:r>
              <w:t xml:space="preserve">Acoustic + structural fatigue limit</w:t>
            </w:r>
          </w:p>
        </w:tc>
      </w:tr>
      <w:tr>
        <w:tc>
          <w:tcPr>
            <w:tcW w:w="2500" w:type="dxa"/>
            <w:shd w:val="clear" w:color="auto" w:fill="EBF3FB"/>
          </w:tcPr>
          <w:p>
            <w:r>
              <w:t xml:space="preserve">Pitch system</w:t>
            </w:r>
          </w:p>
        </w:tc>
        <w:tc>
          <w:tcPr>
            <w:tcW w:w="3500" w:type="dxa"/>
            <w:shd w:val="clear" w:color="auto" w:fill="EBF3FB"/>
          </w:tcPr>
          <w:p>
            <w:r>
              <w:t xml:space="preserve">3 independent electric motors + battery backup</w:t>
            </w:r>
          </w:p>
        </w:tc>
        <w:tc>
          <w:tcPr>
            <w:tcW w:w="3000" w:type="dxa"/>
            <w:shd w:val="clear" w:color="auto" w:fill="EBF3FB"/>
          </w:tcPr>
          <w:p>
            <w:r>
              <w:t xml:space="preserve">IEC 61400-1 Class II</w:t>
            </w:r>
          </w:p>
        </w:tc>
      </w:tr>
      <w:tr>
        <w:tc>
          <w:tcPr>
            <w:tcW w:w="2500" w:type="dxa"/>
          </w:tcPr>
          <w:p>
            <w:r>
              <w:t xml:space="preserve">Lightning protection</w:t>
            </w:r>
          </w:p>
        </w:tc>
        <w:tc>
          <w:tcPr>
            <w:tcW w:w="3500" w:type="dxa"/>
          </w:tcPr>
          <w:p>
            <w:r>
              <w:t xml:space="preserve">Receptors at tip + down-conductor to hub</w:t>
            </w:r>
          </w:p>
        </w:tc>
        <w:tc>
          <w:tcPr>
            <w:tcW w:w="3000" w:type="dxa"/>
          </w:tcPr>
          <w:p>
            <w:r>
              <w:t xml:space="preserve">IEC 61400-24</w:t>
            </w:r>
          </w:p>
        </w:tc>
      </w:tr>
      <w:tr>
        <w:tc>
          <w:tcPr>
            <w:tcW w:w="2500" w:type="dxa"/>
            <w:shd w:val="clear" w:color="auto" w:fill="EBF3FB"/>
          </w:tcPr>
          <w:p>
            <w:r>
              <w:t xml:space="preserve">Cut-in / Rated / Cut-out</w:t>
            </w:r>
          </w:p>
        </w:tc>
        <w:tc>
          <w:tcPr>
            <w:tcW w:w="3500" w:type="dxa"/>
            <w:shd w:val="clear" w:color="auto" w:fill="EBF3FB"/>
          </w:tcPr>
          <w:p>
            <w:r>
              <w:t xml:space="preserve">3.0 / 12–14 / 25 m/s</w:t>
            </w:r>
          </w:p>
        </w:tc>
        <w:tc>
          <w:tcPr>
            <w:tcW w:w="3000" w:type="dxa"/>
            <w:shd w:val="clear" w:color="auto" w:fill="EBF3FB"/>
          </w:tcPr>
          <w:p>
            <w:r>
              <w:t xml:space="preserve">From Sec. III-A.4 Weibull analysis</w:t>
            </w:r>
          </w:p>
        </w:tc>
      </w:tr>
    </w:tbl>
    <w:p/>
    <w:p>
      <w:pPr>
        <w:pStyle w:val="Normal"/>
      </w:pPr>
    </w:p>
    <w:p>
      <w:pPr>
        <w:pStyle w:val="Heading2"/>
      </w:pPr>
      <w:r>
        <w:t xml:space="preserve">2.2 Drivetrain — Gearbox and DFIG Generator</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000"/>
        <w:gridCol w:w="6000"/>
      </w:tblGrid>
      <w:tr>
        <w:tc>
          <w:tcPr>
            <w:tcW w:w="3000" w:type="dxa"/>
            <w:shd w:val="clear" w:color="auto" w:fill="1F3864"/>
          </w:tcPr>
          <w:p>
            <w:r>
              <w:rPr>
                <w:b/>
                <w:color w:val="FFFFFF"/>
              </w:rPr>
              <w:t xml:space="preserve">Component</w:t>
            </w:r>
          </w:p>
        </w:tc>
        <w:tc>
          <w:tcPr>
            <w:tcW w:w="6000" w:type="dxa"/>
            <w:shd w:val="clear" w:color="auto" w:fill="1F3864"/>
          </w:tcPr>
          <w:p>
            <w:r>
              <w:rPr>
                <w:b/>
                <w:color w:val="FFFFFF"/>
              </w:rPr>
              <w:t xml:space="preserve">Specification</w:t>
            </w:r>
          </w:p>
        </w:tc>
      </w:tr>
      <w:tr>
        <w:tc>
          <w:tcPr>
            <w:tcW w:w="3000" w:type="dxa"/>
          </w:tcPr>
          <w:p>
            <w:r>
              <w:t xml:space="preserve">Gearbox type</w:t>
            </w:r>
          </w:p>
        </w:tc>
        <w:tc>
          <w:tcPr>
            <w:tcW w:w="6000" w:type="dxa"/>
          </w:tcPr>
          <w:p>
            <w:r>
              <w:t xml:space="preserve">Three-stage planetary–helical (integrated with main bearing)</w:t>
            </w:r>
          </w:p>
        </w:tc>
      </w:tr>
      <w:tr>
        <w:tc>
          <w:tcPr>
            <w:tcW w:w="3000" w:type="dxa"/>
            <w:shd w:val="clear" w:color="auto" w:fill="EBF3FB"/>
          </w:tcPr>
          <w:p>
            <w:r>
              <w:t xml:space="preserve">Gear ratio</w:t>
            </w:r>
          </w:p>
        </w:tc>
        <w:tc>
          <w:tcPr>
            <w:tcW w:w="6000" w:type="dxa"/>
            <w:shd w:val="clear" w:color="auto" w:fill="EBF3FB"/>
          </w:tcPr>
          <w:p>
            <w:r>
              <w:t xml:space="preserve">1:90 — rotor ~17 rpm → generator 1,530 rpm</w:t>
            </w:r>
          </w:p>
        </w:tc>
      </w:tr>
      <w:tr>
        <w:tc>
          <w:tcPr>
            <w:tcW w:w="3000" w:type="dxa"/>
          </w:tcPr>
          <w:p>
            <w:r>
              <w:t xml:space="preserve">Gearbox efficiency</w:t>
            </w:r>
          </w:p>
        </w:tc>
        <w:tc>
          <w:tcPr>
            <w:tcW w:w="6000" w:type="dxa"/>
          </w:tcPr>
          <w:p>
            <w:r>
              <w:t xml:space="preserve">≥ 97% at rated load</w:t>
            </w:r>
          </w:p>
        </w:tc>
      </w:tr>
      <w:tr>
        <w:tc>
          <w:tcPr>
            <w:tcW w:w="3000" w:type="dxa"/>
            <w:shd w:val="clear" w:color="auto" w:fill="EBF3FB"/>
          </w:tcPr>
          <w:p>
            <w:r>
              <w:t xml:space="preserve">Gearbox oil</w:t>
            </w:r>
          </w:p>
        </w:tc>
        <w:tc>
          <w:tcPr>
            <w:tcW w:w="6000" w:type="dxa"/>
            <w:shd w:val="clear" w:color="auto" w:fill="EBF3FB"/>
          </w:tcPr>
          <w:p>
            <w:r>
              <w:t xml:space="preserve">ISO VG 320 mineral/PAO synthetic, 600 L sump, forced lubrication</w:t>
            </w:r>
          </w:p>
        </w:tc>
      </w:tr>
      <w:tr>
        <w:tc>
          <w:tcPr>
            <w:tcW w:w="3000" w:type="dxa"/>
          </w:tcPr>
          <w:p>
            <w:r>
              <w:t xml:space="preserve">Generator type</w:t>
            </w:r>
          </w:p>
        </w:tc>
        <w:tc>
          <w:tcPr>
            <w:tcW w:w="6000" w:type="dxa"/>
          </w:tcPr>
          <w:p>
            <w:r>
              <w:t xml:space="preserve">Doubly Fed Induction Generator (DFIG) — from original proposal Sec. III</w:t>
            </w:r>
          </w:p>
        </w:tc>
      </w:tr>
      <w:tr>
        <w:tc>
          <w:tcPr>
            <w:tcW w:w="3000" w:type="dxa"/>
            <w:shd w:val="clear" w:color="auto" w:fill="EBF3FB"/>
          </w:tcPr>
          <w:p>
            <w:r>
              <w:t xml:space="preserve">Rated power</w:t>
            </w:r>
          </w:p>
        </w:tc>
        <w:tc>
          <w:tcPr>
            <w:tcW w:w="6000" w:type="dxa"/>
            <w:shd w:val="clear" w:color="auto" w:fill="EBF3FB"/>
          </w:tcPr>
          <w:p>
            <w:r>
              <w:t xml:space="preserve">5.0 MW at 12–14 m/s wind</w:t>
            </w:r>
          </w:p>
        </w:tc>
      </w:tr>
      <w:tr>
        <w:tc>
          <w:tcPr>
            <w:tcW w:w="3000" w:type="dxa"/>
          </w:tcPr>
          <w:p>
            <w:r>
              <w:t xml:space="preserve">Stator voltage</w:t>
            </w:r>
          </w:p>
        </w:tc>
        <w:tc>
          <w:tcPr>
            <w:tcW w:w="6000" w:type="dxa"/>
          </w:tcPr>
          <w:p>
            <w:r>
              <w:t xml:space="preserve">690 V AC, 3-phase, 60 Hz</w:t>
            </w:r>
          </w:p>
        </w:tc>
      </w:tr>
      <w:tr>
        <w:tc>
          <w:tcPr>
            <w:tcW w:w="3000" w:type="dxa"/>
            <w:shd w:val="clear" w:color="auto" w:fill="EBF3FB"/>
          </w:tcPr>
          <w:p>
            <w:r>
              <w:t xml:space="preserve">Cooling</w:t>
            </w:r>
          </w:p>
        </w:tc>
        <w:tc>
          <w:tcPr>
            <w:tcW w:w="6000" w:type="dxa"/>
            <w:shd w:val="clear" w:color="auto" w:fill="EBF3FB"/>
          </w:tcPr>
          <w:p>
            <w:r>
              <w:t xml:space="preserve">Air-to-water heat exchanger in nacelle</w:t>
            </w:r>
          </w:p>
        </w:tc>
      </w:tr>
      <w:tr>
        <w:tc>
          <w:tcPr>
            <w:tcW w:w="3000" w:type="dxa"/>
          </w:tcPr>
          <w:p>
            <w:r>
              <w:t xml:space="preserve">Power converter</w:t>
            </w:r>
          </w:p>
        </w:tc>
        <w:tc>
          <w:tcPr>
            <w:tcW w:w="6000" w:type="dxa"/>
          </w:tcPr>
          <w:p>
            <w:r>
              <w:t xml:space="preserve">Partial-scale IGBT (~30% of rated), stabilizes output to 60 Hz</w:t>
            </w:r>
          </w:p>
        </w:tc>
      </w:tr>
      <w:tr>
        <w:tc>
          <w:tcPr>
            <w:tcW w:w="3000" w:type="dxa"/>
            <w:shd w:val="clear" w:color="auto" w:fill="EBF3FB"/>
          </w:tcPr>
          <w:p>
            <w:r>
              <w:t xml:space="preserve">Nacelle mass</w:t>
            </w:r>
          </w:p>
        </w:tc>
        <w:tc>
          <w:tcPr>
            <w:tcW w:w="6000" w:type="dxa"/>
            <w:shd w:val="clear" w:color="auto" w:fill="EBF3FB"/>
          </w:tcPr>
          <w:p>
            <w:r>
              <w:t xml:space="preserve">≈ 320 t (nacelle + rotor assembly)</w:t>
            </w:r>
          </w:p>
        </w:tc>
      </w:tr>
      <w:tr>
        <w:tc>
          <w:tcPr>
            <w:tcW w:w="3000" w:type="dxa"/>
          </w:tcPr>
          <w:p>
            <w:r>
              <w:t xml:space="preserve">Overall drivetrain η</w:t>
            </w:r>
          </w:p>
        </w:tc>
        <w:tc>
          <w:tcPr>
            <w:tcW w:w="6000" w:type="dxa"/>
          </w:tcPr>
          <w:p>
            <w:r>
              <w:t xml:space="preserve">≈ 93% (gearbox × generator × converter)</w:t>
            </w:r>
          </w:p>
        </w:tc>
      </w:tr>
    </w:tbl>
    <w:p/>
    <w:p>
      <w:pPr>
        <w:pStyle w:val="Normal"/>
      </w:pPr>
    </w:p>
    <w:p>
      <w:pPr>
        <w:pStyle w:val="Heading2"/>
      </w:pPr>
      <w:r>
        <w:t xml:space="preserve">2.3 Tower Structure</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000"/>
        <w:gridCol w:w="6000"/>
      </w:tblGrid>
      <w:tr>
        <w:tc>
          <w:tcPr>
            <w:tcW w:w="3000" w:type="dxa"/>
            <w:shd w:val="clear" w:color="auto" w:fill="1F3864"/>
          </w:tcPr>
          <w:p>
            <w:r>
              <w:rPr>
                <w:b/>
                <w:color w:val="FFFFFF"/>
              </w:rPr>
              <w:t xml:space="preserve">Parameter</w:t>
            </w:r>
          </w:p>
        </w:tc>
        <w:tc>
          <w:tcPr>
            <w:tcW w:w="6000" w:type="dxa"/>
            <w:shd w:val="clear" w:color="auto" w:fill="1F3864"/>
          </w:tcPr>
          <w:p>
            <w:r>
              <w:rPr>
                <w:b/>
                <w:color w:val="FFFFFF"/>
              </w:rPr>
              <w:t xml:space="preserve">Specification</w:t>
            </w:r>
          </w:p>
        </w:tc>
      </w:tr>
      <w:tr>
        <w:tc>
          <w:tcPr>
            <w:tcW w:w="3000" w:type="dxa"/>
          </w:tcPr>
          <w:p>
            <w:r>
              <w:t xml:space="preserve">Type</w:t>
            </w:r>
          </w:p>
        </w:tc>
        <w:tc>
          <w:tcPr>
            <w:tcW w:w="6000" w:type="dxa"/>
          </w:tcPr>
          <w:p>
            <w:r>
              <w:t xml:space="preserve">Tubular steel, 3-section flanged and bolted</w:t>
            </w:r>
          </w:p>
        </w:tc>
      </w:tr>
      <w:tr>
        <w:tc>
          <w:tcPr>
            <w:tcW w:w="3000" w:type="dxa"/>
            <w:shd w:val="clear" w:color="auto" w:fill="EBF3FB"/>
          </w:tcPr>
          <w:p>
            <w:r>
              <w:t xml:space="preserve">Hub height</w:t>
            </w:r>
          </w:p>
        </w:tc>
        <w:tc>
          <w:tcPr>
            <w:tcW w:w="6000" w:type="dxa"/>
            <w:shd w:val="clear" w:color="auto" w:fill="EBF3FB"/>
          </w:tcPr>
          <w:p>
            <w:r>
              <w:t xml:space="preserve">100 m (selected) — V(100m)=8.19 m/s, +26% vs ground (Sec. III-A.3)</w:t>
            </w:r>
          </w:p>
        </w:tc>
      </w:tr>
      <w:tr>
        <w:tc>
          <w:tcPr>
            <w:tcW w:w="3000" w:type="dxa"/>
          </w:tcPr>
          <w:p>
            <w:r>
              <w:t xml:space="preserve">Base diameter</w:t>
            </w:r>
          </w:p>
        </w:tc>
        <w:tc>
          <w:tcPr>
            <w:tcW w:w="6000" w:type="dxa"/>
          </w:tcPr>
          <w:p>
            <w:r>
              <w:t xml:space="preserve">4.30 m</w:t>
            </w:r>
          </w:p>
        </w:tc>
      </w:tr>
      <w:tr>
        <w:tc>
          <w:tcPr>
            <w:tcW w:w="3000" w:type="dxa"/>
            <w:shd w:val="clear" w:color="auto" w:fill="EBF3FB"/>
          </w:tcPr>
          <w:p>
            <w:r>
              <w:t xml:space="preserve">Top diameter</w:t>
            </w:r>
          </w:p>
        </w:tc>
        <w:tc>
          <w:tcPr>
            <w:tcW w:w="6000" w:type="dxa"/>
            <w:shd w:val="clear" w:color="auto" w:fill="EBF3FB"/>
          </w:tcPr>
          <w:p>
            <w:r>
              <w:t xml:space="preserve">3.00 m</w:t>
            </w:r>
          </w:p>
        </w:tc>
      </w:tr>
      <w:tr>
        <w:tc>
          <w:tcPr>
            <w:tcW w:w="3000" w:type="dxa"/>
          </w:tcPr>
          <w:p>
            <w:r>
              <w:t xml:space="preserve">Wall thickness</w:t>
            </w:r>
          </w:p>
        </w:tc>
        <w:tc>
          <w:tcPr>
            <w:tcW w:w="6000" w:type="dxa"/>
          </w:tcPr>
          <w:p>
            <w:r>
              <w:t xml:space="preserve">30 mm at base tapering to 18 mm at top</w:t>
            </w:r>
          </w:p>
        </w:tc>
      </w:tr>
      <w:tr>
        <w:tc>
          <w:tcPr>
            <w:tcW w:w="3000" w:type="dxa"/>
            <w:shd w:val="clear" w:color="auto" w:fill="EBF3FB"/>
          </w:tcPr>
          <w:p>
            <w:r>
              <w:t xml:space="preserve">Steel grade</w:t>
            </w:r>
          </w:p>
        </w:tc>
        <w:tc>
          <w:tcPr>
            <w:tcW w:w="6000" w:type="dxa"/>
            <w:shd w:val="clear" w:color="auto" w:fill="EBF3FB"/>
          </w:tcPr>
          <w:p>
            <w:r>
              <w:t xml:space="preserve">S355 J0+N per EN 10025-2</w:t>
            </w:r>
          </w:p>
        </w:tc>
      </w:tr>
      <w:tr>
        <w:tc>
          <w:tcPr>
            <w:tcW w:w="3000" w:type="dxa"/>
          </w:tcPr>
          <w:p>
            <w:r>
              <w:t xml:space="preserve">Tower mass</w:t>
            </w:r>
          </w:p>
        </w:tc>
        <w:tc>
          <w:tcPr>
            <w:tcW w:w="6000" w:type="dxa"/>
          </w:tcPr>
          <w:p>
            <w:r>
              <w:t xml:space="preserve">≈ 280 t</w:t>
            </w:r>
          </w:p>
        </w:tc>
      </w:tr>
      <w:tr>
        <w:tc>
          <w:tcPr>
            <w:tcW w:w="3000" w:type="dxa"/>
            <w:shd w:val="clear" w:color="auto" w:fill="EBF3FB"/>
          </w:tcPr>
          <w:p>
            <w:r>
              <w:t xml:space="preserve">Coating</w:t>
            </w:r>
          </w:p>
        </w:tc>
        <w:tc>
          <w:tcPr>
            <w:tcW w:w="6000" w:type="dxa"/>
            <w:shd w:val="clear" w:color="auto" w:fill="EBF3FB"/>
          </w:tcPr>
          <w:p>
            <w:r>
              <w:t xml:space="preserve">ISO 12944 C5-M system: zinc-rich primer + epoxy mid + PU topcoat, DFT ≥ 320 µm</w:t>
            </w:r>
          </w:p>
        </w:tc>
      </w:tr>
      <w:tr>
        <w:tc>
          <w:tcPr>
            <w:tcW w:w="3000" w:type="dxa"/>
          </w:tcPr>
          <w:p>
            <w:r>
              <w:t xml:space="preserve">Internal access</w:t>
            </w:r>
          </w:p>
        </w:tc>
        <w:tc>
          <w:tcPr>
            <w:tcW w:w="6000" w:type="dxa"/>
          </w:tcPr>
          <w:p>
            <w:r>
              <w:t xml:space="preserve">Fixed ladder + climb-assist device + emergency descender</w:t>
            </w:r>
          </w:p>
        </w:tc>
      </w:tr>
      <w:tr>
        <w:tc>
          <w:tcPr>
            <w:tcW w:w="3000" w:type="dxa"/>
            <w:shd w:val="clear" w:color="auto" w:fill="EBF3FB"/>
          </w:tcPr>
          <w:p>
            <w:r>
              <w:t xml:space="preserve">Aviation marking</w:t>
            </w:r>
          </w:p>
        </w:tc>
        <w:tc>
          <w:tcPr>
            <w:tcW w:w="6000" w:type="dxa"/>
            <w:shd w:val="clear" w:color="auto" w:fill="EBF3FB"/>
          </w:tcPr>
          <w:p>
            <w:r>
              <w:t xml:space="preserve">Upper 1/3: RAL 3020 red bands, per CAAP MOS Part 14</w:t>
            </w:r>
          </w:p>
        </w:tc>
      </w:tr>
    </w:tbl>
    <w:p/>
    <w:p>
      <w:pPr>
        <w:pStyle w:val="Normal"/>
      </w:pPr>
    </w:p>
    <w:p>
      <w:pPr>
        <w:pStyle w:val="Heading2"/>
      </w:pPr>
      <w:r>
        <w:t xml:space="preserve">2.4 Electrical Collection and Substation</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000"/>
        <w:gridCol w:w="6000"/>
      </w:tblGrid>
      <w:tr>
        <w:tc>
          <w:tcPr>
            <w:tcW w:w="3000" w:type="dxa"/>
            <w:shd w:val="clear" w:color="auto" w:fill="1F3864"/>
          </w:tcPr>
          <w:p>
            <w:r>
              <w:rPr>
                <w:b/>
                <w:color w:val="FFFFFF"/>
              </w:rPr>
              <w:t xml:space="preserve">Component</w:t>
            </w:r>
          </w:p>
        </w:tc>
        <w:tc>
          <w:tcPr>
            <w:tcW w:w="6000" w:type="dxa"/>
            <w:shd w:val="clear" w:color="auto" w:fill="1F3864"/>
          </w:tcPr>
          <w:p>
            <w:r>
              <w:rPr>
                <w:b/>
                <w:color w:val="FFFFFF"/>
              </w:rPr>
              <w:t xml:space="preserve">Specification</w:t>
            </w:r>
          </w:p>
        </w:tc>
      </w:tr>
      <w:tr>
        <w:tc>
          <w:tcPr>
            <w:tcW w:w="3000" w:type="dxa"/>
          </w:tcPr>
          <w:p>
            <w:r>
              <w:t xml:space="preserve">Turbine pad-mount transformer</w:t>
            </w:r>
          </w:p>
        </w:tc>
        <w:tc>
          <w:tcPr>
            <w:tcW w:w="6000" w:type="dxa"/>
          </w:tcPr>
          <w:p>
            <w:r>
              <w:t xml:space="preserve">5.5 MVA, 690 V / 33 kV, oil-filled ONAN</w:t>
            </w:r>
          </w:p>
        </w:tc>
      </w:tr>
      <w:tr>
        <w:tc>
          <w:tcPr>
            <w:tcW w:w="3000" w:type="dxa"/>
            <w:shd w:val="clear" w:color="auto" w:fill="EBF3FB"/>
          </w:tcPr>
          <w:p>
            <w:r>
              <w:t xml:space="preserve">Collection voltage</w:t>
            </w:r>
          </w:p>
        </w:tc>
        <w:tc>
          <w:tcPr>
            <w:tcW w:w="6000" w:type="dxa"/>
            <w:shd w:val="clear" w:color="auto" w:fill="EBF3FB"/>
          </w:tcPr>
          <w:p>
            <w:r>
              <w:t xml:space="preserve">33 kV — industry standard for up to ~200 MW (Sec. III-C.1)</w:t>
            </w:r>
          </w:p>
        </w:tc>
      </w:tr>
      <w:tr>
        <w:tc>
          <w:tcPr>
            <w:tcW w:w="3000" w:type="dxa"/>
          </w:tcPr>
          <w:p>
            <w:r>
              <w:t xml:space="preserve">Inter-array cable</w:t>
            </w:r>
          </w:p>
        </w:tc>
        <w:tc>
          <w:tcPr>
            <w:tcW w:w="6000" w:type="dxa"/>
          </w:tcPr>
          <w:p>
            <w:r>
              <w:t xml:space="preserve">33 kV XLPE copper, 240–630 mm², buried 1.0 m, IEC 60502-2</w:t>
            </w:r>
          </w:p>
        </w:tc>
      </w:tr>
      <w:tr>
        <w:tc>
          <w:tcPr>
            <w:tcW w:w="3000" w:type="dxa"/>
            <w:shd w:val="clear" w:color="auto" w:fill="EBF3FB"/>
          </w:tcPr>
          <w:p>
            <w:r>
              <w:t xml:space="preserve">Switchgear per turbine</w:t>
            </w:r>
          </w:p>
        </w:tc>
        <w:tc>
          <w:tcPr>
            <w:tcW w:w="6000" w:type="dxa"/>
            <w:shd w:val="clear" w:color="auto" w:fill="EBF3FB"/>
          </w:tcPr>
          <w:p>
            <w:r>
              <w:t xml:space="preserve">33 kV ring-main unit, SF6-insulated</w:t>
            </w:r>
          </w:p>
        </w:tc>
      </w:tr>
      <w:tr>
        <w:tc>
          <w:tcPr>
            <w:tcW w:w="3000" w:type="dxa"/>
          </w:tcPr>
          <w:p>
            <w:r>
              <w:t xml:space="preserve">Collection feeders</w:t>
            </w:r>
          </w:p>
        </w:tc>
        <w:tc>
          <w:tcPr>
            <w:tcW w:w="6000" w:type="dxa"/>
          </w:tcPr>
          <w:p>
            <w:r>
              <w:t xml:space="preserve">5 feeders × 4 turbines = 20 MW per feeder</w:t>
            </w:r>
          </w:p>
        </w:tc>
      </w:tr>
      <w:tr>
        <w:tc>
          <w:tcPr>
            <w:tcW w:w="3000" w:type="dxa"/>
            <w:shd w:val="clear" w:color="auto" w:fill="EBF3FB"/>
          </w:tcPr>
          <w:p>
            <w:r>
              <w:t xml:space="preserve">Step-up transformer</w:t>
            </w:r>
          </w:p>
        </w:tc>
        <w:tc>
          <w:tcPr>
            <w:tcW w:w="6000" w:type="dxa"/>
            <w:shd w:val="clear" w:color="auto" w:fill="EBF3FB"/>
          </w:tcPr>
          <w:p>
            <w:r>
              <w:t xml:space="preserve">120 MVA, 33 kV / 115 kV, OLTC ±10%, turns ratio 3.48:1 (Sec. III-C.2)</w:t>
            </w:r>
          </w:p>
        </w:tc>
      </w:tr>
      <w:tr>
        <w:tc>
          <w:tcPr>
            <w:tcW w:w="3000" w:type="dxa"/>
          </w:tcPr>
          <w:p>
            <w:r>
              <w:t xml:space="preserve">Transmission voltage</w:t>
            </w:r>
          </w:p>
        </w:tc>
        <w:tc>
          <w:tcPr>
            <w:tcW w:w="6000" w:type="dxa"/>
          </w:tcPr>
          <w:p>
            <w:r>
              <w:t xml:space="preserve">115 kV — NGCP Ilocos Norte grid standard (Sec. III-C.3)</w:t>
            </w:r>
          </w:p>
        </w:tc>
      </w:tr>
      <w:tr>
        <w:tc>
          <w:tcPr>
            <w:tcW w:w="3000" w:type="dxa"/>
            <w:shd w:val="clear" w:color="auto" w:fill="EBF3FB"/>
          </w:tcPr>
          <w:p>
            <w:r>
              <w:t xml:space="preserve">Substation protection</w:t>
            </w:r>
          </w:p>
        </w:tc>
        <w:tc>
          <w:tcPr>
            <w:tcW w:w="6000" w:type="dxa"/>
            <w:shd w:val="clear" w:color="auto" w:fill="EBF3FB"/>
          </w:tcPr>
          <w:p>
            <w:r>
              <w:t xml:space="preserve">IEC 61850 relays: 87T diff, 21 distance, 51 overcurrent, 64 REF</w:t>
            </w:r>
          </w:p>
        </w:tc>
      </w:tr>
      <w:tr>
        <w:tc>
          <w:tcPr>
            <w:tcW w:w="3000" w:type="dxa"/>
          </w:tcPr>
          <w:p>
            <w:r>
              <w:t xml:space="preserve">Reactive compensation</w:t>
            </w:r>
          </w:p>
        </w:tc>
        <w:tc>
          <w:tcPr>
            <w:tcW w:w="6000" w:type="dxa"/>
          </w:tcPr>
          <w:p>
            <w:r>
              <w:t xml:space="preserve">±30 MVAr STATCOM for Philippine Grid Code compliance</w:t>
            </w:r>
          </w:p>
        </w:tc>
      </w:tr>
      <w:tr>
        <w:tc>
          <w:tcPr>
            <w:tcW w:w="3000" w:type="dxa"/>
            <w:shd w:val="clear" w:color="auto" w:fill="EBF3FB"/>
          </w:tcPr>
          <w:p>
            <w:r>
              <w:t xml:space="preserve">Grounding</w:t>
            </w:r>
          </w:p>
        </w:tc>
        <w:tc>
          <w:tcPr>
            <w:tcW w:w="6000" w:type="dxa"/>
            <w:shd w:val="clear" w:color="auto" w:fill="EBF3FB"/>
          </w:tcPr>
          <w:p>
            <w:r>
              <w:t xml:space="preserve">Mesh + driven rod, target ≤ 1 Ω (IEEE 80)</w:t>
            </w:r>
          </w:p>
        </w:tc>
      </w:tr>
      <w:tr>
        <w:tc>
          <w:tcPr>
            <w:tcW w:w="3000" w:type="dxa"/>
          </w:tcPr>
          <w:p>
            <w:r>
              <w:t xml:space="preserve">SCADA</w:t>
            </w:r>
          </w:p>
        </w:tc>
        <w:tc>
          <w:tcPr>
            <w:tcW w:w="6000" w:type="dxa"/>
          </w:tcPr>
          <w:p>
            <w:r>
              <w:t xml:space="preserve">Wind-Farm Management System, OPC-UA protocol to NGCP RTU</w:t>
            </w:r>
          </w:p>
        </w:tc>
      </w:tr>
      <w:tr>
        <w:tc>
          <w:tcPr>
            <w:tcW w:w="3000" w:type="dxa"/>
            <w:shd w:val="clear" w:color="auto" w:fill="EBF3FB"/>
          </w:tcPr>
          <w:p>
            <w:r>
              <w:t xml:space="preserve">Auxiliary power</w:t>
            </w:r>
          </w:p>
        </w:tc>
        <w:tc>
          <w:tcPr>
            <w:tcW w:w="6000" w:type="dxa"/>
            <w:shd w:val="clear" w:color="auto" w:fill="EBF3FB"/>
          </w:tcPr>
          <w:p>
            <w:r>
              <w:t xml:space="preserve">500 kVA diesel genset + 30-min UPS for critical loads</w:t>
            </w:r>
          </w:p>
        </w:tc>
      </w:tr>
    </w:tbl>
    <w:p/>
    <w:p>
      <w:r>
        <w:br w:type="page"/>
      </w:r>
    </w:p>
    <w:p>
      <w:pPr>
        <w:pStyle w:val="Heading1"/>
      </w:pPr>
      <w:r>
        <w:t xml:space="preserve">Section 3 — Single-Line Electrical Diagram (SLD)</w:t>
      </w:r>
    </w:p>
    <w:p>
      <w:pPr>
        <w:pStyle w:val="Normal"/>
      </w:pPr>
      <w:r>
        <w:t xml:space="preserve">The SLD is the electrical equivalent of a P&amp;ID. It traces power from each turbine generator to the NGCP grid metering point. Based on the 33 kV/115 kV configuration established in Section III-C of the original proposal.</w:t>
      </w:r>
    </w:p>
    <w:p>
      <w:pPr>
        <w:pStyle w:val="Normal"/>
      </w:pPr>
    </w:p>
    <w:p>
      <w:pPr>
        <w:pStyle w:val="Heading2"/>
      </w:pPr>
      <w:r>
        <w:t xml:space="preserve">3.1 Power Flow — Turbine to Grid</w:t>
      </w:r>
    </w:p>
    <w:p>
      <w:pPr>
        <w:pStyle w:val="ListParagraph"/>
        <w:numPr>
          <w:ilvl w:val="0"/>
          <w:numId w:val="1"/>
        </w:numPr>
      </w:pPr>
      <w:r>
        <w:t xml:space="preserve">Stage 1 — Turbine: DFIG produces 690 V AC, 3-phase, stabilized to 60 Hz by partial-scale converter.</w:t>
      </w:r>
    </w:p>
    <w:p>
      <w:pPr>
        <w:pStyle w:val="ListParagraph"/>
        <w:numPr>
          <w:ilvl w:val="0"/>
          <w:numId w:val="1"/>
        </w:numPr>
      </w:pPr>
      <w:r>
        <w:t xml:space="preserve">Stage 2 — Pad-mount transformer (T-1xx): Steps 690 V → 33 kV at each tower base.</w:t>
      </w:r>
    </w:p>
    <w:p>
      <w:pPr>
        <w:pStyle w:val="ListParagraph"/>
        <w:numPr>
          <w:ilvl w:val="0"/>
          <w:numId w:val="1"/>
        </w:numPr>
      </w:pPr>
      <w:r>
        <w:t xml:space="preserve">Stage 3 — Inter-array cable: 33 kV XLPE underground, 4 turbines per feeder ring.</w:t>
      </w:r>
    </w:p>
    <w:p>
      <w:pPr>
        <w:pStyle w:val="ListParagraph"/>
        <w:numPr>
          <w:ilvl w:val="0"/>
          <w:numId w:val="1"/>
        </w:numPr>
      </w:pPr>
      <w:r>
        <w:t xml:space="preserve">Stage 4 — Substation (T-200): 5 feeders enter 33 kV busbar; 120 MVA transformer steps to 115 kV.</w:t>
      </w:r>
    </w:p>
    <w:p>
      <w:pPr>
        <w:pStyle w:val="ListParagraph"/>
        <w:numPr>
          <w:ilvl w:val="0"/>
          <w:numId w:val="1"/>
        </w:numPr>
      </w:pPr>
      <w:r>
        <w:t xml:space="preserve">Stage 5 — 115 kV OHL: ~35 km to NGCP Laoag Substation; revenue metering at grid entry point.</w:t>
      </w:r>
    </w:p>
    <w:p>
      <w:pPr>
        <w:pStyle w:val="Normal"/>
      </w:pPr>
    </w:p>
    <w:p>
      <w:pPr>
        <w:pStyle w:val="Heading2"/>
      </w:pPr>
      <w:r>
        <w:t xml:space="preserve">3.2 Equipment Tag Conventions</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2000"/>
        <w:gridCol w:w="7000"/>
      </w:tblGrid>
      <w:tr>
        <w:tc>
          <w:tcPr>
            <w:tcW w:w="2000" w:type="dxa"/>
            <w:shd w:val="clear" w:color="auto" w:fill="1F3864"/>
          </w:tcPr>
          <w:p>
            <w:r>
              <w:rPr>
                <w:b/>
                <w:color w:val="FFFFFF"/>
              </w:rPr>
              <w:t xml:space="preserve">Tag Prefix</w:t>
            </w:r>
          </w:p>
        </w:tc>
        <w:tc>
          <w:tcPr>
            <w:tcW w:w="7000" w:type="dxa"/>
            <w:shd w:val="clear" w:color="auto" w:fill="1F3864"/>
          </w:tcPr>
          <w:p>
            <w:r>
              <w:rPr>
                <w:b/>
                <w:color w:val="FFFFFF"/>
              </w:rPr>
              <w:t xml:space="preserve">Equipment</w:t>
            </w:r>
          </w:p>
        </w:tc>
      </w:tr>
      <w:tr>
        <w:tc>
          <w:tcPr>
            <w:tcW w:w="2000" w:type="dxa"/>
          </w:tcPr>
          <w:p>
            <w:r>
              <w:t xml:space="preserve">WTG-xxx</w:t>
            </w:r>
          </w:p>
        </w:tc>
        <w:tc>
          <w:tcPr>
            <w:tcW w:w="7000" w:type="dxa"/>
          </w:tcPr>
          <w:p>
            <w:r>
              <w:t xml:space="preserve">Wind Turbine Generator unit (WTG-101 to WTG-120)</w:t>
            </w:r>
          </w:p>
        </w:tc>
      </w:tr>
      <w:tr>
        <w:tc>
          <w:tcPr>
            <w:tcW w:w="2000" w:type="dxa"/>
            <w:shd w:val="clear" w:color="auto" w:fill="EBF3FB"/>
          </w:tcPr>
          <w:p>
            <w:r>
              <w:t xml:space="preserve">G-xxx</w:t>
            </w:r>
          </w:p>
        </w:tc>
        <w:tc>
          <w:tcPr>
            <w:tcW w:w="7000" w:type="dxa"/>
            <w:shd w:val="clear" w:color="auto" w:fill="EBF3FB"/>
          </w:tcPr>
          <w:p>
            <w:r>
              <w:t xml:space="preserve">Generator inside nacelle</w:t>
            </w:r>
          </w:p>
        </w:tc>
      </w:tr>
      <w:tr>
        <w:tc>
          <w:tcPr>
            <w:tcW w:w="2000" w:type="dxa"/>
          </w:tcPr>
          <w:p>
            <w:r>
              <w:t xml:space="preserve">T-1xx</w:t>
            </w:r>
          </w:p>
        </w:tc>
        <w:tc>
          <w:tcPr>
            <w:tcW w:w="7000" w:type="dxa"/>
          </w:tcPr>
          <w:p>
            <w:r>
              <w:t xml:space="preserve">Pad-mount turbine transformer (one per WTG)</w:t>
            </w:r>
          </w:p>
        </w:tc>
      </w:tr>
      <w:tr>
        <w:tc>
          <w:tcPr>
            <w:tcW w:w="2000" w:type="dxa"/>
            <w:shd w:val="clear" w:color="auto" w:fill="EBF3FB"/>
          </w:tcPr>
          <w:p>
            <w:r>
              <w:t xml:space="preserve">T-200</w:t>
            </w:r>
          </w:p>
        </w:tc>
        <w:tc>
          <w:tcPr>
            <w:tcW w:w="7000" w:type="dxa"/>
            <w:shd w:val="clear" w:color="auto" w:fill="EBF3FB"/>
          </w:tcPr>
          <w:p>
            <w:r>
              <w:t xml:space="preserve">Main 33/115 kV step-up transformer</w:t>
            </w:r>
          </w:p>
        </w:tc>
      </w:tr>
      <w:tr>
        <w:tc>
          <w:tcPr>
            <w:tcW w:w="2000" w:type="dxa"/>
          </w:tcPr>
          <w:p>
            <w:r>
              <w:t xml:space="preserve">CB-xxx</w:t>
            </w:r>
          </w:p>
        </w:tc>
        <w:tc>
          <w:tcPr>
            <w:tcW w:w="7000" w:type="dxa"/>
          </w:tcPr>
          <w:p>
            <w:r>
              <w:t xml:space="preserve">Circuit breaker (CB-101 to CB-120 at turbines; CB-200 series at substation)</w:t>
            </w:r>
          </w:p>
        </w:tc>
      </w:tr>
      <w:tr>
        <w:tc>
          <w:tcPr>
            <w:tcW w:w="2000" w:type="dxa"/>
            <w:shd w:val="clear" w:color="auto" w:fill="EBF3FB"/>
          </w:tcPr>
          <w:p>
            <w:r>
              <w:t xml:space="preserve">DS-xxx</w:t>
            </w:r>
          </w:p>
        </w:tc>
        <w:tc>
          <w:tcPr>
            <w:tcW w:w="7000" w:type="dxa"/>
            <w:shd w:val="clear" w:color="auto" w:fill="EBF3FB"/>
          </w:tcPr>
          <w:p>
            <w:r>
              <w:t xml:space="preserve">Disconnect / isolator switch</w:t>
            </w:r>
          </w:p>
        </w:tc>
      </w:tr>
      <w:tr>
        <w:tc>
          <w:tcPr>
            <w:tcW w:w="2000" w:type="dxa"/>
          </w:tcPr>
          <w:p>
            <w:r>
              <w:t xml:space="preserve">CT-xxx</w:t>
            </w:r>
          </w:p>
        </w:tc>
        <w:tc>
          <w:tcPr>
            <w:tcW w:w="7000" w:type="dxa"/>
          </w:tcPr>
          <w:p>
            <w:r>
              <w:t xml:space="preserve">Current transformer (metering / protection)</w:t>
            </w:r>
          </w:p>
        </w:tc>
      </w:tr>
      <w:tr>
        <w:tc>
          <w:tcPr>
            <w:tcW w:w="2000" w:type="dxa"/>
            <w:shd w:val="clear" w:color="auto" w:fill="EBF3FB"/>
          </w:tcPr>
          <w:p>
            <w:r>
              <w:t xml:space="preserve">VT-xxx</w:t>
            </w:r>
          </w:p>
        </w:tc>
        <w:tc>
          <w:tcPr>
            <w:tcW w:w="7000" w:type="dxa"/>
            <w:shd w:val="clear" w:color="auto" w:fill="EBF3FB"/>
          </w:tcPr>
          <w:p>
            <w:r>
              <w:t xml:space="preserve">Voltage transformer</w:t>
            </w:r>
          </w:p>
        </w:tc>
      </w:tr>
      <w:tr>
        <w:tc>
          <w:tcPr>
            <w:tcW w:w="2000" w:type="dxa"/>
          </w:tcPr>
          <w:p>
            <w:r>
              <w:t xml:space="preserve">MET-001</w:t>
            </w:r>
          </w:p>
        </w:tc>
        <w:tc>
          <w:tcPr>
            <w:tcW w:w="7000" w:type="dxa"/>
          </w:tcPr>
          <w:p>
            <w:r>
              <w:t xml:space="preserve">Revenue metering point at NGCP interconnection</w:t>
            </w:r>
          </w:p>
        </w:tc>
      </w:tr>
      <w:tr>
        <w:tc>
          <w:tcPr>
            <w:tcW w:w="2000" w:type="dxa"/>
            <w:shd w:val="clear" w:color="auto" w:fill="EBF3FB"/>
          </w:tcPr>
          <w:p>
            <w:r>
              <w:t xml:space="preserve">PR-xxx</w:t>
            </w:r>
          </w:p>
        </w:tc>
        <w:tc>
          <w:tcPr>
            <w:tcW w:w="7000" w:type="dxa"/>
            <w:shd w:val="clear" w:color="auto" w:fill="EBF3FB"/>
          </w:tcPr>
          <w:p>
            <w:r>
              <w:t xml:space="preserve">Protection relay (87T, 21, 51, 51N, 64, 24 function codes)</w:t>
            </w:r>
          </w:p>
        </w:tc>
      </w:tr>
      <w:tr>
        <w:tc>
          <w:tcPr>
            <w:tcW w:w="2000" w:type="dxa"/>
          </w:tcPr>
          <w:p>
            <w:r>
              <w:t xml:space="preserve">SCADA</w:t>
            </w:r>
          </w:p>
        </w:tc>
        <w:tc>
          <w:tcPr>
            <w:tcW w:w="7000" w:type="dxa"/>
          </w:tcPr>
          <w:p>
            <w:r>
              <w:t xml:space="preserve">Wind-Farm Management System server in control room</w:t>
            </w:r>
          </w:p>
        </w:tc>
      </w:tr>
    </w:tbl>
    <w:p/>
    <w:p>
      <w:pPr>
        <w:pStyle w:val="Normal"/>
      </w:pPr>
    </w:p>
    <w:p>
      <w:pPr>
        <w:pStyle w:val="Heading2"/>
      </w:pPr>
      <w:r>
        <w:t xml:space="preserve">3.3 Protection Schedule</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2500"/>
        <w:gridCol w:w="3200"/>
        <w:gridCol w:w="3300"/>
      </w:tblGrid>
      <w:tr>
        <w:tc>
          <w:tcPr>
            <w:tcW w:w="2500" w:type="dxa"/>
            <w:shd w:val="clear" w:color="auto" w:fill="1F3864"/>
          </w:tcPr>
          <w:p>
            <w:r>
              <w:rPr>
                <w:b/>
                <w:color w:val="FFFFFF"/>
              </w:rPr>
              <w:t xml:space="preserve">Equipment</w:t>
            </w:r>
          </w:p>
        </w:tc>
        <w:tc>
          <w:tcPr>
            <w:tcW w:w="3200" w:type="dxa"/>
            <w:shd w:val="clear" w:color="auto" w:fill="1F3864"/>
          </w:tcPr>
          <w:p>
            <w:r>
              <w:rPr>
                <w:b/>
                <w:color w:val="FFFFFF"/>
              </w:rPr>
              <w:t xml:space="preserve">Primary Protection</w:t>
            </w:r>
          </w:p>
        </w:tc>
        <w:tc>
          <w:tcPr>
            <w:tcW w:w="3300" w:type="dxa"/>
            <w:shd w:val="clear" w:color="auto" w:fill="1F3864"/>
          </w:tcPr>
          <w:p>
            <w:r>
              <w:rPr>
                <w:b/>
                <w:color w:val="FFFFFF"/>
              </w:rPr>
              <w:t xml:space="preserve">Backup Protection</w:t>
            </w:r>
          </w:p>
        </w:tc>
      </w:tr>
      <w:tr>
        <w:tc>
          <w:tcPr>
            <w:tcW w:w="2500" w:type="dxa"/>
          </w:tcPr>
          <w:p>
            <w:r>
              <w:t xml:space="preserve">Pad-mount T-1xx</w:t>
            </w:r>
          </w:p>
        </w:tc>
        <w:tc>
          <w:tcPr>
            <w:tcW w:w="3200" w:type="dxa"/>
          </w:tcPr>
          <w:p>
            <w:r>
              <w:t xml:space="preserve">Buchholz relay, winding temp</w:t>
            </w:r>
          </w:p>
        </w:tc>
        <w:tc>
          <w:tcPr>
            <w:tcW w:w="3300" w:type="dxa"/>
          </w:tcPr>
          <w:p>
            <w:r>
              <w:t xml:space="preserve">Differential 87T, overcurrent 51</w:t>
            </w:r>
          </w:p>
        </w:tc>
      </w:tr>
      <w:tr>
        <w:tc>
          <w:tcPr>
            <w:tcW w:w="2500" w:type="dxa"/>
            <w:shd w:val="clear" w:color="auto" w:fill="EBF3FB"/>
          </w:tcPr>
          <w:p>
            <w:r>
              <w:t xml:space="preserve">33 kV feeder</w:t>
            </w:r>
          </w:p>
        </w:tc>
        <w:tc>
          <w:tcPr>
            <w:tcW w:w="3200" w:type="dxa"/>
            <w:shd w:val="clear" w:color="auto" w:fill="EBF3FB"/>
          </w:tcPr>
          <w:p>
            <w:r>
              <w:t xml:space="preserve">Directional overcurrent 67</w:t>
            </w:r>
          </w:p>
        </w:tc>
        <w:tc>
          <w:tcPr>
            <w:tcW w:w="3300" w:type="dxa"/>
            <w:shd w:val="clear" w:color="auto" w:fill="EBF3FB"/>
          </w:tcPr>
          <w:p>
            <w:r>
              <w:t xml:space="preserve">Time-overcurrent 51, earth-fault 51N</w:t>
            </w:r>
          </w:p>
        </w:tc>
      </w:tr>
      <w:tr>
        <w:tc>
          <w:tcPr>
            <w:tcW w:w="2500" w:type="dxa"/>
          </w:tcPr>
          <w:p>
            <w:r>
              <w:t xml:space="preserve">Main transformer T-200</w:t>
            </w:r>
          </w:p>
        </w:tc>
        <w:tc>
          <w:tcPr>
            <w:tcW w:w="3200" w:type="dxa"/>
          </w:tcPr>
          <w:p>
            <w:r>
              <w:t xml:space="preserve">Differential 87T, REF 64</w:t>
            </w:r>
          </w:p>
        </w:tc>
        <w:tc>
          <w:tcPr>
            <w:tcW w:w="3300" w:type="dxa"/>
          </w:tcPr>
          <w:p>
            <w:r>
              <w:t xml:space="preserve">Overcurrent 51, overflux 24</w:t>
            </w:r>
          </w:p>
        </w:tc>
      </w:tr>
      <w:tr>
        <w:tc>
          <w:tcPr>
            <w:tcW w:w="2500" w:type="dxa"/>
            <w:shd w:val="clear" w:color="auto" w:fill="EBF3FB"/>
          </w:tcPr>
          <w:p>
            <w:r>
              <w:t xml:space="preserve">115 kV transmission</w:t>
            </w:r>
          </w:p>
        </w:tc>
        <w:tc>
          <w:tcPr>
            <w:tcW w:w="3200" w:type="dxa"/>
            <w:shd w:val="clear" w:color="auto" w:fill="EBF3FB"/>
          </w:tcPr>
          <w:p>
            <w:r>
              <w:t xml:space="preserve">Distance relay 21 (zones 1-3)</w:t>
            </w:r>
          </w:p>
        </w:tc>
        <w:tc>
          <w:tcPr>
            <w:tcW w:w="3300" w:type="dxa"/>
            <w:shd w:val="clear" w:color="auto" w:fill="EBF3FB"/>
          </w:tcPr>
          <w:p>
            <w:r>
              <w:t xml:space="preserve">Pilot communication scheme</w:t>
            </w:r>
          </w:p>
        </w:tc>
      </w:tr>
      <w:tr>
        <w:tc>
          <w:tcPr>
            <w:tcW w:w="2500" w:type="dxa"/>
          </w:tcPr>
          <w:p>
            <w:r>
              <w:t xml:space="preserve">33 kV busbar</w:t>
            </w:r>
          </w:p>
        </w:tc>
        <w:tc>
          <w:tcPr>
            <w:tcW w:w="3200" w:type="dxa"/>
          </w:tcPr>
          <w:p>
            <w:r>
              <w:t xml:space="preserve">Bus-differential 87B</w:t>
            </w:r>
          </w:p>
        </w:tc>
        <w:tc>
          <w:tcPr>
            <w:tcW w:w="3300" w:type="dxa"/>
          </w:tcPr>
          <w:p>
            <w:r>
              <w:t xml:space="preserve">Reverse-blocking OC</w:t>
            </w:r>
          </w:p>
        </w:tc>
      </w:tr>
      <w:tr>
        <w:tc>
          <w:tcPr>
            <w:tcW w:w="2500" w:type="dxa"/>
            <w:shd w:val="clear" w:color="auto" w:fill="EBF3FB"/>
          </w:tcPr>
          <w:p>
            <w:r>
              <w:t xml:space="preserve">Generator G-xxx</w:t>
            </w:r>
          </w:p>
        </w:tc>
        <w:tc>
          <w:tcPr>
            <w:tcW w:w="3200" w:type="dxa"/>
            <w:shd w:val="clear" w:color="auto" w:fill="EBF3FB"/>
          </w:tcPr>
          <w:p>
            <w:r>
              <w:t xml:space="preserve">Anti-islanding, loss-of-excitation 40</w:t>
            </w:r>
          </w:p>
        </w:tc>
        <w:tc>
          <w:tcPr>
            <w:tcW w:w="3300" w:type="dxa"/>
            <w:shd w:val="clear" w:color="auto" w:fill="EBF3FB"/>
          </w:tcPr>
          <w:p>
            <w:r>
              <w:t xml:space="preserve">Under/over voltage &amp; frequency</w:t>
            </w:r>
          </w:p>
        </w:tc>
      </w:tr>
    </w:tbl>
    <w:p/>
    <w:p>
      <w:r>
        <w:br w:type="page"/>
      </w:r>
    </w:p>
    <w:p>
      <w:pPr>
        <w:pStyle w:val="Heading1"/>
      </w:pPr>
      <w:r>
        <w:t xml:space="preserve">Section 4 — Foundation and Anchor Bolt Calculations</w:t>
      </w:r>
    </w:p>
    <w:p>
      <w:pPr>
        <w:pStyle w:val="Normal"/>
      </w:pPr>
      <w:r>
        <w:t xml:space="preserve">Sizing the gravity mat foundation and anchor bolt cage for each turbine tower. Loads derived from IEC 61400-1 Class II; foundation checked per NSCP 2015.</w:t>
      </w:r>
    </w:p>
    <w:p>
      <w:pPr>
        <w:pStyle w:val="Normal"/>
      </w:pPr>
    </w:p>
    <w:p>
      <w:pPr>
        <w:pStyle w:val="Heading2"/>
      </w:pPr>
      <w:r>
        <w:t xml:space="preserve">4.1 Design Loads at Tower Base</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500"/>
        <w:gridCol w:w="1300"/>
        <w:gridCol w:w="2000"/>
        <w:gridCol w:w="2200"/>
      </w:tblGrid>
      <w:tr>
        <w:tc>
          <w:tcPr>
            <w:tcW w:w="3500" w:type="dxa"/>
            <w:shd w:val="clear" w:color="auto" w:fill="1F3864"/>
          </w:tcPr>
          <w:p>
            <w:r>
              <w:rPr>
                <w:b/>
                <w:color w:val="FFFFFF"/>
              </w:rPr>
              <w:t xml:space="preserve">Load</w:t>
            </w:r>
          </w:p>
        </w:tc>
        <w:tc>
          <w:tcPr>
            <w:tcW w:w="1300" w:type="dxa"/>
            <w:shd w:val="clear" w:color="auto" w:fill="1F3864"/>
          </w:tcPr>
          <w:p>
            <w:r>
              <w:rPr>
                <w:b/>
                <w:color w:val="FFFFFF"/>
              </w:rPr>
              <w:t xml:space="preserve">Symbol</w:t>
            </w:r>
          </w:p>
        </w:tc>
        <w:tc>
          <w:tcPr>
            <w:tcW w:w="2000" w:type="dxa"/>
            <w:shd w:val="clear" w:color="auto" w:fill="1F3864"/>
          </w:tcPr>
          <w:p>
            <w:r>
              <w:rPr>
                <w:b/>
                <w:color w:val="FFFFFF"/>
              </w:rPr>
              <w:t xml:space="preserve">Value</w:t>
            </w:r>
          </w:p>
        </w:tc>
        <w:tc>
          <w:tcPr>
            <w:tcW w:w="2200" w:type="dxa"/>
            <w:shd w:val="clear" w:color="auto" w:fill="1F3864"/>
          </w:tcPr>
          <w:p>
            <w:r>
              <w:rPr>
                <w:b/>
                <w:color w:val="FFFFFF"/>
              </w:rPr>
              <w:t xml:space="preserve">Source</w:t>
            </w:r>
          </w:p>
        </w:tc>
      </w:tr>
      <w:tr>
        <w:tc>
          <w:tcPr>
            <w:tcW w:w="3500" w:type="dxa"/>
          </w:tcPr>
          <w:p>
            <w:r>
              <w:t xml:space="preserve">Vertical dead load (rotor+nacelle+tower)</w:t>
            </w:r>
          </w:p>
        </w:tc>
        <w:tc>
          <w:tcPr>
            <w:tcW w:w="1300" w:type="dxa"/>
          </w:tcPr>
          <w:p>
            <w:r>
              <w:t xml:space="preserve">F_z</w:t>
            </w:r>
          </w:p>
        </w:tc>
        <w:tc>
          <w:tcPr>
            <w:tcW w:w="2000" w:type="dxa"/>
          </w:tcPr>
          <w:p>
            <w:r>
              <w:t xml:space="preserve">4,200 kN</w:t>
            </w:r>
          </w:p>
        </w:tc>
        <w:tc>
          <w:tcPr>
            <w:tcW w:w="2200" w:type="dxa"/>
          </w:tcPr>
          <w:p>
            <w:r>
              <w:t xml:space="preserve">Manufacturer load table</w:t>
            </w:r>
          </w:p>
        </w:tc>
      </w:tr>
      <w:tr>
        <w:tc>
          <w:tcPr>
            <w:tcW w:w="3500" w:type="dxa"/>
            <w:shd w:val="clear" w:color="auto" w:fill="EBF3FB"/>
          </w:tcPr>
          <w:p>
            <w:r>
              <w:t xml:space="preserve">Extreme thrust (DLC 1.3 / 6.2)</w:t>
            </w:r>
          </w:p>
        </w:tc>
        <w:tc>
          <w:tcPr>
            <w:tcW w:w="1300" w:type="dxa"/>
            <w:shd w:val="clear" w:color="auto" w:fill="EBF3FB"/>
          </w:tcPr>
          <w:p>
            <w:r>
              <w:t xml:space="preserve">F_y</w:t>
            </w:r>
          </w:p>
        </w:tc>
        <w:tc>
          <w:tcPr>
            <w:tcW w:w="2000" w:type="dxa"/>
            <w:shd w:val="clear" w:color="auto" w:fill="EBF3FB"/>
          </w:tcPr>
          <w:p>
            <w:r>
              <w:t xml:space="preserve">1,050 kN</w:t>
            </w:r>
          </w:p>
        </w:tc>
        <w:tc>
          <w:tcPr>
            <w:tcW w:w="2200" w:type="dxa"/>
            <w:shd w:val="clear" w:color="auto" w:fill="EBF3FB"/>
          </w:tcPr>
          <w:p>
            <w:r>
              <w:t xml:space="preserve">IEC 61400-1 Class II</w:t>
            </w:r>
          </w:p>
        </w:tc>
      </w:tr>
      <w:tr>
        <w:tc>
          <w:tcPr>
            <w:tcW w:w="3500" w:type="dxa"/>
          </w:tcPr>
          <w:p>
            <w:r>
              <w:t xml:space="preserve">Overturning moment at base</w:t>
            </w:r>
          </w:p>
        </w:tc>
        <w:tc>
          <w:tcPr>
            <w:tcW w:w="1300" w:type="dxa"/>
          </w:tcPr>
          <w:p>
            <w:r>
              <w:t xml:space="preserve">M_y</w:t>
            </w:r>
          </w:p>
        </w:tc>
        <w:tc>
          <w:tcPr>
            <w:tcW w:w="2000" w:type="dxa"/>
          </w:tcPr>
          <w:p>
            <w:r>
              <w:t xml:space="preserve">115,000 kN·m</w:t>
            </w:r>
          </w:p>
        </w:tc>
        <w:tc>
          <w:tcPr>
            <w:tcW w:w="2200" w:type="dxa"/>
          </w:tcPr>
          <w:p>
            <w:r>
              <w:t xml:space="preserve">F_y × 100 m hub + lever arm</w:t>
            </w:r>
          </w:p>
        </w:tc>
      </w:tr>
      <w:tr>
        <w:tc>
          <w:tcPr>
            <w:tcW w:w="3500" w:type="dxa"/>
            <w:shd w:val="clear" w:color="auto" w:fill="EBF3FB"/>
          </w:tcPr>
          <w:p>
            <w:r>
              <w:t xml:space="preserve">Torsional moment</w:t>
            </w:r>
          </w:p>
        </w:tc>
        <w:tc>
          <w:tcPr>
            <w:tcW w:w="1300" w:type="dxa"/>
            <w:shd w:val="clear" w:color="auto" w:fill="EBF3FB"/>
          </w:tcPr>
          <w:p>
            <w:r>
              <w:t xml:space="preserve">M_z</w:t>
            </w:r>
          </w:p>
        </w:tc>
        <w:tc>
          <w:tcPr>
            <w:tcW w:w="2000" w:type="dxa"/>
            <w:shd w:val="clear" w:color="auto" w:fill="EBF3FB"/>
          </w:tcPr>
          <w:p>
            <w:r>
              <w:t xml:space="preserve">8,500 kN·m</w:t>
            </w:r>
          </w:p>
        </w:tc>
        <w:tc>
          <w:tcPr>
            <w:tcW w:w="2200" w:type="dxa"/>
            <w:shd w:val="clear" w:color="auto" w:fill="EBF3FB"/>
          </w:tcPr>
          <w:p>
            <w:r>
              <w:t xml:space="preserve">Extreme yaw + misalignment</w:t>
            </w:r>
          </w:p>
        </w:tc>
      </w:tr>
    </w:tbl>
    <w:p/>
    <w:p>
      <w:pPr>
        <w:pStyle w:val="Normal"/>
      </w:pPr>
    </w:p>
    <w:p>
      <w:pPr>
        <w:pStyle w:val="Heading2"/>
      </w:pPr>
      <w:r>
        <w:t xml:space="preserve">4.2 Octagonal Gravity Mat — Sizing</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800"/>
        <w:gridCol w:w="2500"/>
        <w:gridCol w:w="2700"/>
      </w:tblGrid>
      <w:tr>
        <w:tc>
          <w:tcPr>
            <w:tcW w:w="3800" w:type="dxa"/>
            <w:shd w:val="clear" w:color="auto" w:fill="1F3864"/>
          </w:tcPr>
          <w:p>
            <w:r>
              <w:rPr>
                <w:b/>
                <w:color w:val="FFFFFF"/>
              </w:rPr>
              <w:t xml:space="preserve">Parameter</w:t>
            </w:r>
          </w:p>
        </w:tc>
        <w:tc>
          <w:tcPr>
            <w:tcW w:w="2500" w:type="dxa"/>
            <w:shd w:val="clear" w:color="auto" w:fill="1F3864"/>
          </w:tcPr>
          <w:p>
            <w:r>
              <w:rPr>
                <w:b/>
                <w:color w:val="FFFFFF"/>
              </w:rPr>
              <w:t xml:space="preserve">Value</w:t>
            </w:r>
          </w:p>
        </w:tc>
        <w:tc>
          <w:tcPr>
            <w:tcW w:w="2700" w:type="dxa"/>
            <w:shd w:val="clear" w:color="auto" w:fill="1F3864"/>
          </w:tcPr>
          <w:p>
            <w:r>
              <w:rPr>
                <w:b/>
                <w:color w:val="FFFFFF"/>
              </w:rPr>
              <w:t xml:space="preserve">Note</w:t>
            </w:r>
          </w:p>
        </w:tc>
      </w:tr>
      <w:tr>
        <w:tc>
          <w:tcPr>
            <w:tcW w:w="3800" w:type="dxa"/>
          </w:tcPr>
          <w:p>
            <w:r>
              <w:t xml:space="preserve">Outer diameter (across flats)</w:t>
            </w:r>
          </w:p>
        </w:tc>
        <w:tc>
          <w:tcPr>
            <w:tcW w:w="2500" w:type="dxa"/>
          </w:tcPr>
          <w:p>
            <w:r>
              <w:t xml:space="preserve">21.0 m</w:t>
            </w:r>
          </w:p>
        </w:tc>
        <w:tc>
          <w:tcPr>
            <w:tcW w:w="2700" w:type="dxa"/>
          </w:tcPr>
          <w:p>
            <w:r>
              <w:t xml:space="preserve">Trial — checked below</w:t>
            </w:r>
          </w:p>
        </w:tc>
      </w:tr>
      <w:tr>
        <w:tc>
          <w:tcPr>
            <w:tcW w:w="3800" w:type="dxa"/>
            <w:shd w:val="clear" w:color="auto" w:fill="EBF3FB"/>
          </w:tcPr>
          <w:p>
            <w:r>
              <w:t xml:space="preserve">Slab thickness</w:t>
            </w:r>
          </w:p>
        </w:tc>
        <w:tc>
          <w:tcPr>
            <w:tcW w:w="2500" w:type="dxa"/>
            <w:shd w:val="clear" w:color="auto" w:fill="EBF3FB"/>
          </w:tcPr>
          <w:p>
            <w:r>
              <w:t xml:space="preserve">1.0 m edge / 3.0 m center</w:t>
            </w:r>
          </w:p>
        </w:tc>
        <w:tc>
          <w:tcPr>
            <w:tcW w:w="2700" w:type="dxa"/>
            <w:shd w:val="clear" w:color="auto" w:fill="EBF3FB"/>
          </w:tcPr>
          <w:p>
            <w:r>
              <w:t xml:space="preserve">Tapered frustum</w:t>
            </w:r>
          </w:p>
        </w:tc>
      </w:tr>
      <w:tr>
        <w:tc>
          <w:tcPr>
            <w:tcW w:w="3800" w:type="dxa"/>
          </w:tcPr>
          <w:p>
            <w:r>
              <w:t xml:space="preserve">Concrete grade</w:t>
            </w:r>
          </w:p>
        </w:tc>
        <w:tc>
          <w:tcPr>
            <w:tcW w:w="2500" w:type="dxa"/>
          </w:tcPr>
          <w:p>
            <w:r>
              <w:t xml:space="preserve">fc' = 35 MPa</w:t>
            </w:r>
          </w:p>
        </w:tc>
        <w:tc>
          <w:tcPr>
            <w:tcW w:w="2700" w:type="dxa"/>
          </w:tcPr>
          <w:p>
            <w:r>
              <w:t xml:space="preserve">ACI 318 / NSCP 2015</w:t>
            </w:r>
          </w:p>
        </w:tc>
      </w:tr>
      <w:tr>
        <w:tc>
          <w:tcPr>
            <w:tcW w:w="3800" w:type="dxa"/>
            <w:shd w:val="clear" w:color="auto" w:fill="EBF3FB"/>
          </w:tcPr>
          <w:p>
            <w:r>
              <w:t xml:space="preserve">Reinforcement</w:t>
            </w:r>
          </w:p>
        </w:tc>
        <w:tc>
          <w:tcPr>
            <w:tcW w:w="2500" w:type="dxa"/>
            <w:shd w:val="clear" w:color="auto" w:fill="EBF3FB"/>
          </w:tcPr>
          <w:p>
            <w:r>
              <w:t xml:space="preserve">Grade 60, fy = 414 MPa</w:t>
            </w:r>
          </w:p>
        </w:tc>
        <w:tc>
          <w:tcPr>
            <w:tcW w:w="2700" w:type="dxa"/>
            <w:shd w:val="clear" w:color="auto" w:fill="EBF3FB"/>
          </w:tcPr>
          <w:p>
            <w:r>
              <w:t xml:space="preserve">Top + bottom mats, both ways</w:t>
            </w:r>
          </w:p>
        </w:tc>
      </w:tr>
      <w:tr>
        <w:tc>
          <w:tcPr>
            <w:tcW w:w="3800" w:type="dxa"/>
          </w:tcPr>
          <w:p>
            <w:r>
              <w:t xml:space="preserve">Concrete volume</w:t>
            </w:r>
          </w:p>
        </w:tc>
        <w:tc>
          <w:tcPr>
            <w:tcW w:w="2500" w:type="dxa"/>
          </w:tcPr>
          <w:p>
            <w:r>
              <w:t xml:space="preserve">≈ 590 m³</w:t>
            </w:r>
          </w:p>
        </w:tc>
        <w:tc>
          <w:tcPr>
            <w:tcW w:w="2700" w:type="dxa"/>
          </w:tcPr>
          <w:p>
            <w:r>
              <w:t xml:space="preserve">Octagonal frustum formula</w:t>
            </w:r>
          </w:p>
        </w:tc>
      </w:tr>
      <w:tr>
        <w:tc>
          <w:tcPr>
            <w:tcW w:w="3800" w:type="dxa"/>
            <w:shd w:val="clear" w:color="auto" w:fill="EBF3FB"/>
          </w:tcPr>
          <w:p>
            <w:r>
              <w:t xml:space="preserve">Foundation self-weight (W_f)</w:t>
            </w:r>
          </w:p>
        </w:tc>
        <w:tc>
          <w:tcPr>
            <w:tcW w:w="2500" w:type="dxa"/>
            <w:shd w:val="clear" w:color="auto" w:fill="EBF3FB"/>
          </w:tcPr>
          <w:p>
            <w:r>
              <w:t xml:space="preserve">14,160 kN</w:t>
            </w:r>
          </w:p>
        </w:tc>
        <w:tc>
          <w:tcPr>
            <w:tcW w:w="2700" w:type="dxa"/>
            <w:shd w:val="clear" w:color="auto" w:fill="EBF3FB"/>
          </w:tcPr>
          <w:p>
            <w:r>
              <w:t xml:space="preserve">γ_c = 24 kN/m³</w:t>
            </w:r>
          </w:p>
        </w:tc>
      </w:tr>
      <w:tr>
        <w:tc>
          <w:tcPr>
            <w:tcW w:w="3800" w:type="dxa"/>
          </w:tcPr>
          <w:p>
            <w:r>
              <w:t xml:space="preserve">Soil cover (1.0 m depth × 380 m²)</w:t>
            </w:r>
          </w:p>
        </w:tc>
        <w:tc>
          <w:tcPr>
            <w:tcW w:w="2500" w:type="dxa"/>
          </w:tcPr>
          <w:p>
            <w:r>
              <w:t xml:space="preserve">6,840 kN</w:t>
            </w:r>
          </w:p>
        </w:tc>
        <w:tc>
          <w:tcPr>
            <w:tcW w:w="2700" w:type="dxa"/>
          </w:tcPr>
          <w:p>
            <w:r>
              <w:t xml:space="preserve">γ_s = 18 kN/m³</w:t>
            </w:r>
          </w:p>
        </w:tc>
      </w:tr>
      <w:tr>
        <w:tc>
          <w:tcPr>
            <w:tcW w:w="3800" w:type="dxa"/>
            <w:shd w:val="clear" w:color="auto" w:fill="EBF3FB"/>
          </w:tcPr>
          <w:p>
            <w:r>
              <w:t xml:space="preserve">Total stabilizing weight (W_total)</w:t>
            </w:r>
          </w:p>
        </w:tc>
        <w:tc>
          <w:tcPr>
            <w:tcW w:w="2500" w:type="dxa"/>
            <w:shd w:val="clear" w:color="auto" w:fill="EBF3FB"/>
          </w:tcPr>
          <w:p>
            <w:r>
              <w:t xml:space="preserve">25,200 kN</w:t>
            </w:r>
          </w:p>
        </w:tc>
        <w:tc>
          <w:tcPr>
            <w:tcW w:w="2700" w:type="dxa"/>
            <w:shd w:val="clear" w:color="auto" w:fill="EBF3FB"/>
          </w:tcPr>
          <w:p>
            <w:r>
              <w:t xml:space="preserve">F_z + W_f + W_soil</w:t>
            </w:r>
          </w:p>
        </w:tc>
      </w:tr>
      <w:tr>
        <w:tc>
          <w:tcPr>
            <w:tcW w:w="3800" w:type="dxa"/>
          </w:tcPr>
          <w:p>
            <w:r>
              <w:t xml:space="preserve">Lever arm to edge (e = D/2)</w:t>
            </w:r>
          </w:p>
        </w:tc>
        <w:tc>
          <w:tcPr>
            <w:tcW w:w="2500" w:type="dxa"/>
          </w:tcPr>
          <w:p>
            <w:r>
              <w:t xml:space="preserve">10.5 m</w:t>
            </w:r>
          </w:p>
        </w:tc>
        <w:tc>
          <w:tcPr>
            <w:tcW w:w="2700" w:type="dxa"/>
          </w:tcPr>
          <w:p>
            <w:r>
              <w:t xml:space="preserve"/>
            </w:r>
          </w:p>
        </w:tc>
      </w:tr>
      <w:tr>
        <w:tc>
          <w:tcPr>
            <w:tcW w:w="3800" w:type="dxa"/>
            <w:shd w:val="clear" w:color="auto" w:fill="EBF3FB"/>
          </w:tcPr>
          <w:p>
            <w:r>
              <w:t xml:space="preserve">Stabilizing moment (M_s = W_total × e)</w:t>
            </w:r>
          </w:p>
        </w:tc>
        <w:tc>
          <w:tcPr>
            <w:tcW w:w="2500" w:type="dxa"/>
            <w:shd w:val="clear" w:color="auto" w:fill="EBF3FB"/>
          </w:tcPr>
          <w:p>
            <w:r>
              <w:t xml:space="preserve">264,600 kN·m</w:t>
            </w:r>
          </w:p>
        </w:tc>
        <w:tc>
          <w:tcPr>
            <w:tcW w:w="2700" w:type="dxa"/>
            <w:shd w:val="clear" w:color="auto" w:fill="EBF3FB"/>
          </w:tcPr>
          <w:p>
            <w:r>
              <w:t xml:space="preserve"/>
            </w:r>
          </w:p>
        </w:tc>
      </w:tr>
      <w:tr>
        <w:tc>
          <w:tcPr>
            <w:tcW w:w="3800" w:type="dxa"/>
          </w:tcPr>
          <w:p>
            <w:r>
              <w:t xml:space="preserve">Safety factor vs overturning (M_s/M_y)</w:t>
            </w:r>
          </w:p>
        </w:tc>
        <w:tc>
          <w:tcPr>
            <w:tcW w:w="2500" w:type="dxa"/>
          </w:tcPr>
          <w:p>
            <w:r>
              <w:t xml:space="preserve">2.30</w:t>
            </w:r>
          </w:p>
        </w:tc>
        <w:tc>
          <w:tcPr>
            <w:tcW w:w="2700" w:type="dxa"/>
          </w:tcPr>
          <w:p>
            <w:r>
              <w:t xml:space="preserve">Required ≥ 1.5 ✓ PASS</w:t>
            </w:r>
          </w:p>
        </w:tc>
      </w:tr>
      <w:tr>
        <w:tc>
          <w:tcPr>
            <w:tcW w:w="3800" w:type="dxa"/>
            <w:shd w:val="clear" w:color="auto" w:fill="EBF3FB"/>
          </w:tcPr>
          <w:p>
            <w:r>
              <w:t xml:space="preserve">Max edge bearing pressure</w:t>
            </w:r>
          </w:p>
        </w:tc>
        <w:tc>
          <w:tcPr>
            <w:tcW w:w="2500" w:type="dxa"/>
            <w:shd w:val="clear" w:color="auto" w:fill="EBF3FB"/>
          </w:tcPr>
          <w:p>
            <w:r>
              <w:t xml:space="preserve">≈ 175 kPa</w:t>
            </w:r>
          </w:p>
        </w:tc>
        <w:tc>
          <w:tcPr>
            <w:tcW w:w="2700" w:type="dxa"/>
            <w:shd w:val="clear" w:color="auto" w:fill="EBF3FB"/>
          </w:tcPr>
          <w:p>
            <w:r>
              <w:t xml:space="preserve">Trapezoidal dist.</w:t>
            </w:r>
          </w:p>
        </w:tc>
      </w:tr>
      <w:tr>
        <w:tc>
          <w:tcPr>
            <w:tcW w:w="3800" w:type="dxa"/>
          </w:tcPr>
          <w:p>
            <w:r>
              <w:t xml:space="preserve">Required allowable bearing capacity</w:t>
            </w:r>
          </w:p>
        </w:tc>
        <w:tc>
          <w:tcPr>
            <w:tcW w:w="2500" w:type="dxa"/>
          </w:tcPr>
          <w:p>
            <w:r>
              <w:t xml:space="preserve">≥ 250 kPa</w:t>
            </w:r>
          </w:p>
        </w:tc>
        <w:tc>
          <w:tcPr>
            <w:tcW w:w="2700" w:type="dxa"/>
          </w:tcPr>
          <w:p>
            <w:r>
              <w:t xml:space="preserve">Geotech investigation required</w:t>
            </w:r>
          </w:p>
        </w:tc>
      </w:tr>
    </w:tbl>
    <w:p/>
    <w:p>
      <w:pPr>
        <w:pStyle w:val="Normal"/>
      </w:pPr>
    </w:p>
    <w:p>
      <w:pPr>
        <w:pStyle w:val="Heading2"/>
      </w:pPr>
      <w:r>
        <w:t xml:space="preserve">4.3 Anchor Bolt Cage</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500"/>
        <w:gridCol w:w="3000"/>
        <w:gridCol w:w="2500"/>
      </w:tblGrid>
      <w:tr>
        <w:tc>
          <w:tcPr>
            <w:tcW w:w="3500" w:type="dxa"/>
            <w:shd w:val="clear" w:color="auto" w:fill="1F3864"/>
          </w:tcPr>
          <w:p>
            <w:r>
              <w:rPr>
                <w:b/>
                <w:color w:val="FFFFFF"/>
              </w:rPr>
              <w:t xml:space="preserve">Parameter</w:t>
            </w:r>
          </w:p>
        </w:tc>
        <w:tc>
          <w:tcPr>
            <w:tcW w:w="3000" w:type="dxa"/>
            <w:shd w:val="clear" w:color="auto" w:fill="1F3864"/>
          </w:tcPr>
          <w:p>
            <w:r>
              <w:rPr>
                <w:b/>
                <w:color w:val="FFFFFF"/>
              </w:rPr>
              <w:t xml:space="preserve">Value</w:t>
            </w:r>
          </w:p>
        </w:tc>
        <w:tc>
          <w:tcPr>
            <w:tcW w:w="2500" w:type="dxa"/>
            <w:shd w:val="clear" w:color="auto" w:fill="1F3864"/>
          </w:tcPr>
          <w:p>
            <w:r>
              <w:rPr>
                <w:b/>
                <w:color w:val="FFFFFF"/>
              </w:rPr>
              <w:t xml:space="preserve">Basis</w:t>
            </w:r>
          </w:p>
        </w:tc>
      </w:tr>
      <w:tr>
        <w:tc>
          <w:tcPr>
            <w:tcW w:w="3500" w:type="dxa"/>
          </w:tcPr>
          <w:p>
            <w:r>
              <w:t xml:space="preserve">Total bolts</w:t>
            </w:r>
          </w:p>
        </w:tc>
        <w:tc>
          <w:tcPr>
            <w:tcW w:w="3000" w:type="dxa"/>
          </w:tcPr>
          <w:p>
            <w:r>
              <w:t xml:space="preserve">144 (72 inner + 72 outer)</w:t>
            </w:r>
          </w:p>
        </w:tc>
        <w:tc>
          <w:tcPr>
            <w:tcW w:w="2500" w:type="dxa"/>
          </w:tcPr>
          <w:p>
            <w:r>
              <w:t xml:space="preserve">5 MW class industry standard</w:t>
            </w:r>
          </w:p>
        </w:tc>
      </w:tr>
      <w:tr>
        <w:tc>
          <w:tcPr>
            <w:tcW w:w="3500" w:type="dxa"/>
            <w:shd w:val="clear" w:color="auto" w:fill="EBF3FB"/>
          </w:tcPr>
          <w:p>
            <w:r>
              <w:t xml:space="preserve">Bolt grade</w:t>
            </w:r>
          </w:p>
        </w:tc>
        <w:tc>
          <w:tcPr>
            <w:tcW w:w="3000" w:type="dxa"/>
            <w:shd w:val="clear" w:color="auto" w:fill="EBF3FB"/>
          </w:tcPr>
          <w:p>
            <w:r>
              <w:t xml:space="preserve">ISO 898-1 Class 10.9, fy ≈ 900 MPa</w:t>
            </w:r>
          </w:p>
        </w:tc>
        <w:tc>
          <w:tcPr>
            <w:tcW w:w="2500" w:type="dxa"/>
            <w:shd w:val="clear" w:color="auto" w:fill="EBF3FB"/>
          </w:tcPr>
          <w:p>
            <w:r>
              <w:t xml:space="preserve">High-strength structural</w:t>
            </w:r>
          </w:p>
        </w:tc>
      </w:tr>
      <w:tr>
        <w:tc>
          <w:tcPr>
            <w:tcW w:w="3500" w:type="dxa"/>
          </w:tcPr>
          <w:p>
            <w:r>
              <w:t xml:space="preserve">Bolt size</w:t>
            </w:r>
          </w:p>
        </w:tc>
        <w:tc>
          <w:tcPr>
            <w:tcW w:w="3000" w:type="dxa"/>
          </w:tcPr>
          <w:p>
            <w:r>
              <w:t xml:space="preserve">M48 — effective stress area Aₛ = 1,470 mm²</w:t>
            </w:r>
          </w:p>
        </w:tc>
        <w:tc>
          <w:tcPr>
            <w:tcW w:w="2500" w:type="dxa"/>
          </w:tcPr>
          <w:p>
            <w:r>
              <w:t xml:space="preserve"/>
            </w:r>
          </w:p>
        </w:tc>
      </w:tr>
      <w:tr>
        <w:tc>
          <w:tcPr>
            <w:tcW w:w="3500" w:type="dxa"/>
            <w:shd w:val="clear" w:color="auto" w:fill="EBF3FB"/>
          </w:tcPr>
          <w:p>
            <w:r>
              <w:t xml:space="preserve">Embedded length</w:t>
            </w:r>
          </w:p>
        </w:tc>
        <w:tc>
          <w:tcPr>
            <w:tcW w:w="3000" w:type="dxa"/>
            <w:shd w:val="clear" w:color="auto" w:fill="EBF3FB"/>
          </w:tcPr>
          <w:p>
            <w:r>
              <w:t xml:space="preserve">5,500 mm total</w:t>
            </w:r>
          </w:p>
        </w:tc>
        <w:tc>
          <w:tcPr>
            <w:tcW w:w="2500" w:type="dxa"/>
            <w:shd w:val="clear" w:color="auto" w:fill="EBF3FB"/>
          </w:tcPr>
          <w:p>
            <w:r>
              <w:t xml:space="preserve">Full-depth anchorage</w:t>
            </w:r>
          </w:p>
        </w:tc>
      </w:tr>
      <w:tr>
        <w:tc>
          <w:tcPr>
            <w:tcW w:w="3500" w:type="dxa"/>
          </w:tcPr>
          <w:p>
            <w:r>
              <w:t xml:space="preserve">PCD (pitch circle dia)</w:t>
            </w:r>
          </w:p>
        </w:tc>
        <w:tc>
          <w:tcPr>
            <w:tcW w:w="3000" w:type="dxa"/>
          </w:tcPr>
          <w:p>
            <w:r>
              <w:t xml:space="preserve">Inner 4.20 m / Outer 4.90 m</w:t>
            </w:r>
          </w:p>
        </w:tc>
        <w:tc>
          <w:tcPr>
            <w:tcW w:w="2500" w:type="dxa"/>
          </w:tcPr>
          <w:p>
            <w:r>
              <w:t xml:space="preserve">Matches tower base flange</w:t>
            </w:r>
          </w:p>
        </w:tc>
      </w:tr>
      <w:tr>
        <w:tc>
          <w:tcPr>
            <w:tcW w:w="3500" w:type="dxa"/>
            <w:shd w:val="clear" w:color="auto" w:fill="EBF3FB"/>
          </w:tcPr>
          <w:p>
            <w:r>
              <w:t xml:space="preserve">Allowable tension per bolt (Pt)</w:t>
            </w:r>
          </w:p>
        </w:tc>
        <w:tc>
          <w:tcPr>
            <w:tcW w:w="3000" w:type="dxa"/>
            <w:shd w:val="clear" w:color="auto" w:fill="EBF3FB"/>
          </w:tcPr>
          <w:p>
            <w:r>
              <w:t xml:space="preserve">= Aₛ × 0.7 × fy = 925 kN</w:t>
            </w:r>
          </w:p>
        </w:tc>
        <w:tc>
          <w:tcPr>
            <w:tcW w:w="2500" w:type="dxa"/>
            <w:shd w:val="clear" w:color="auto" w:fill="EBF3FB"/>
          </w:tcPr>
          <w:p>
            <w:r>
              <w:t xml:space="preserve">FoS = 1.5 applied</w:t>
            </w:r>
          </w:p>
        </w:tc>
      </w:tr>
      <w:tr>
        <w:tc>
          <w:tcPr>
            <w:tcW w:w="3500" w:type="dxa"/>
          </w:tcPr>
          <w:p>
            <w:r>
              <w:t xml:space="preserve">Max bolt tension (T_max)</w:t>
            </w:r>
          </w:p>
        </w:tc>
        <w:tc>
          <w:tcPr>
            <w:tcW w:w="3000" w:type="dxa"/>
          </w:tcPr>
          <w:p>
            <w:r>
              <w:t xml:space="preserve">= M_y × c / I_bolt-group ≈ 605 kN</w:t>
            </w:r>
          </w:p>
        </w:tc>
        <w:tc>
          <w:tcPr>
            <w:tcW w:w="2500" w:type="dxa"/>
          </w:tcPr>
          <w:p>
            <w:r>
              <w:t xml:space="preserve">Linear bolt-group method</w:t>
            </w:r>
          </w:p>
        </w:tc>
      </w:tr>
      <w:tr>
        <w:tc>
          <w:tcPr>
            <w:tcW w:w="3500" w:type="dxa"/>
            <w:shd w:val="clear" w:color="auto" w:fill="EBF3FB"/>
          </w:tcPr>
          <w:p>
            <w:r>
              <w:t xml:space="preserve">Utilization (T_max/Pt)</w:t>
            </w:r>
          </w:p>
        </w:tc>
        <w:tc>
          <w:tcPr>
            <w:tcW w:w="3000" w:type="dxa"/>
            <w:shd w:val="clear" w:color="auto" w:fill="EBF3FB"/>
          </w:tcPr>
          <w:p>
            <w:r>
              <w:t xml:space="preserve">65%</w:t>
            </w:r>
          </w:p>
        </w:tc>
        <w:tc>
          <w:tcPr>
            <w:tcW w:w="2500" w:type="dxa"/>
            <w:shd w:val="clear" w:color="auto" w:fill="EBF3FB"/>
          </w:tcPr>
          <w:p>
            <w:r>
              <w:t xml:space="preserve">Required ≤ 85% ✓ PASS</w:t>
            </w:r>
          </w:p>
        </w:tc>
      </w:tr>
      <w:tr>
        <w:tc>
          <w:tcPr>
            <w:tcW w:w="3500" w:type="dxa"/>
          </w:tcPr>
          <w:p>
            <w:r>
              <w:t xml:space="preserve">Pretension torque</w:t>
            </w:r>
          </w:p>
        </w:tc>
        <w:tc>
          <w:tcPr>
            <w:tcW w:w="3000" w:type="dxa"/>
          </w:tcPr>
          <w:p>
            <w:r>
              <w:t xml:space="preserve">≈ 4,200 N·m via hydraulic tensioner</w:t>
            </w:r>
          </w:p>
        </w:tc>
        <w:tc>
          <w:tcPr>
            <w:tcW w:w="2500" w:type="dxa"/>
          </w:tcPr>
          <w:p>
            <w:r>
              <w:t xml:space="preserve">70% fy, IEC 61400-6</w:t>
            </w:r>
          </w:p>
        </w:tc>
      </w:tr>
      <w:tr>
        <w:tc>
          <w:tcPr>
            <w:tcW w:w="3500" w:type="dxa"/>
            <w:shd w:val="clear" w:color="auto" w:fill="EBF3FB"/>
          </w:tcPr>
          <w:p>
            <w:r>
              <w:t xml:space="preserve">Fatigue class</w:t>
            </w:r>
          </w:p>
        </w:tc>
        <w:tc>
          <w:tcPr>
            <w:tcW w:w="3000" w:type="dxa"/>
            <w:shd w:val="clear" w:color="auto" w:fill="EBF3FB"/>
          </w:tcPr>
          <w:p>
            <w:r>
              <w:t xml:space="preserve">ISO 1099 S-N Class 71</w:t>
            </w:r>
          </w:p>
        </w:tc>
        <w:tc>
          <w:tcPr>
            <w:tcW w:w="2500" w:type="dxa"/>
            <w:shd w:val="clear" w:color="auto" w:fill="EBF3FB"/>
          </w:tcPr>
          <w:p>
            <w:r>
              <w:t xml:space="preserve">DLC 1.2 normal operation</w:t>
            </w:r>
          </w:p>
        </w:tc>
      </w:tr>
    </w:tbl>
    <w:p/>
    <w:p>
      <w:pPr>
        <w:pStyle w:val="Normal"/>
      </w:pPr>
      <w:r>
        <w:rPr>
          <w:b/>
          <w:color w:val="2E74B5"/>
        </w:rPr>
        <w:t xml:space="preserve">NOTE: </w:t>
      </w:r>
      <w:r>
        <w:rPr>
          <w:i/>
          <w:color w:val="595959"/>
        </w:rPr>
        <w:t xml:space="preserve">These are preliminary sizing calculations. Final design must be certified by a Philippine-licensed Civil/Structural Engineer after geotechnical investigation and review of the actual turbine load report from the supplier.</w:t>
      </w:r>
    </w:p>
    <w:p>
      <w:r>
        <w:br w:type="page"/>
      </w:r>
    </w:p>
    <w:p>
      <w:pPr>
        <w:pStyle w:val="Heading1"/>
      </w:pPr>
      <w:r>
        <w:t xml:space="preserve">Section 5 — Facility Inventory and Floor Areas</w:t>
      </w:r>
    </w:p>
    <w:p>
      <w:pPr>
        <w:pStyle w:val="Normal"/>
      </w:pPr>
      <w:r>
        <w:t xml:space="preserve">All permanent and temporary facilities on the Pasuquin Wind Farm site. Based on the plant layout in Section IV of the original proposal. Land between turbines (~9.45 km²) remains usable for farming and grazing.</w:t>
      </w:r>
    </w:p>
    <w:p>
      <w:pPr>
        <w:pStyle w:val="Normal"/>
      </w:pP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700"/>
        <w:gridCol w:w="3800"/>
        <w:gridCol w:w="2500"/>
        <w:gridCol w:w="2000"/>
      </w:tblGrid>
      <w:tr>
        <w:tc>
          <w:tcPr>
            <w:tcW w:w="700" w:type="dxa"/>
            <w:shd w:val="clear" w:color="auto" w:fill="1F3864"/>
          </w:tcPr>
          <w:p>
            <w:r>
              <w:rPr>
                <w:b/>
                <w:color w:val="FFFFFF"/>
              </w:rPr>
              <w:t xml:space="preserve">No.</w:t>
            </w:r>
          </w:p>
        </w:tc>
        <w:tc>
          <w:tcPr>
            <w:tcW w:w="3800" w:type="dxa"/>
            <w:shd w:val="clear" w:color="auto" w:fill="1F3864"/>
          </w:tcPr>
          <w:p>
            <w:r>
              <w:rPr>
                <w:b/>
                <w:color w:val="FFFFFF"/>
              </w:rPr>
              <w:t xml:space="preserve">Facility</w:t>
            </w:r>
          </w:p>
        </w:tc>
        <w:tc>
          <w:tcPr>
            <w:tcW w:w="2500" w:type="dxa"/>
            <w:shd w:val="clear" w:color="auto" w:fill="1F3864"/>
          </w:tcPr>
          <w:p>
            <w:r>
              <w:rPr>
                <w:b/>
                <w:color w:val="FFFFFF"/>
              </w:rPr>
              <w:t xml:space="preserve">Floor Area (m²)</w:t>
            </w:r>
          </w:p>
        </w:tc>
        <w:tc>
          <w:tcPr>
            <w:tcW w:w="2000" w:type="dxa"/>
            <w:shd w:val="clear" w:color="auto" w:fill="1F3864"/>
          </w:tcPr>
          <w:p>
            <w:r>
              <w:rPr>
                <w:b/>
                <w:color w:val="FFFFFF"/>
              </w:rPr>
              <w:t xml:space="preserve">Function</w:t>
            </w:r>
          </w:p>
        </w:tc>
      </w:tr>
      <w:tr>
        <w:tc>
          <w:tcPr>
            <w:tcW w:w="700" w:type="dxa"/>
          </w:tcPr>
          <w:p>
            <w:r>
              <w:t xml:space="preserve">1</w:t>
            </w:r>
          </w:p>
        </w:tc>
        <w:tc>
          <w:tcPr>
            <w:tcW w:w="3800" w:type="dxa"/>
          </w:tcPr>
          <w:p>
            <w:r>
              <w:t xml:space="preserve">Turbine foundations (20 × ~380 m²)</w:t>
            </w:r>
          </w:p>
        </w:tc>
        <w:tc>
          <w:tcPr>
            <w:tcW w:w="2500" w:type="dxa"/>
          </w:tcPr>
          <w:p>
            <w:r>
              <w:t xml:space="preserve">7,600 *</w:t>
            </w:r>
          </w:p>
        </w:tc>
        <w:tc>
          <w:tcPr>
            <w:tcW w:w="2000" w:type="dxa"/>
          </w:tcPr>
          <w:p>
            <w:r>
              <w:t xml:space="preserve">Octagonal RC mat per Section 4</w:t>
            </w:r>
          </w:p>
        </w:tc>
      </w:tr>
      <w:tr>
        <w:tc>
          <w:tcPr>
            <w:tcW w:w="700" w:type="dxa"/>
            <w:shd w:val="clear" w:color="auto" w:fill="EBF3FB"/>
          </w:tcPr>
          <w:p>
            <w:r>
              <w:t xml:space="preserve">2</w:t>
            </w:r>
          </w:p>
        </w:tc>
        <w:tc>
          <w:tcPr>
            <w:tcW w:w="3800" w:type="dxa"/>
            <w:shd w:val="clear" w:color="auto" w:fill="EBF3FB"/>
          </w:tcPr>
          <w:p>
            <w:r>
              <w:t xml:space="preserve">On-site 33/115 kV substation</w:t>
            </w:r>
          </w:p>
        </w:tc>
        <w:tc>
          <w:tcPr>
            <w:tcW w:w="2500" w:type="dxa"/>
            <w:shd w:val="clear" w:color="auto" w:fill="EBF3FB"/>
          </w:tcPr>
          <w:p>
            <w:r>
              <w:t xml:space="preserve">5,000</w:t>
            </w:r>
          </w:p>
        </w:tc>
        <w:tc>
          <w:tcPr>
            <w:tcW w:w="2000" w:type="dxa"/>
            <w:shd w:val="clear" w:color="auto" w:fill="EBF3FB"/>
          </w:tcPr>
          <w:p>
            <w:r>
              <w:t xml:space="preserve">Step-up transformer, switchgear, control room</w:t>
            </w:r>
          </w:p>
        </w:tc>
      </w:tr>
      <w:tr>
        <w:tc>
          <w:tcPr>
            <w:tcW w:w="700" w:type="dxa"/>
          </w:tcPr>
          <w:p>
            <w:r>
              <w:t xml:space="preserve">3</w:t>
            </w:r>
          </w:p>
        </w:tc>
        <w:tc>
          <w:tcPr>
            <w:tcW w:w="3800" w:type="dxa"/>
          </w:tcPr>
          <w:p>
            <w:r>
              <w:t xml:space="preserve">SCADA / Control room</w:t>
            </w:r>
          </w:p>
        </w:tc>
        <w:tc>
          <w:tcPr>
            <w:tcW w:w="2500" w:type="dxa"/>
          </w:tcPr>
          <w:p>
            <w:r>
              <w:t xml:space="preserve">180</w:t>
            </w:r>
          </w:p>
        </w:tc>
        <w:tc>
          <w:tcPr>
            <w:tcW w:w="2000" w:type="dxa"/>
          </w:tcPr>
          <w:p>
            <w:r>
              <w:t xml:space="preserve">24/7 wind-farm supervisory control</w:t>
            </w:r>
          </w:p>
        </w:tc>
      </w:tr>
      <w:tr>
        <w:tc>
          <w:tcPr>
            <w:tcW w:w="700" w:type="dxa"/>
            <w:shd w:val="clear" w:color="auto" w:fill="EBF3FB"/>
          </w:tcPr>
          <w:p>
            <w:r>
              <w:t xml:space="preserve">4</w:t>
            </w:r>
          </w:p>
        </w:tc>
        <w:tc>
          <w:tcPr>
            <w:tcW w:w="3800" w:type="dxa"/>
            <w:shd w:val="clear" w:color="auto" w:fill="EBF3FB"/>
          </w:tcPr>
          <w:p>
            <w:r>
              <w:t xml:space="preserve">Maintenance workshop &amp; stores</w:t>
            </w:r>
          </w:p>
        </w:tc>
        <w:tc>
          <w:tcPr>
            <w:tcW w:w="2500" w:type="dxa"/>
            <w:shd w:val="clear" w:color="auto" w:fill="EBF3FB"/>
          </w:tcPr>
          <w:p>
            <w:r>
              <w:t xml:space="preserve">650</w:t>
            </w:r>
          </w:p>
        </w:tc>
        <w:tc>
          <w:tcPr>
            <w:tcW w:w="2000" w:type="dxa"/>
            <w:shd w:val="clear" w:color="auto" w:fill="EBF3FB"/>
          </w:tcPr>
          <w:p>
            <w:r>
              <w:t xml:space="preserve">Spare parts, gearbox oil, blade tools</w:t>
            </w:r>
          </w:p>
        </w:tc>
      </w:tr>
      <w:tr>
        <w:tc>
          <w:tcPr>
            <w:tcW w:w="700" w:type="dxa"/>
          </w:tcPr>
          <w:p>
            <w:r>
              <w:t xml:space="preserve">5</w:t>
            </w:r>
          </w:p>
        </w:tc>
        <w:tc>
          <w:tcPr>
            <w:tcW w:w="3800" w:type="dxa"/>
          </w:tcPr>
          <w:p>
            <w:r>
              <w:t xml:space="preserve">Administrative building</w:t>
            </w:r>
          </w:p>
        </w:tc>
        <w:tc>
          <w:tcPr>
            <w:tcW w:w="2500" w:type="dxa"/>
          </w:tcPr>
          <w:p>
            <w:r>
              <w:t xml:space="preserve">320</w:t>
            </w:r>
          </w:p>
        </w:tc>
        <w:tc>
          <w:tcPr>
            <w:tcW w:w="2000" w:type="dxa"/>
          </w:tcPr>
          <w:p>
            <w:r>
              <w:t xml:space="preserve">Project management, visitor reception</w:t>
            </w:r>
          </w:p>
        </w:tc>
      </w:tr>
      <w:tr>
        <w:tc>
          <w:tcPr>
            <w:tcW w:w="700" w:type="dxa"/>
            <w:shd w:val="clear" w:color="auto" w:fill="EBF3FB"/>
          </w:tcPr>
          <w:p>
            <w:r>
              <w:t xml:space="preserve">6</w:t>
            </w:r>
          </w:p>
        </w:tc>
        <w:tc>
          <w:tcPr>
            <w:tcW w:w="3800" w:type="dxa"/>
            <w:shd w:val="clear" w:color="auto" w:fill="EBF3FB"/>
          </w:tcPr>
          <w:p>
            <w:r>
              <w:t xml:space="preserve">Eco-tourism visitor center</w:t>
            </w:r>
          </w:p>
        </w:tc>
        <w:tc>
          <w:tcPr>
            <w:tcW w:w="2500" w:type="dxa"/>
            <w:shd w:val="clear" w:color="auto" w:fill="EBF3FB"/>
          </w:tcPr>
          <w:p>
            <w:r>
              <w:t xml:space="preserve">400</w:t>
            </w:r>
          </w:p>
        </w:tc>
        <w:tc>
          <w:tcPr>
            <w:tcW w:w="2000" w:type="dxa"/>
            <w:shd w:val="clear" w:color="auto" w:fill="EBF3FB"/>
          </w:tcPr>
          <w:p>
            <w:r>
              <w:t xml:space="preserve">Public viewing deck, exhibits, restrooms</w:t>
            </w:r>
          </w:p>
        </w:tc>
      </w:tr>
      <w:tr>
        <w:tc>
          <w:tcPr>
            <w:tcW w:w="700" w:type="dxa"/>
          </w:tcPr>
          <w:p>
            <w:r>
              <w:t xml:space="preserve">7</w:t>
            </w:r>
          </w:p>
        </w:tc>
        <w:tc>
          <w:tcPr>
            <w:tcW w:w="3800" w:type="dxa"/>
          </w:tcPr>
          <w:p>
            <w:r>
              <w:t xml:space="preserve">Emergency and fire station</w:t>
            </w:r>
          </w:p>
        </w:tc>
        <w:tc>
          <w:tcPr>
            <w:tcW w:w="2500" w:type="dxa"/>
          </w:tcPr>
          <w:p>
            <w:r>
              <w:t xml:space="preserve">240</w:t>
            </w:r>
          </w:p>
        </w:tc>
        <w:tc>
          <w:tcPr>
            <w:tcW w:w="2000" w:type="dxa"/>
          </w:tcPr>
          <w:p>
            <w:r>
              <w:t xml:space="preserve">Nacelle fire response, high-angle rescue</w:t>
            </w:r>
          </w:p>
        </w:tc>
      </w:tr>
      <w:tr>
        <w:tc>
          <w:tcPr>
            <w:tcW w:w="700" w:type="dxa"/>
            <w:shd w:val="clear" w:color="auto" w:fill="EBF3FB"/>
          </w:tcPr>
          <w:p>
            <w:r>
              <w:t xml:space="preserve">8</w:t>
            </w:r>
          </w:p>
        </w:tc>
        <w:tc>
          <w:tcPr>
            <w:tcW w:w="3800" w:type="dxa"/>
            <w:shd w:val="clear" w:color="auto" w:fill="EBF3FB"/>
          </w:tcPr>
          <w:p>
            <w:r>
              <w:t xml:space="preserve">Diesel genset house + fuel store</w:t>
            </w:r>
          </w:p>
        </w:tc>
        <w:tc>
          <w:tcPr>
            <w:tcW w:w="2500" w:type="dxa"/>
            <w:shd w:val="clear" w:color="auto" w:fill="EBF3FB"/>
          </w:tcPr>
          <w:p>
            <w:r>
              <w:t xml:space="preserve">120</w:t>
            </w:r>
          </w:p>
        </w:tc>
        <w:tc>
          <w:tcPr>
            <w:tcW w:w="2000" w:type="dxa"/>
            <w:shd w:val="clear" w:color="auto" w:fill="EBF3FB"/>
          </w:tcPr>
          <w:p>
            <w:r>
              <w:t xml:space="preserve">500 kVA backup + 5,000 L diesel tank</w:t>
            </w:r>
          </w:p>
        </w:tc>
      </w:tr>
      <w:tr>
        <w:tc>
          <w:tcPr>
            <w:tcW w:w="700" w:type="dxa"/>
          </w:tcPr>
          <w:p>
            <w:r>
              <w:t xml:space="preserve">9</w:t>
            </w:r>
          </w:p>
        </w:tc>
        <w:tc>
          <w:tcPr>
            <w:tcW w:w="3800" w:type="dxa"/>
          </w:tcPr>
          <w:p>
            <w:r>
              <w:t xml:space="preserve">Meteorological mast pad</w:t>
            </w:r>
          </w:p>
        </w:tc>
        <w:tc>
          <w:tcPr>
            <w:tcW w:w="2500" w:type="dxa"/>
          </w:tcPr>
          <w:p>
            <w:r>
              <w:t xml:space="preserve">100</w:t>
            </w:r>
          </w:p>
        </w:tc>
        <w:tc>
          <w:tcPr>
            <w:tcW w:w="2000" w:type="dxa"/>
          </w:tcPr>
          <w:p>
            <w:r>
              <w:t xml:space="preserve">Permanent met mast, wind/temperature sensors</w:t>
            </w:r>
          </w:p>
        </w:tc>
      </w:tr>
      <w:tr>
        <w:tc>
          <w:tcPr>
            <w:tcW w:w="700" w:type="dxa"/>
            <w:shd w:val="clear" w:color="auto" w:fill="EBF3FB"/>
          </w:tcPr>
          <w:p>
            <w:r>
              <w:t xml:space="preserve">10</w:t>
            </w:r>
          </w:p>
        </w:tc>
        <w:tc>
          <w:tcPr>
            <w:tcW w:w="3800" w:type="dxa"/>
            <w:shd w:val="clear" w:color="auto" w:fill="EBF3FB"/>
          </w:tcPr>
          <w:p>
            <w:r>
              <w:t xml:space="preserve">Guard house and main gate</w:t>
            </w:r>
          </w:p>
        </w:tc>
        <w:tc>
          <w:tcPr>
            <w:tcW w:w="2500" w:type="dxa"/>
            <w:shd w:val="clear" w:color="auto" w:fill="EBF3FB"/>
          </w:tcPr>
          <w:p>
            <w:r>
              <w:t xml:space="preserve">60</w:t>
            </w:r>
          </w:p>
        </w:tc>
        <w:tc>
          <w:tcPr>
            <w:tcW w:w="2000" w:type="dxa"/>
            <w:shd w:val="clear" w:color="auto" w:fill="EBF3FB"/>
          </w:tcPr>
          <w:p>
            <w:r>
              <w:t xml:space="preserve">24/7 security checkpoint</w:t>
            </w:r>
          </w:p>
        </w:tc>
      </w:tr>
      <w:tr>
        <w:tc>
          <w:tcPr>
            <w:tcW w:w="700" w:type="dxa"/>
          </w:tcPr>
          <w:p>
            <w:r>
              <w:t xml:space="preserve">11</w:t>
            </w:r>
          </w:p>
        </w:tc>
        <w:tc>
          <w:tcPr>
            <w:tcW w:w="3800" w:type="dxa"/>
          </w:tcPr>
          <w:p>
            <w:r>
              <w:t xml:space="preserve">Parking and crane turnaround</w:t>
            </w:r>
          </w:p>
        </w:tc>
        <w:tc>
          <w:tcPr>
            <w:tcW w:w="2500" w:type="dxa"/>
          </w:tcPr>
          <w:p>
            <w:r>
              <w:t xml:space="preserve">1,200</w:t>
            </w:r>
          </w:p>
        </w:tc>
        <w:tc>
          <w:tcPr>
            <w:tcW w:w="2000" w:type="dxa"/>
          </w:tcPr>
          <w:p>
            <w:r>
              <w:t xml:space="preserve">Heavy vehicles, mobile crane hardstand</w:t>
            </w:r>
          </w:p>
        </w:tc>
      </w:tr>
      <w:tr>
        <w:tc>
          <w:tcPr>
            <w:tcW w:w="700" w:type="dxa"/>
            <w:shd w:val="clear" w:color="auto" w:fill="EBF3FB"/>
          </w:tcPr>
          <w:p>
            <w:r>
              <w:t xml:space="preserve">12</w:t>
            </w:r>
          </w:p>
        </w:tc>
        <w:tc>
          <w:tcPr>
            <w:tcW w:w="3800" w:type="dxa"/>
            <w:shd w:val="clear" w:color="auto" w:fill="EBF3FB"/>
          </w:tcPr>
          <w:p>
            <w:r>
              <w:t xml:space="preserve">Material laydown area (construction)</w:t>
            </w:r>
          </w:p>
        </w:tc>
        <w:tc>
          <w:tcPr>
            <w:tcW w:w="2500" w:type="dxa"/>
            <w:shd w:val="clear" w:color="auto" w:fill="EBF3FB"/>
          </w:tcPr>
          <w:p>
            <w:r>
              <w:t xml:space="preserve">2,500</w:t>
            </w:r>
          </w:p>
        </w:tc>
        <w:tc>
          <w:tcPr>
            <w:tcW w:w="2000" w:type="dxa"/>
            <w:shd w:val="clear" w:color="auto" w:fill="EBF3FB"/>
          </w:tcPr>
          <w:p>
            <w:r>
              <w:t xml:space="preserve">Blade/nacelle staging (temporary)</w:t>
            </w:r>
          </w:p>
        </w:tc>
      </w:tr>
      <w:tr>
        <w:tc>
          <w:tcPr>
            <w:tcW w:w="700" w:type="dxa"/>
          </w:tcPr>
          <w:p>
            <w:r>
              <w:t xml:space="preserve">13</w:t>
            </w:r>
          </w:p>
        </w:tc>
        <w:tc>
          <w:tcPr>
            <w:tcW w:w="3800" w:type="dxa"/>
          </w:tcPr>
          <w:p>
            <w:r>
              <w:t xml:space="preserve">Septic and sewage treatment</w:t>
            </w:r>
          </w:p>
        </w:tc>
        <w:tc>
          <w:tcPr>
            <w:tcW w:w="2500" w:type="dxa"/>
          </w:tcPr>
          <w:p>
            <w:r>
              <w:t xml:space="preserve">150</w:t>
            </w:r>
          </w:p>
        </w:tc>
        <w:tc>
          <w:tcPr>
            <w:tcW w:w="2000" w:type="dxa"/>
          </w:tcPr>
          <w:p>
            <w:r>
              <w:t xml:space="preserve">On-site sanitary waste</w:t>
            </w:r>
          </w:p>
        </w:tc>
      </w:tr>
      <w:tr>
        <w:tc>
          <w:tcPr>
            <w:tcW w:w="700" w:type="dxa"/>
            <w:shd w:val="clear" w:color="auto" w:fill="EBF3FB"/>
          </w:tcPr>
          <w:p>
            <w:r>
              <w:t xml:space="preserve">14</w:t>
            </w:r>
          </w:p>
        </w:tc>
        <w:tc>
          <w:tcPr>
            <w:tcW w:w="3800" w:type="dxa"/>
            <w:shd w:val="clear" w:color="auto" w:fill="EBF3FB"/>
          </w:tcPr>
          <w:p>
            <w:r>
              <w:t xml:space="preserve">Water tank and pump house</w:t>
            </w:r>
          </w:p>
        </w:tc>
        <w:tc>
          <w:tcPr>
            <w:tcW w:w="2500" w:type="dxa"/>
            <w:shd w:val="clear" w:color="auto" w:fill="EBF3FB"/>
          </w:tcPr>
          <w:p>
            <w:r>
              <w:t xml:space="preserve">80</w:t>
            </w:r>
          </w:p>
        </w:tc>
        <w:tc>
          <w:tcPr>
            <w:tcW w:w="2000" w:type="dxa"/>
            <w:shd w:val="clear" w:color="auto" w:fill="EBF3FB"/>
          </w:tcPr>
          <w:p>
            <w:r>
              <w:t xml:space="preserve">Blade wash, fire-reserve 50,000 L</w:t>
            </w:r>
          </w:p>
        </w:tc>
      </w:tr>
      <w:tr>
        <w:tc>
          <w:tcPr>
            <w:tcW w:w="700" w:type="dxa"/>
          </w:tcPr>
          <w:p>
            <w:r>
              <w:t xml:space="preserve">15</w:t>
            </w:r>
          </w:p>
        </w:tc>
        <w:tc>
          <w:tcPr>
            <w:tcW w:w="3800" w:type="dxa"/>
          </w:tcPr>
          <w:p>
            <w:r>
              <w:t xml:space="preserve">Internal access roads (7 km × 6 m)</w:t>
            </w:r>
          </w:p>
        </w:tc>
        <w:tc>
          <w:tcPr>
            <w:tcW w:w="2500" w:type="dxa"/>
          </w:tcPr>
          <w:p>
            <w:r>
              <w:t xml:space="preserve">≈ 42,000</w:t>
            </w:r>
          </w:p>
        </w:tc>
        <w:tc>
          <w:tcPr>
            <w:tcW w:w="2000" w:type="dxa"/>
          </w:tcPr>
          <w:p>
            <w:r>
              <w:t xml:space="preserve">Heavy-haul gravel roads to each WTG</w:t>
            </w:r>
          </w:p>
        </w:tc>
      </w:tr>
      <w:tr>
        <w:tc>
          <w:tcPr>
            <w:tcW w:w="700" w:type="dxa"/>
            <w:shd w:val="clear" w:color="auto" w:fill="EBF3FB"/>
          </w:tcPr>
          <w:p>
            <w:r>
              <w:t xml:space="preserve"/>
            </w:r>
          </w:p>
        </w:tc>
        <w:tc>
          <w:tcPr>
            <w:tcW w:w="3800" w:type="dxa"/>
            <w:shd w:val="clear" w:color="auto" w:fill="EBF3FB"/>
          </w:tcPr>
          <w:p>
            <w:r>
              <w:t xml:space="preserve">TOTAL BUILT-UP (excl. roads + pads)</w:t>
            </w:r>
          </w:p>
        </w:tc>
        <w:tc>
          <w:tcPr>
            <w:tcW w:w="2500" w:type="dxa"/>
            <w:shd w:val="clear" w:color="auto" w:fill="EBF3FB"/>
          </w:tcPr>
          <w:p>
            <w:r>
              <w:t xml:space="preserve">≈ 11,000</w:t>
            </w:r>
          </w:p>
        </w:tc>
        <w:tc>
          <w:tcPr>
            <w:tcW w:w="2000" w:type="dxa"/>
            <w:shd w:val="clear" w:color="auto" w:fill="EBF3FB"/>
          </w:tcPr>
          <w:p>
            <w:r>
              <w:t xml:space="preserve"/>
            </w:r>
          </w:p>
        </w:tc>
      </w:tr>
      <w:tr>
        <w:tc>
          <w:tcPr>
            <w:tcW w:w="700" w:type="dxa"/>
          </w:tcPr>
          <w:p>
            <w:r>
              <w:t xml:space="preserve"/>
            </w:r>
          </w:p>
        </w:tc>
        <w:tc>
          <w:tcPr>
            <w:tcW w:w="3800" w:type="dxa"/>
          </w:tcPr>
          <w:p>
            <w:r>
              <w:t xml:space="preserve">TOTAL TURBINE FOOTPRINT (*)</w:t>
            </w:r>
          </w:p>
        </w:tc>
        <w:tc>
          <w:tcPr>
            <w:tcW w:w="2500" w:type="dxa"/>
          </w:tcPr>
          <w:p>
            <w:r>
              <w:t xml:space="preserve">≈ 7,600</w:t>
            </w:r>
          </w:p>
        </w:tc>
        <w:tc>
          <w:tcPr>
            <w:tcW w:w="2000" w:type="dxa"/>
          </w:tcPr>
          <w:p>
            <w:r>
              <w:t xml:space="preserve"/>
            </w:r>
          </w:p>
        </w:tc>
      </w:tr>
      <w:tr>
        <w:tc>
          <w:tcPr>
            <w:tcW w:w="700" w:type="dxa"/>
            <w:shd w:val="clear" w:color="auto" w:fill="EBF3FB"/>
          </w:tcPr>
          <w:p>
            <w:r>
              <w:t xml:space="preserve"/>
            </w:r>
          </w:p>
        </w:tc>
        <w:tc>
          <w:tcPr>
            <w:tcW w:w="3800" w:type="dxa"/>
            <w:shd w:val="clear" w:color="auto" w:fill="EBF3FB"/>
          </w:tcPr>
          <w:p>
            <w:r>
              <w:t xml:space="preserve">TOTAL ROADS AND HARDSTANDS</w:t>
            </w:r>
          </w:p>
        </w:tc>
        <w:tc>
          <w:tcPr>
            <w:tcW w:w="2500" w:type="dxa"/>
            <w:shd w:val="clear" w:color="auto" w:fill="EBF3FB"/>
          </w:tcPr>
          <w:p>
            <w:r>
              <w:t xml:space="preserve">≈ 44,500</w:t>
            </w:r>
          </w:p>
        </w:tc>
        <w:tc>
          <w:tcPr>
            <w:tcW w:w="2000" w:type="dxa"/>
            <w:shd w:val="clear" w:color="auto" w:fill="EBF3FB"/>
          </w:tcPr>
          <w:p>
            <w:r>
              <w:t xml:space="preserve"/>
            </w:r>
          </w:p>
        </w:tc>
      </w:tr>
      <w:tr>
        <w:tc>
          <w:tcPr>
            <w:tcW w:w="700" w:type="dxa"/>
          </w:tcPr>
          <w:p>
            <w:r>
              <w:t xml:space="preserve"/>
            </w:r>
          </w:p>
        </w:tc>
        <w:tc>
          <w:tcPr>
            <w:tcW w:w="3800" w:type="dxa"/>
          </w:tcPr>
          <w:p>
            <w:r>
              <w:t xml:space="preserve">GROSS SITE AREA (incl. inter-turbine land)</w:t>
            </w:r>
          </w:p>
        </w:tc>
        <w:tc>
          <w:tcPr>
            <w:tcW w:w="2500" w:type="dxa"/>
          </w:tcPr>
          <w:p>
            <w:r>
              <w:t xml:space="preserve">≈ 9.46 km²</w:t>
            </w:r>
          </w:p>
        </w:tc>
        <w:tc>
          <w:tcPr>
            <w:tcW w:w="2000" w:type="dxa"/>
          </w:tcPr>
          <w:p>
            <w:r>
              <w:t xml:space="preserve">Per spacing calc in Sec. III-B.2</w:t>
            </w:r>
          </w:p>
        </w:tc>
      </w:tr>
    </w:tbl>
    <w:p/>
    <w:p>
      <w:r>
        <w:br w:type="page"/>
      </w:r>
    </w:p>
    <w:p>
      <w:pPr>
        <w:pStyle w:val="Heading1"/>
      </w:pPr>
      <w:r>
        <w:t xml:space="preserve">Section 6 — Energy Balance Diagram</w:t>
      </w:r>
    </w:p>
    <w:p>
      <w:pPr>
        <w:pStyle w:val="Normal"/>
      </w:pPr>
      <w:r>
        <w:t xml:space="preserve">This section extends the process flow diagrams in Section II-B of the original proposal by quantifying the power loss at each stage — from incident wind kinetic energy to electricity delivered at the NGCP grid metering point.</w:t>
      </w:r>
    </w:p>
    <w:p>
      <w:pPr>
        <w:pStyle w:val="Normal"/>
      </w:pPr>
    </w:p>
    <w:p>
      <w:pPr>
        <w:pStyle w:val="Heading2"/>
      </w:pPr>
      <w:r>
        <w:t xml:space="preserve">6.1 Stage-by-Stage Power Balance (per turbine at rated wind V=12 m/s)</w:t>
      </w:r>
    </w:p>
    <w:p>
      <w:pPr>
        <w:pStyle w:val="Normal"/>
      </w:pPr>
      <w:r>
        <w:t xml:space="preserve">Basis: P_wind = ½ × ρ × A × V³ = ½ × 1.225 × 13,273 × 12³ = 13.96 MW (using the same Betz equation from Section III-A.1 of the original proposal).</w:t>
      </w:r>
    </w:p>
    <w:p>
      <w:pPr>
        <w:pStyle w:val="Normal"/>
      </w:pP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200"/>
        <w:gridCol w:w="1200"/>
        <w:gridCol w:w="1200"/>
        <w:gridCol w:w="1200"/>
        <w:gridCol w:w="2200"/>
      </w:tblGrid>
      <w:tr>
        <w:tc>
          <w:tcPr>
            <w:tcW w:w="3200" w:type="dxa"/>
            <w:shd w:val="clear" w:color="auto" w:fill="1F3864"/>
          </w:tcPr>
          <w:p>
            <w:r>
              <w:rPr>
                <w:b/>
                <w:color w:val="FFFFFF"/>
              </w:rPr>
              <w:t xml:space="preserve">Stage</w:t>
            </w:r>
          </w:p>
        </w:tc>
        <w:tc>
          <w:tcPr>
            <w:tcW w:w="1200" w:type="dxa"/>
            <w:shd w:val="clear" w:color="auto" w:fill="1F3864"/>
          </w:tcPr>
          <w:p>
            <w:r>
              <w:rPr>
                <w:b/>
                <w:color w:val="FFFFFF"/>
              </w:rPr>
              <w:t xml:space="preserve">Input (MW)</w:t>
            </w:r>
          </w:p>
        </w:tc>
        <w:tc>
          <w:tcPr>
            <w:tcW w:w="1200" w:type="dxa"/>
            <w:shd w:val="clear" w:color="auto" w:fill="1F3864"/>
          </w:tcPr>
          <w:p>
            <w:r>
              <w:rPr>
                <w:b/>
                <w:color w:val="FFFFFF"/>
              </w:rPr>
              <w:t xml:space="preserve">Loss (MW)</w:t>
            </w:r>
          </w:p>
        </w:tc>
        <w:tc>
          <w:tcPr>
            <w:tcW w:w="1200" w:type="dxa"/>
            <w:shd w:val="clear" w:color="auto" w:fill="1F3864"/>
          </w:tcPr>
          <w:p>
            <w:r>
              <w:rPr>
                <w:b/>
                <w:color w:val="FFFFFF"/>
              </w:rPr>
              <w:t xml:space="preserve">Output (MW)</w:t>
            </w:r>
          </w:p>
        </w:tc>
        <w:tc>
          <w:tcPr>
            <w:tcW w:w="2200" w:type="dxa"/>
            <w:shd w:val="clear" w:color="auto" w:fill="1F3864"/>
          </w:tcPr>
          <w:p>
            <w:r>
              <w:rPr>
                <w:b/>
                <w:color w:val="FFFFFF"/>
              </w:rPr>
              <w:t xml:space="preserve">Loss Mechanism</w:t>
            </w:r>
          </w:p>
        </w:tc>
      </w:tr>
      <w:tr>
        <w:tc>
          <w:tcPr>
            <w:tcW w:w="3200" w:type="dxa"/>
          </w:tcPr>
          <w:p>
            <w:r>
              <w:t xml:space="preserve">Wind kinetic energy at rotor disc</w:t>
            </w:r>
          </w:p>
        </w:tc>
        <w:tc>
          <w:tcPr>
            <w:tcW w:w="1200" w:type="dxa"/>
          </w:tcPr>
          <w:p>
            <w:r>
              <w:t xml:space="preserve">13.96</w:t>
            </w:r>
          </w:p>
        </w:tc>
        <w:tc>
          <w:tcPr>
            <w:tcW w:w="1200" w:type="dxa"/>
          </w:tcPr>
          <w:p>
            <w:r>
              <w:t xml:space="preserve">—</w:t>
            </w:r>
          </w:p>
        </w:tc>
        <w:tc>
          <w:tcPr>
            <w:tcW w:w="1200" w:type="dxa"/>
          </w:tcPr>
          <w:p>
            <w:r>
              <w:t xml:space="preserve">13.96</w:t>
            </w:r>
          </w:p>
        </w:tc>
        <w:tc>
          <w:tcPr>
            <w:tcW w:w="2200" w:type="dxa"/>
          </w:tcPr>
          <w:p>
            <w:r>
              <w:t xml:space="preserve">P_wind = ½ρAV³</w:t>
            </w:r>
          </w:p>
        </w:tc>
      </w:tr>
      <w:tr>
        <w:tc>
          <w:tcPr>
            <w:tcW w:w="3200" w:type="dxa"/>
            <w:shd w:val="clear" w:color="auto" w:fill="EBF3FB"/>
          </w:tcPr>
          <w:p>
            <w:r>
              <w:t xml:space="preserve">Aerodynamic conversion (Cp = 0.45)</w:t>
            </w:r>
          </w:p>
        </w:tc>
        <w:tc>
          <w:tcPr>
            <w:tcW w:w="1200" w:type="dxa"/>
            <w:shd w:val="clear" w:color="auto" w:fill="EBF3FB"/>
          </w:tcPr>
          <w:p>
            <w:r>
              <w:t xml:space="preserve">13.96</w:t>
            </w:r>
          </w:p>
        </w:tc>
        <w:tc>
          <w:tcPr>
            <w:tcW w:w="1200" w:type="dxa"/>
            <w:shd w:val="clear" w:color="auto" w:fill="EBF3FB"/>
          </w:tcPr>
          <w:p>
            <w:r>
              <w:t xml:space="preserve">7.68</w:t>
            </w:r>
          </w:p>
        </w:tc>
        <w:tc>
          <w:tcPr>
            <w:tcW w:w="1200" w:type="dxa"/>
            <w:shd w:val="clear" w:color="auto" w:fill="EBF3FB"/>
          </w:tcPr>
          <w:p>
            <w:r>
              <w:t xml:space="preserve">6.28</w:t>
            </w:r>
          </w:p>
        </w:tc>
        <w:tc>
          <w:tcPr>
            <w:tcW w:w="2200" w:type="dxa"/>
            <w:shd w:val="clear" w:color="auto" w:fill="EBF3FB"/>
          </w:tcPr>
          <w:p>
            <w:r>
              <w:t xml:space="preserve">Real rotor &lt; Betz 59.3%</w:t>
            </w:r>
          </w:p>
        </w:tc>
      </w:tr>
      <w:tr>
        <w:tc>
          <w:tcPr>
            <w:tcW w:w="3200" w:type="dxa"/>
          </w:tcPr>
          <w:p>
            <w:r>
              <w:t xml:space="preserve">Hub + main bearing friction</w:t>
            </w:r>
          </w:p>
        </w:tc>
        <w:tc>
          <w:tcPr>
            <w:tcW w:w="1200" w:type="dxa"/>
          </w:tcPr>
          <w:p>
            <w:r>
              <w:t xml:space="preserve">6.28</w:t>
            </w:r>
          </w:p>
        </w:tc>
        <w:tc>
          <w:tcPr>
            <w:tcW w:w="1200" w:type="dxa"/>
          </w:tcPr>
          <w:p>
            <w:r>
              <w:t xml:space="preserve">0.06</w:t>
            </w:r>
          </w:p>
        </w:tc>
        <w:tc>
          <w:tcPr>
            <w:tcW w:w="1200" w:type="dxa"/>
          </w:tcPr>
          <w:p>
            <w:r>
              <w:t xml:space="preserve">6.22</w:t>
            </w:r>
          </w:p>
        </w:tc>
        <w:tc>
          <w:tcPr>
            <w:tcW w:w="2200" w:type="dxa"/>
          </w:tcPr>
          <w:p>
            <w:r>
              <w:t xml:space="preserve">≈ 1% mechanical</w:t>
            </w:r>
          </w:p>
        </w:tc>
      </w:tr>
      <w:tr>
        <w:tc>
          <w:tcPr>
            <w:tcW w:w="3200" w:type="dxa"/>
            <w:shd w:val="clear" w:color="auto" w:fill="EBF3FB"/>
          </w:tcPr>
          <w:p>
            <w:r>
              <w:t xml:space="preserve">Gearbox (3-stage planetary, η=97%)</w:t>
            </w:r>
          </w:p>
        </w:tc>
        <w:tc>
          <w:tcPr>
            <w:tcW w:w="1200" w:type="dxa"/>
            <w:shd w:val="clear" w:color="auto" w:fill="EBF3FB"/>
          </w:tcPr>
          <w:p>
            <w:r>
              <w:t xml:space="preserve">6.22</w:t>
            </w:r>
          </w:p>
        </w:tc>
        <w:tc>
          <w:tcPr>
            <w:tcW w:w="1200" w:type="dxa"/>
            <w:shd w:val="clear" w:color="auto" w:fill="EBF3FB"/>
          </w:tcPr>
          <w:p>
            <w:r>
              <w:t xml:space="preserve">0.19</w:t>
            </w:r>
          </w:p>
        </w:tc>
        <w:tc>
          <w:tcPr>
            <w:tcW w:w="1200" w:type="dxa"/>
            <w:shd w:val="clear" w:color="auto" w:fill="EBF3FB"/>
          </w:tcPr>
          <w:p>
            <w:r>
              <w:t xml:space="preserve">6.03</w:t>
            </w:r>
          </w:p>
        </w:tc>
        <w:tc>
          <w:tcPr>
            <w:tcW w:w="2200" w:type="dxa"/>
            <w:shd w:val="clear" w:color="auto" w:fill="EBF3FB"/>
          </w:tcPr>
          <w:p>
            <w:r>
              <w:t xml:space="preserve">≈ 3% gear losses</w:t>
            </w:r>
          </w:p>
        </w:tc>
      </w:tr>
      <w:tr>
        <w:tc>
          <w:tcPr>
            <w:tcW w:w="3200" w:type="dxa"/>
          </w:tcPr>
          <w:p>
            <w:r>
              <w:t xml:space="preserve">DFIG generator (η=97%)</w:t>
            </w:r>
          </w:p>
        </w:tc>
        <w:tc>
          <w:tcPr>
            <w:tcW w:w="1200" w:type="dxa"/>
          </w:tcPr>
          <w:p>
            <w:r>
              <w:t xml:space="preserve">6.03</w:t>
            </w:r>
          </w:p>
        </w:tc>
        <w:tc>
          <w:tcPr>
            <w:tcW w:w="1200" w:type="dxa"/>
          </w:tcPr>
          <w:p>
            <w:r>
              <w:t xml:space="preserve">0.18</w:t>
            </w:r>
          </w:p>
        </w:tc>
        <w:tc>
          <w:tcPr>
            <w:tcW w:w="1200" w:type="dxa"/>
          </w:tcPr>
          <w:p>
            <w:r>
              <w:t xml:space="preserve">5.85</w:t>
            </w:r>
          </w:p>
        </w:tc>
        <w:tc>
          <w:tcPr>
            <w:tcW w:w="2200" w:type="dxa"/>
          </w:tcPr>
          <w:p>
            <w:r>
              <w:t xml:space="preserve">≈ 3% electromagnetic</w:t>
            </w:r>
          </w:p>
        </w:tc>
      </w:tr>
      <w:tr>
        <w:tc>
          <w:tcPr>
            <w:tcW w:w="3200" w:type="dxa"/>
            <w:shd w:val="clear" w:color="auto" w:fill="EBF3FB"/>
          </w:tcPr>
          <w:p>
            <w:r>
              <w:t xml:space="preserve">Partial-scale power converter</w:t>
            </w:r>
          </w:p>
        </w:tc>
        <w:tc>
          <w:tcPr>
            <w:tcW w:w="1200" w:type="dxa"/>
            <w:shd w:val="clear" w:color="auto" w:fill="EBF3FB"/>
          </w:tcPr>
          <w:p>
            <w:r>
              <w:t xml:space="preserve">5.85</w:t>
            </w:r>
          </w:p>
        </w:tc>
        <w:tc>
          <w:tcPr>
            <w:tcW w:w="1200" w:type="dxa"/>
            <w:shd w:val="clear" w:color="auto" w:fill="EBF3FB"/>
          </w:tcPr>
          <w:p>
            <w:r>
              <w:t xml:space="preserve">0.10</w:t>
            </w:r>
          </w:p>
        </w:tc>
        <w:tc>
          <w:tcPr>
            <w:tcW w:w="1200" w:type="dxa"/>
            <w:shd w:val="clear" w:color="auto" w:fill="EBF3FB"/>
          </w:tcPr>
          <w:p>
            <w:r>
              <w:t xml:space="preserve">5.75</w:t>
            </w:r>
          </w:p>
        </w:tc>
        <w:tc>
          <w:tcPr>
            <w:tcW w:w="2200" w:type="dxa"/>
            <w:shd w:val="clear" w:color="auto" w:fill="EBF3FB"/>
          </w:tcPr>
          <w:p>
            <w:r>
              <w:t xml:space="preserve">≈ 1.7% IGBT losses</w:t>
            </w:r>
          </w:p>
        </w:tc>
      </w:tr>
      <w:tr>
        <w:tc>
          <w:tcPr>
            <w:tcW w:w="3200" w:type="dxa"/>
          </w:tcPr>
          <w:p>
            <w:r>
              <w:t xml:space="preserve">Pad-mount transformer 690V/33kV</w:t>
            </w:r>
          </w:p>
        </w:tc>
        <w:tc>
          <w:tcPr>
            <w:tcW w:w="1200" w:type="dxa"/>
          </w:tcPr>
          <w:p>
            <w:r>
              <w:t xml:space="preserve">5.75</w:t>
            </w:r>
          </w:p>
        </w:tc>
        <w:tc>
          <w:tcPr>
            <w:tcW w:w="1200" w:type="dxa"/>
          </w:tcPr>
          <w:p>
            <w:r>
              <w:t xml:space="preserve">0.05</w:t>
            </w:r>
          </w:p>
        </w:tc>
        <w:tc>
          <w:tcPr>
            <w:tcW w:w="1200" w:type="dxa"/>
          </w:tcPr>
          <w:p>
            <w:r>
              <w:t xml:space="preserve">5.70</w:t>
            </w:r>
          </w:p>
        </w:tc>
        <w:tc>
          <w:tcPr>
            <w:tcW w:w="2200" w:type="dxa"/>
          </w:tcPr>
          <w:p>
            <w:r>
              <w:t xml:space="preserve">≈ 0.9% iron + copper</w:t>
            </w:r>
          </w:p>
        </w:tc>
      </w:tr>
      <w:tr>
        <w:tc>
          <w:tcPr>
            <w:tcW w:w="3200" w:type="dxa"/>
            <w:shd w:val="clear" w:color="auto" w:fill="EBF3FB"/>
          </w:tcPr>
          <w:p>
            <w:r>
              <w:t xml:space="preserve">Inter-array 33 kV cable (avg.)</w:t>
            </w:r>
          </w:p>
        </w:tc>
        <w:tc>
          <w:tcPr>
            <w:tcW w:w="1200" w:type="dxa"/>
            <w:shd w:val="clear" w:color="auto" w:fill="EBF3FB"/>
          </w:tcPr>
          <w:p>
            <w:r>
              <w:t xml:space="preserve">5.70</w:t>
            </w:r>
          </w:p>
        </w:tc>
        <w:tc>
          <w:tcPr>
            <w:tcW w:w="1200" w:type="dxa"/>
            <w:shd w:val="clear" w:color="auto" w:fill="EBF3FB"/>
          </w:tcPr>
          <w:p>
            <w:r>
              <w:t xml:space="preserve">0.04</w:t>
            </w:r>
          </w:p>
        </w:tc>
        <w:tc>
          <w:tcPr>
            <w:tcW w:w="1200" w:type="dxa"/>
            <w:shd w:val="clear" w:color="auto" w:fill="EBF3FB"/>
          </w:tcPr>
          <w:p>
            <w:r>
              <w:t xml:space="preserve">5.66</w:t>
            </w:r>
          </w:p>
        </w:tc>
        <w:tc>
          <w:tcPr>
            <w:tcW w:w="2200" w:type="dxa"/>
            <w:shd w:val="clear" w:color="auto" w:fill="EBF3FB"/>
          </w:tcPr>
          <w:p>
            <w:r>
              <w:t xml:space="preserve">≈ 0.7% I²R</w:t>
            </w:r>
          </w:p>
        </w:tc>
      </w:tr>
      <w:tr>
        <w:tc>
          <w:tcPr>
            <w:tcW w:w="3200" w:type="dxa"/>
          </w:tcPr>
          <w:p>
            <w:r>
              <w:t xml:space="preserve">Step-up transformer 33/115 kV</w:t>
            </w:r>
          </w:p>
        </w:tc>
        <w:tc>
          <w:tcPr>
            <w:tcW w:w="1200" w:type="dxa"/>
          </w:tcPr>
          <w:p>
            <w:r>
              <w:t xml:space="preserve">5.66</w:t>
            </w:r>
          </w:p>
        </w:tc>
        <w:tc>
          <w:tcPr>
            <w:tcW w:w="1200" w:type="dxa"/>
          </w:tcPr>
          <w:p>
            <w:r>
              <w:t xml:space="preserve">0.03</w:t>
            </w:r>
          </w:p>
        </w:tc>
        <w:tc>
          <w:tcPr>
            <w:tcW w:w="1200" w:type="dxa"/>
          </w:tcPr>
          <w:p>
            <w:r>
              <w:t xml:space="preserve">5.63</w:t>
            </w:r>
          </w:p>
        </w:tc>
        <w:tc>
          <w:tcPr>
            <w:tcW w:w="2200" w:type="dxa"/>
          </w:tcPr>
          <w:p>
            <w:r>
              <w:t xml:space="preserve">≈ 0.5%</w:t>
            </w:r>
          </w:p>
        </w:tc>
      </w:tr>
      <w:tr>
        <w:tc>
          <w:tcPr>
            <w:tcW w:w="3200" w:type="dxa"/>
            <w:shd w:val="clear" w:color="auto" w:fill="EBF3FB"/>
          </w:tcPr>
          <w:p>
            <w:r>
              <w:t xml:space="preserve">115 kV OHL to Laoag (≈35 km)</w:t>
            </w:r>
          </w:p>
        </w:tc>
        <w:tc>
          <w:tcPr>
            <w:tcW w:w="1200" w:type="dxa"/>
            <w:shd w:val="clear" w:color="auto" w:fill="EBF3FB"/>
          </w:tcPr>
          <w:p>
            <w:r>
              <w:t xml:space="preserve">5.63</w:t>
            </w:r>
          </w:p>
        </w:tc>
        <w:tc>
          <w:tcPr>
            <w:tcW w:w="1200" w:type="dxa"/>
            <w:shd w:val="clear" w:color="auto" w:fill="EBF3FB"/>
          </w:tcPr>
          <w:p>
            <w:r>
              <w:t xml:space="preserve">0.05</w:t>
            </w:r>
          </w:p>
        </w:tc>
        <w:tc>
          <w:tcPr>
            <w:tcW w:w="1200" w:type="dxa"/>
            <w:shd w:val="clear" w:color="auto" w:fill="EBF3FB"/>
          </w:tcPr>
          <w:p>
            <w:r>
              <w:t xml:space="preserve">5.58</w:t>
            </w:r>
          </w:p>
        </w:tc>
        <w:tc>
          <w:tcPr>
            <w:tcW w:w="2200" w:type="dxa"/>
            <w:shd w:val="clear" w:color="auto" w:fill="EBF3FB"/>
          </w:tcPr>
          <w:p>
            <w:r>
              <w:t xml:space="preserve">≈ 0.9% line losses</w:t>
            </w:r>
          </w:p>
        </w:tc>
      </w:tr>
      <w:tr>
        <w:tc>
          <w:tcPr>
            <w:tcW w:w="3200" w:type="dxa"/>
          </w:tcPr>
          <w:p>
            <w:r>
              <w:t xml:space="preserve">NET at NGCP grid metering point</w:t>
            </w:r>
          </w:p>
        </w:tc>
        <w:tc>
          <w:tcPr>
            <w:tcW w:w="1200" w:type="dxa"/>
          </w:tcPr>
          <w:p>
            <w:r>
              <w:t xml:space="preserve">—</w:t>
            </w:r>
          </w:p>
        </w:tc>
        <w:tc>
          <w:tcPr>
            <w:tcW w:w="1200" w:type="dxa"/>
          </w:tcPr>
          <w:p>
            <w:r>
              <w:t xml:space="preserve">—</w:t>
            </w:r>
          </w:p>
        </w:tc>
        <w:tc>
          <w:tcPr>
            <w:tcW w:w="1200" w:type="dxa"/>
          </w:tcPr>
          <w:p>
            <w:r>
              <w:t xml:space="preserve">5.58</w:t>
            </w:r>
          </w:p>
        </w:tc>
        <w:tc>
          <w:tcPr>
            <w:tcW w:w="2200" w:type="dxa"/>
          </w:tcPr>
          <w:p>
            <w:r>
              <w:t xml:space="preserve">Delivered electricity</w:t>
            </w:r>
          </w:p>
        </w:tc>
      </w:tr>
    </w:tbl>
    <w:p/>
    <w:p>
      <w:pPr>
        <w:pStyle w:val="Normal"/>
      </w:pPr>
    </w:p>
    <w:p>
      <w:pPr>
        <w:pStyle w:val="Heading2"/>
      </w:pPr>
      <w:r>
        <w:t xml:space="preserve">6.2 Annual Energy Yield</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500"/>
        <w:gridCol w:w="2500"/>
        <w:gridCol w:w="3000"/>
      </w:tblGrid>
      <w:tr>
        <w:tc>
          <w:tcPr>
            <w:tcW w:w="3500" w:type="dxa"/>
            <w:shd w:val="clear" w:color="auto" w:fill="1F3864"/>
          </w:tcPr>
          <w:p>
            <w:r>
              <w:rPr>
                <w:b/>
                <w:color w:val="FFFFFF"/>
              </w:rPr>
              <w:t xml:space="preserve">Parameter</w:t>
            </w:r>
          </w:p>
        </w:tc>
        <w:tc>
          <w:tcPr>
            <w:tcW w:w="2500" w:type="dxa"/>
            <w:shd w:val="clear" w:color="auto" w:fill="1F3864"/>
          </w:tcPr>
          <w:p>
            <w:r>
              <w:rPr>
                <w:b/>
                <w:color w:val="FFFFFF"/>
              </w:rPr>
              <w:t xml:space="preserve">Value</w:t>
            </w:r>
          </w:p>
        </w:tc>
        <w:tc>
          <w:tcPr>
            <w:tcW w:w="3000" w:type="dxa"/>
            <w:shd w:val="clear" w:color="auto" w:fill="1F3864"/>
          </w:tcPr>
          <w:p>
            <w:r>
              <w:rPr>
                <w:b/>
                <w:color w:val="FFFFFF"/>
              </w:rPr>
              <w:t xml:space="preserve">Calculation</w:t>
            </w:r>
          </w:p>
        </w:tc>
      </w:tr>
      <w:tr>
        <w:tc>
          <w:tcPr>
            <w:tcW w:w="3500" w:type="dxa"/>
          </w:tcPr>
          <w:p>
            <w:r>
              <w:t xml:space="preserve">Rated capacity per turbine</w:t>
            </w:r>
          </w:p>
        </w:tc>
        <w:tc>
          <w:tcPr>
            <w:tcW w:w="2500" w:type="dxa"/>
          </w:tcPr>
          <w:p>
            <w:r>
              <w:t xml:space="preserve">5.0 MW</w:t>
            </w:r>
          </w:p>
        </w:tc>
        <w:tc>
          <w:tcPr>
            <w:tcW w:w="3000" w:type="dxa"/>
          </w:tcPr>
          <w:p>
            <w:r>
              <w:t xml:space="preserve">Design specification</w:t>
            </w:r>
          </w:p>
        </w:tc>
      </w:tr>
      <w:tr>
        <w:tc>
          <w:tcPr>
            <w:tcW w:w="3500" w:type="dxa"/>
            <w:shd w:val="clear" w:color="auto" w:fill="EBF3FB"/>
          </w:tcPr>
          <w:p>
            <w:r>
              <w:t xml:space="preserve">Max theoretical AEP/turbine</w:t>
            </w:r>
          </w:p>
        </w:tc>
        <w:tc>
          <w:tcPr>
            <w:tcW w:w="2500" w:type="dxa"/>
            <w:shd w:val="clear" w:color="auto" w:fill="EBF3FB"/>
          </w:tcPr>
          <w:p>
            <w:r>
              <w:t xml:space="preserve">43,800 MWh/yr</w:t>
            </w:r>
          </w:p>
        </w:tc>
        <w:tc>
          <w:tcPr>
            <w:tcW w:w="3000" w:type="dxa"/>
            <w:shd w:val="clear" w:color="auto" w:fill="EBF3FB"/>
          </w:tcPr>
          <w:p>
            <w:r>
              <w:t xml:space="preserve">5.0 MW × 8,760 h</w:t>
            </w:r>
          </w:p>
        </w:tc>
      </w:tr>
      <w:tr>
        <w:tc>
          <w:tcPr>
            <w:tcW w:w="3500" w:type="dxa"/>
          </w:tcPr>
          <w:p>
            <w:r>
              <w:t xml:space="preserve">Capacity factor (Pasuquin)</w:t>
            </w:r>
          </w:p>
        </w:tc>
        <w:tc>
          <w:tcPr>
            <w:tcW w:w="2500" w:type="dxa"/>
          </w:tcPr>
          <w:p>
            <w:r>
              <w:t xml:space="preserve">38%</w:t>
            </w:r>
          </w:p>
        </w:tc>
        <w:tc>
          <w:tcPr>
            <w:tcW w:w="3000" w:type="dxa"/>
          </w:tcPr>
          <w:p>
            <w:r>
              <w:t xml:space="preserve">Consistent with Bangui 35–42%, Burgos 36–45%</w:t>
            </w:r>
          </w:p>
        </w:tc>
      </w:tr>
      <w:tr>
        <w:tc>
          <w:tcPr>
            <w:tcW w:w="3500" w:type="dxa"/>
            <w:shd w:val="clear" w:color="auto" w:fill="EBF3FB"/>
          </w:tcPr>
          <w:p>
            <w:r>
              <w:t xml:space="preserve">Gross AEP per turbine</w:t>
            </w:r>
          </w:p>
        </w:tc>
        <w:tc>
          <w:tcPr>
            <w:tcW w:w="2500" w:type="dxa"/>
            <w:shd w:val="clear" w:color="auto" w:fill="EBF3FB"/>
          </w:tcPr>
          <w:p>
            <w:r>
              <w:t xml:space="preserve">16,644 MWh/yr</w:t>
            </w:r>
          </w:p>
        </w:tc>
        <w:tc>
          <w:tcPr>
            <w:tcW w:w="3000" w:type="dxa"/>
            <w:shd w:val="clear" w:color="auto" w:fill="EBF3FB"/>
          </w:tcPr>
          <w:p>
            <w:r>
              <w:t xml:space="preserve">43,800 × 0.38</w:t>
            </w:r>
          </w:p>
        </w:tc>
      </w:tr>
      <w:tr>
        <w:tc>
          <w:tcPr>
            <w:tcW w:w="3500" w:type="dxa"/>
          </w:tcPr>
          <w:p>
            <w:r>
              <w:t xml:space="preserve">Electrical losses (avg. 7%)</w:t>
            </w:r>
          </w:p>
        </w:tc>
        <w:tc>
          <w:tcPr>
            <w:tcW w:w="2500" w:type="dxa"/>
          </w:tcPr>
          <w:p>
            <w:r>
              <w:t xml:space="preserve">1,165 MWh/yr</w:t>
            </w:r>
          </w:p>
        </w:tc>
        <w:tc>
          <w:tcPr>
            <w:tcW w:w="3000" w:type="dxa"/>
          </w:tcPr>
          <w:p>
            <w:r>
              <w:t xml:space="preserve">Cables, transformers, grid line</w:t>
            </w:r>
          </w:p>
        </w:tc>
      </w:tr>
      <w:tr>
        <w:tc>
          <w:tcPr>
            <w:tcW w:w="3500" w:type="dxa"/>
            <w:shd w:val="clear" w:color="auto" w:fill="EBF3FB"/>
          </w:tcPr>
          <w:p>
            <w:r>
              <w:t xml:space="preserve">Net AEP per turbine delivered</w:t>
            </w:r>
          </w:p>
        </w:tc>
        <w:tc>
          <w:tcPr>
            <w:tcW w:w="2500" w:type="dxa"/>
            <w:shd w:val="clear" w:color="auto" w:fill="EBF3FB"/>
          </w:tcPr>
          <w:p>
            <w:r>
              <w:t xml:space="preserve">15,479 MWh/yr</w:t>
            </w:r>
          </w:p>
        </w:tc>
        <w:tc>
          <w:tcPr>
            <w:tcW w:w="3000" w:type="dxa"/>
            <w:shd w:val="clear" w:color="auto" w:fill="EBF3FB"/>
          </w:tcPr>
          <w:p>
            <w:r>
              <w:t xml:space="preserve">16,644 × (1–0.07)</w:t>
            </w:r>
          </w:p>
        </w:tc>
      </w:tr>
      <w:tr>
        <w:tc>
          <w:tcPr>
            <w:tcW w:w="3500" w:type="dxa"/>
          </w:tcPr>
          <w:p>
            <w:r>
              <w:t xml:space="preserve">Wind farm total (20 turbines)</w:t>
            </w:r>
          </w:p>
        </w:tc>
        <w:tc>
          <w:tcPr>
            <w:tcW w:w="2500" w:type="dxa"/>
          </w:tcPr>
          <w:p>
            <w:r>
              <w:t xml:space="preserve">309,580 MWh/yr</w:t>
            </w:r>
          </w:p>
        </w:tc>
        <w:tc>
          <w:tcPr>
            <w:tcW w:w="3000" w:type="dxa"/>
          </w:tcPr>
          <w:p>
            <w:r>
              <w:t xml:space="preserve">15,479 × 20</w:t>
            </w:r>
          </w:p>
        </w:tc>
      </w:tr>
      <w:tr>
        <w:tc>
          <w:tcPr>
            <w:tcW w:w="3500" w:type="dxa"/>
            <w:shd w:val="clear" w:color="auto" w:fill="EBF3FB"/>
          </w:tcPr>
          <w:p>
            <w:r>
              <w:t xml:space="preserve">Equivalent households served</w:t>
            </w:r>
          </w:p>
        </w:tc>
        <w:tc>
          <w:tcPr>
            <w:tcW w:w="2500" w:type="dxa"/>
            <w:shd w:val="clear" w:color="auto" w:fill="EBF3FB"/>
          </w:tcPr>
          <w:p>
            <w:r>
              <w:t xml:space="preserve">≈ 77,400</w:t>
            </w:r>
          </w:p>
        </w:tc>
        <w:tc>
          <w:tcPr>
            <w:tcW w:w="3000" w:type="dxa"/>
            <w:shd w:val="clear" w:color="auto" w:fill="EBF3FB"/>
          </w:tcPr>
          <w:p>
            <w:r>
              <w:t xml:space="preserve">At 4,000 kWh/yr per household</w:t>
            </w:r>
          </w:p>
        </w:tc>
      </w:tr>
      <w:tr>
        <w:tc>
          <w:tcPr>
            <w:tcW w:w="3500" w:type="dxa"/>
          </w:tcPr>
          <w:p>
            <w:r>
              <w:t xml:space="preserve">Annual FiT revenue (gross)</w:t>
            </w:r>
          </w:p>
        </w:tc>
        <w:tc>
          <w:tcPr>
            <w:tcW w:w="2500" w:type="dxa"/>
          </w:tcPr>
          <w:p>
            <w:r>
              <w:t xml:space="preserve">PHP 2.64 Billion</w:t>
            </w:r>
          </w:p>
        </w:tc>
        <w:tc>
          <w:tcPr>
            <w:tcW w:w="3000" w:type="dxa"/>
          </w:tcPr>
          <w:p>
            <w:r>
              <w:t xml:space="preserve">309,580 MWh × PHP 8.53/kWh</w:t>
            </w:r>
          </w:p>
        </w:tc>
      </w:tr>
    </w:tbl>
    <w:p/>
    <w:p>
      <w:r>
        <w:br w:type="page"/>
      </w:r>
    </w:p>
    <w:p>
      <w:pPr>
        <w:pStyle w:val="Heading1"/>
      </w:pPr>
      <w:r>
        <w:t xml:space="preserve">Section 7 — Operations and Maintenance (O&amp;M) Plan</w:t>
      </w:r>
    </w:p>
    <w:p>
      <w:pPr>
        <w:pStyle w:val="Normal"/>
      </w:pPr>
      <w:r>
        <w:t xml:space="preserve">The O&amp;M plan ensures the 38% capacity factor assumed in the financial analysis (Section VI of the original proposal) is sustained over the 25-year project life.</w:t>
      </w:r>
    </w:p>
    <w:p>
      <w:pPr>
        <w:pStyle w:val="Normal"/>
      </w:pPr>
    </w:p>
    <w:p>
      <w:pPr>
        <w:pStyle w:val="Heading2"/>
      </w:pPr>
      <w:r>
        <w:t xml:space="preserve">7.1 Permanent Staffing</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4000"/>
        <w:gridCol w:w="1000"/>
        <w:gridCol w:w="4000"/>
      </w:tblGrid>
      <w:tr>
        <w:tc>
          <w:tcPr>
            <w:tcW w:w="4000" w:type="dxa"/>
            <w:shd w:val="clear" w:color="auto" w:fill="1F3864"/>
          </w:tcPr>
          <w:p>
            <w:r>
              <w:rPr>
                <w:b/>
                <w:color w:val="FFFFFF"/>
              </w:rPr>
              <w:t xml:space="preserve">Role</w:t>
            </w:r>
          </w:p>
        </w:tc>
        <w:tc>
          <w:tcPr>
            <w:tcW w:w="1000" w:type="dxa"/>
            <w:shd w:val="clear" w:color="auto" w:fill="1F3864"/>
          </w:tcPr>
          <w:p>
            <w:r>
              <w:rPr>
                <w:b/>
                <w:color w:val="FFFFFF"/>
              </w:rPr>
              <w:t xml:space="preserve">No.</w:t>
            </w:r>
          </w:p>
        </w:tc>
        <w:tc>
          <w:tcPr>
            <w:tcW w:w="4000" w:type="dxa"/>
            <w:shd w:val="clear" w:color="auto" w:fill="1F3864"/>
          </w:tcPr>
          <w:p>
            <w:r>
              <w:rPr>
                <w:b/>
                <w:color w:val="FFFFFF"/>
              </w:rPr>
              <w:t xml:space="preserve">Shift Schedule</w:t>
            </w:r>
          </w:p>
        </w:tc>
      </w:tr>
      <w:tr>
        <w:tc>
          <w:tcPr>
            <w:tcW w:w="4000" w:type="dxa"/>
          </w:tcPr>
          <w:p>
            <w:r>
              <w:t xml:space="preserve">Wind Farm Manager</w:t>
            </w:r>
          </w:p>
        </w:tc>
        <w:tc>
          <w:tcPr>
            <w:tcW w:w="1000" w:type="dxa"/>
          </w:tcPr>
          <w:p>
            <w:r>
              <w:t xml:space="preserve">1</w:t>
            </w:r>
          </w:p>
        </w:tc>
        <w:tc>
          <w:tcPr>
            <w:tcW w:w="4000" w:type="dxa"/>
          </w:tcPr>
          <w:p>
            <w:r>
              <w:t xml:space="preserve">Day</w:t>
            </w:r>
          </w:p>
        </w:tc>
      </w:tr>
      <w:tr>
        <w:tc>
          <w:tcPr>
            <w:tcW w:w="4000" w:type="dxa"/>
            <w:shd w:val="clear" w:color="auto" w:fill="EBF3FB"/>
          </w:tcPr>
          <w:p>
            <w:r>
              <w:t xml:space="preserve">Lead Turbine Technician (GWO Level 3)</w:t>
            </w:r>
          </w:p>
        </w:tc>
        <w:tc>
          <w:tcPr>
            <w:tcW w:w="1000" w:type="dxa"/>
            <w:shd w:val="clear" w:color="auto" w:fill="EBF3FB"/>
          </w:tcPr>
          <w:p>
            <w:r>
              <w:t xml:space="preserve">4</w:t>
            </w:r>
          </w:p>
        </w:tc>
        <w:tc>
          <w:tcPr>
            <w:tcW w:w="4000" w:type="dxa"/>
            <w:shd w:val="clear" w:color="auto" w:fill="EBF3FB"/>
          </w:tcPr>
          <w:p>
            <w:r>
              <w:t xml:space="preserve">Day + on-call rotation</w:t>
            </w:r>
          </w:p>
        </w:tc>
      </w:tr>
      <w:tr>
        <w:tc>
          <w:tcPr>
            <w:tcW w:w="4000" w:type="dxa"/>
          </w:tcPr>
          <w:p>
            <w:r>
              <w:t xml:space="preserve">Turbine Technician (GWO Level 2)</w:t>
            </w:r>
          </w:p>
        </w:tc>
        <w:tc>
          <w:tcPr>
            <w:tcW w:w="1000" w:type="dxa"/>
          </w:tcPr>
          <w:p>
            <w:r>
              <w:t xml:space="preserve">8</w:t>
            </w:r>
          </w:p>
        </w:tc>
        <w:tc>
          <w:tcPr>
            <w:tcW w:w="4000" w:type="dxa"/>
          </w:tcPr>
          <w:p>
            <w:r>
              <w:t xml:space="preserve">Day, 4-on/4-off</w:t>
            </w:r>
          </w:p>
        </w:tc>
      </w:tr>
      <w:tr>
        <w:tc>
          <w:tcPr>
            <w:tcW w:w="4000" w:type="dxa"/>
            <w:shd w:val="clear" w:color="auto" w:fill="EBF3FB"/>
          </w:tcPr>
          <w:p>
            <w:r>
              <w:t xml:space="preserve">Electrical / Substation Engineer</w:t>
            </w:r>
          </w:p>
        </w:tc>
        <w:tc>
          <w:tcPr>
            <w:tcW w:w="1000" w:type="dxa"/>
            <w:shd w:val="clear" w:color="auto" w:fill="EBF3FB"/>
          </w:tcPr>
          <w:p>
            <w:r>
              <w:t xml:space="preserve">2</w:t>
            </w:r>
          </w:p>
        </w:tc>
        <w:tc>
          <w:tcPr>
            <w:tcW w:w="4000" w:type="dxa"/>
            <w:shd w:val="clear" w:color="auto" w:fill="EBF3FB"/>
          </w:tcPr>
          <w:p>
            <w:r>
              <w:t xml:space="preserve">Day</w:t>
            </w:r>
          </w:p>
        </w:tc>
      </w:tr>
      <w:tr>
        <w:tc>
          <w:tcPr>
            <w:tcW w:w="4000" w:type="dxa"/>
          </w:tcPr>
          <w:p>
            <w:r>
              <w:t xml:space="preserve">SCADA Operator</w:t>
            </w:r>
          </w:p>
        </w:tc>
        <w:tc>
          <w:tcPr>
            <w:tcW w:w="1000" w:type="dxa"/>
          </w:tcPr>
          <w:p>
            <w:r>
              <w:t xml:space="preserve">4</w:t>
            </w:r>
          </w:p>
        </w:tc>
        <w:tc>
          <w:tcPr>
            <w:tcW w:w="4000" w:type="dxa"/>
          </w:tcPr>
          <w:p>
            <w:r>
              <w:t xml:space="preserve">24/7, 4-shift rotation</w:t>
            </w:r>
          </w:p>
        </w:tc>
      </w:tr>
      <w:tr>
        <w:tc>
          <w:tcPr>
            <w:tcW w:w="4000" w:type="dxa"/>
            <w:shd w:val="clear" w:color="auto" w:fill="EBF3FB"/>
          </w:tcPr>
          <w:p>
            <w:r>
              <w:t xml:space="preserve">HSE / GWO Safety Trainer</w:t>
            </w:r>
          </w:p>
        </w:tc>
        <w:tc>
          <w:tcPr>
            <w:tcW w:w="1000" w:type="dxa"/>
            <w:shd w:val="clear" w:color="auto" w:fill="EBF3FB"/>
          </w:tcPr>
          <w:p>
            <w:r>
              <w:t xml:space="preserve">1</w:t>
            </w:r>
          </w:p>
        </w:tc>
        <w:tc>
          <w:tcPr>
            <w:tcW w:w="4000" w:type="dxa"/>
            <w:shd w:val="clear" w:color="auto" w:fill="EBF3FB"/>
          </w:tcPr>
          <w:p>
            <w:r>
              <w:t xml:space="preserve">Day</w:t>
            </w:r>
          </w:p>
        </w:tc>
      </w:tr>
      <w:tr>
        <w:tc>
          <w:tcPr>
            <w:tcW w:w="4000" w:type="dxa"/>
          </w:tcPr>
          <w:p>
            <w:r>
              <w:t xml:space="preserve">Admin and Procurement</w:t>
            </w:r>
          </w:p>
        </w:tc>
        <w:tc>
          <w:tcPr>
            <w:tcW w:w="1000" w:type="dxa"/>
          </w:tcPr>
          <w:p>
            <w:r>
              <w:t xml:space="preserve">2</w:t>
            </w:r>
          </w:p>
        </w:tc>
        <w:tc>
          <w:tcPr>
            <w:tcW w:w="4000" w:type="dxa"/>
          </w:tcPr>
          <w:p>
            <w:r>
              <w:t xml:space="preserve">Day</w:t>
            </w:r>
          </w:p>
        </w:tc>
      </w:tr>
      <w:tr>
        <w:tc>
          <w:tcPr>
            <w:tcW w:w="4000" w:type="dxa"/>
            <w:shd w:val="clear" w:color="auto" w:fill="EBF3FB"/>
          </w:tcPr>
          <w:p>
            <w:r>
              <w:t xml:space="preserve">Security Personnel</w:t>
            </w:r>
          </w:p>
        </w:tc>
        <w:tc>
          <w:tcPr>
            <w:tcW w:w="1000" w:type="dxa"/>
            <w:shd w:val="clear" w:color="auto" w:fill="EBF3FB"/>
          </w:tcPr>
          <w:p>
            <w:r>
              <w:t xml:space="preserve">6</w:t>
            </w:r>
          </w:p>
        </w:tc>
        <w:tc>
          <w:tcPr>
            <w:tcW w:w="4000" w:type="dxa"/>
            <w:shd w:val="clear" w:color="auto" w:fill="EBF3FB"/>
          </w:tcPr>
          <w:p>
            <w:r>
              <w:t xml:space="preserve">24/7</w:t>
            </w:r>
          </w:p>
        </w:tc>
      </w:tr>
      <w:tr>
        <w:tc>
          <w:tcPr>
            <w:tcW w:w="4000" w:type="dxa"/>
          </w:tcPr>
          <w:p>
            <w:r>
              <w:t xml:space="preserve">TOTAL</w:t>
            </w:r>
          </w:p>
        </w:tc>
        <w:tc>
          <w:tcPr>
            <w:tcW w:w="1000" w:type="dxa"/>
          </w:tcPr>
          <w:p>
            <w:r>
              <w:t xml:space="preserve">28</w:t>
            </w:r>
          </w:p>
        </w:tc>
        <w:tc>
          <w:tcPr>
            <w:tcW w:w="4000" w:type="dxa"/>
          </w:tcPr>
          <w:p>
            <w:r>
              <w:t xml:space="preserve"/>
            </w:r>
          </w:p>
        </w:tc>
      </w:tr>
    </w:tbl>
    <w:p/>
    <w:p>
      <w:pPr>
        <w:pStyle w:val="Normal"/>
      </w:pPr>
    </w:p>
    <w:p>
      <w:pPr>
        <w:pStyle w:val="Heading2"/>
      </w:pPr>
      <w:r>
        <w:t xml:space="preserve">7.2 Maintenance Schedule (per turbine)</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2200"/>
        <w:gridCol w:w="6800"/>
      </w:tblGrid>
      <w:tr>
        <w:tc>
          <w:tcPr>
            <w:tcW w:w="2200" w:type="dxa"/>
            <w:shd w:val="clear" w:color="auto" w:fill="1F3864"/>
          </w:tcPr>
          <w:p>
            <w:r>
              <w:rPr>
                <w:b/>
                <w:color w:val="FFFFFF"/>
              </w:rPr>
              <w:t xml:space="preserve">Frequency</w:t>
            </w:r>
          </w:p>
        </w:tc>
        <w:tc>
          <w:tcPr>
            <w:tcW w:w="6800" w:type="dxa"/>
            <w:shd w:val="clear" w:color="auto" w:fill="1F3864"/>
          </w:tcPr>
          <w:p>
            <w:r>
              <w:rPr>
                <w:b/>
                <w:color w:val="FFFFFF"/>
              </w:rPr>
              <w:t xml:space="preserve">Activity</w:t>
            </w:r>
          </w:p>
        </w:tc>
      </w:tr>
      <w:tr>
        <w:tc>
          <w:tcPr>
            <w:tcW w:w="2200" w:type="dxa"/>
          </w:tcPr>
          <w:p>
            <w:r>
              <w:t xml:space="preserve">Continuous (24/7)</w:t>
            </w:r>
          </w:p>
        </w:tc>
        <w:tc>
          <w:tcPr>
            <w:tcW w:w="6800" w:type="dxa"/>
          </w:tcPr>
          <w:p>
            <w:r>
              <w:t xml:space="preserve">SCADA monitoring: vibration, temperature, power output, fault codes</w:t>
            </w:r>
          </w:p>
        </w:tc>
      </w:tr>
      <w:tr>
        <w:tc>
          <w:tcPr>
            <w:tcW w:w="2200" w:type="dxa"/>
            <w:shd w:val="clear" w:color="auto" w:fill="EBF3FB"/>
          </w:tcPr>
          <w:p>
            <w:r>
              <w:t xml:space="preserve">Weekly</w:t>
            </w:r>
          </w:p>
        </w:tc>
        <w:tc>
          <w:tcPr>
            <w:tcW w:w="6800" w:type="dxa"/>
            <w:shd w:val="clear" w:color="auto" w:fill="EBF3FB"/>
          </w:tcPr>
          <w:p>
            <w:r>
              <w:t xml:space="preserve">Ground-level visual + drone inspection; oil-leak check</w:t>
            </w:r>
          </w:p>
        </w:tc>
      </w:tr>
      <w:tr>
        <w:tc>
          <w:tcPr>
            <w:tcW w:w="2200" w:type="dxa"/>
          </w:tcPr>
          <w:p>
            <w:r>
              <w:t xml:space="preserve">Monthly</w:t>
            </w:r>
          </w:p>
        </w:tc>
        <w:tc>
          <w:tcPr>
            <w:tcW w:w="6800" w:type="dxa"/>
          </w:tcPr>
          <w:p>
            <w:r>
              <w:t xml:space="preserve">Tower climb: bolt torque sample, lube check, brake pad thickness</w:t>
            </w:r>
          </w:p>
        </w:tc>
      </w:tr>
      <w:tr>
        <w:tc>
          <w:tcPr>
            <w:tcW w:w="2200" w:type="dxa"/>
            <w:shd w:val="clear" w:color="auto" w:fill="EBF3FB"/>
          </w:tcPr>
          <w:p>
            <w:r>
              <w:t xml:space="preserve">Quarterly</w:t>
            </w:r>
          </w:p>
        </w:tc>
        <w:tc>
          <w:tcPr>
            <w:tcW w:w="6800" w:type="dxa"/>
            <w:shd w:val="clear" w:color="auto" w:fill="EBF3FB"/>
          </w:tcPr>
          <w:p>
            <w:r>
              <w:t xml:space="preserve">Gearbox oil sample for spectrographic analysis; blade LE inspection</w:t>
            </w:r>
          </w:p>
        </w:tc>
      </w:tr>
      <w:tr>
        <w:tc>
          <w:tcPr>
            <w:tcW w:w="2200" w:type="dxa"/>
          </w:tcPr>
          <w:p>
            <w:r>
              <w:t xml:space="preserve">Semi-annual</w:t>
            </w:r>
          </w:p>
        </w:tc>
        <w:tc>
          <w:tcPr>
            <w:tcW w:w="6800" w:type="dxa"/>
          </w:tcPr>
          <w:p>
            <w:r>
              <w:t xml:space="preserve">Yaw/pitch function test; emergency descender re-certification</w:t>
            </w:r>
          </w:p>
        </w:tc>
      </w:tr>
      <w:tr>
        <w:tc>
          <w:tcPr>
            <w:tcW w:w="2200" w:type="dxa"/>
            <w:shd w:val="clear" w:color="auto" w:fill="EBF3FB"/>
          </w:tcPr>
          <w:p>
            <w:r>
              <w:t xml:space="preserve">Annual</w:t>
            </w:r>
          </w:p>
        </w:tc>
        <w:tc>
          <w:tcPr>
            <w:tcW w:w="6800" w:type="dxa"/>
            <w:shd w:val="clear" w:color="auto" w:fill="EBF3FB"/>
          </w:tcPr>
          <w:p>
            <w:r>
              <w:t xml:space="preserve">Full PM: oil change, filter change, bolt re-torque (all 144 anchor bolts)</w:t>
            </w:r>
          </w:p>
        </w:tc>
      </w:tr>
      <w:tr>
        <w:tc>
          <w:tcPr>
            <w:tcW w:w="2200" w:type="dxa"/>
          </w:tcPr>
          <w:p>
            <w:r>
              <w:t xml:space="preserve">Every 2 years</w:t>
            </w:r>
          </w:p>
        </w:tc>
        <w:tc>
          <w:tcPr>
            <w:tcW w:w="6800" w:type="dxa"/>
          </w:tcPr>
          <w:p>
            <w:r>
              <w:t xml:space="preserve">Generator slip-ring service; grid-code compliance test (ERC)</w:t>
            </w:r>
          </w:p>
        </w:tc>
      </w:tr>
      <w:tr>
        <w:tc>
          <w:tcPr>
            <w:tcW w:w="2200" w:type="dxa"/>
            <w:shd w:val="clear" w:color="auto" w:fill="EBF3FB"/>
          </w:tcPr>
          <w:p>
            <w:r>
              <w:t xml:space="preserve">Every 5 years</w:t>
            </w:r>
          </w:p>
        </w:tc>
        <w:tc>
          <w:tcPr>
            <w:tcW w:w="6800" w:type="dxa"/>
            <w:shd w:val="clear" w:color="auto" w:fill="EBF3FB"/>
          </w:tcPr>
          <w:p>
            <w:r>
              <w:t xml:space="preserve">Major: gearbox borescope, blade composite UT scan, transformer oil DGA</w:t>
            </w:r>
          </w:p>
        </w:tc>
      </w:tr>
      <w:tr>
        <w:tc>
          <w:tcPr>
            <w:tcW w:w="2200" w:type="dxa"/>
          </w:tcPr>
          <w:p>
            <w:r>
              <w:t xml:space="preserve">Every 10 years</w:t>
            </w:r>
          </w:p>
        </w:tc>
        <w:tc>
          <w:tcPr>
            <w:tcW w:w="6800" w:type="dxa"/>
          </w:tcPr>
          <w:p>
            <w:r>
              <w:t xml:space="preserve">Mid-life overhaul: gearbox refurbishment, generator rewind assessment</w:t>
            </w:r>
          </w:p>
        </w:tc>
      </w:tr>
    </w:tbl>
    <w:p/>
    <w:p>
      <w:pPr>
        <w:pStyle w:val="Normal"/>
      </w:pPr>
    </w:p>
    <w:p>
      <w:pPr>
        <w:pStyle w:val="Heading2"/>
      </w:pPr>
      <w:r>
        <w:t xml:space="preserve">7.3 Spare Parts Tiering</w:t>
      </w:r>
    </w:p>
    <w:p>
      <w:pPr>
        <w:pStyle w:val="ListParagraph"/>
        <w:numPr>
          <w:ilvl w:val="0"/>
          <w:numId w:val="1"/>
        </w:numPr>
      </w:pPr>
      <w:r>
        <w:t xml:space="preserve">Tier A — On-site (immediate): pitch motors, yaw motors, fuses, contactors, sensors, oil, filters.</w:t>
      </w:r>
    </w:p>
    <w:p>
      <w:pPr>
        <w:pStyle w:val="ListParagraph"/>
        <w:numPr>
          <w:ilvl w:val="0"/>
          <w:numId w:val="1"/>
        </w:numPr>
      </w:pPr>
      <w:r>
        <w:t xml:space="preserve">Tier B — Regional depot, 24 h delivery: IGBT converter modules, slip rings, brake pads, hydraulic accumulators.</w:t>
      </w:r>
    </w:p>
    <w:p>
      <w:pPr>
        <w:pStyle w:val="ListParagraph"/>
        <w:numPr>
          <w:ilvl w:val="0"/>
          <w:numId w:val="1"/>
        </w:numPr>
      </w:pPr>
      <w:r>
        <w:t xml:space="preserve">Tier C — Manufacturer warehouse, 2–6 weeks: main bearing, gearbox sub-assembly, generator, blade section.</w:t>
      </w:r>
    </w:p>
    <w:p>
      <w:pPr>
        <w:pStyle w:val="Normal"/>
      </w:pPr>
    </w:p>
    <w:p>
      <w:pPr>
        <w:pStyle w:val="Heading2"/>
      </w:pPr>
      <w:r>
        <w:t xml:space="preserve">7.4 Safety Requirements</w:t>
      </w:r>
    </w:p>
    <w:p>
      <w:pPr>
        <w:pStyle w:val="ListParagraph"/>
        <w:numPr>
          <w:ilvl w:val="0"/>
          <w:numId w:val="1"/>
        </w:numPr>
      </w:pPr>
      <w:r>
        <w:t xml:space="preserve">All turbine technicians must hold valid GWO Basic Safety Training (BST): Working at Heights, First Aid, Manual Handling, Fire Awareness.</w:t>
      </w:r>
    </w:p>
    <w:p>
      <w:pPr>
        <w:pStyle w:val="ListParagraph"/>
        <w:numPr>
          <w:ilvl w:val="0"/>
          <w:numId w:val="1"/>
        </w:numPr>
      </w:pPr>
      <w:r>
        <w:t xml:space="preserve">Two-person rule enforced above 30 m inside or outside the tower.</w:t>
      </w:r>
    </w:p>
    <w:p>
      <w:pPr>
        <w:pStyle w:val="ListParagraph"/>
        <w:numPr>
          <w:ilvl w:val="0"/>
          <w:numId w:val="1"/>
        </w:numPr>
      </w:pPr>
      <w:r>
        <w:t xml:space="preserve">Hot-work permits required for any welding or grinding inside the nacelle.</w:t>
      </w:r>
    </w:p>
    <w:p>
      <w:pPr>
        <w:pStyle w:val="ListParagraph"/>
        <w:numPr>
          <w:ilvl w:val="0"/>
          <w:numId w:val="1"/>
        </w:numPr>
      </w:pPr>
      <w:r>
        <w:t xml:space="preserve">Annual emergency drill: nacelle fire, tower evacuation, casualty medical response.</w:t>
      </w:r>
    </w:p>
    <w:p>
      <w:pPr>
        <w:pStyle w:val="ListParagraph"/>
        <w:numPr>
          <w:ilvl w:val="0"/>
          <w:numId w:val="1"/>
        </w:numPr>
      </w:pPr>
      <w:r>
        <w:t xml:space="preserve">Compliance with DOLE Department Order No. 198-18 (Occupational Safety and Health Standards at All Times).</w:t>
      </w:r>
    </w:p>
    <w:p>
      <w:r>
        <w:br w:type="page"/>
      </w:r>
    </w:p>
    <w:p>
      <w:pPr>
        <w:pStyle w:val="Heading1"/>
      </w:pPr>
      <w:r>
        <w:t xml:space="preserve">Section 8 — Materials and Color-Coding Standards</w:t>
      </w:r>
    </w:p>
    <w:p>
      <w:pPr>
        <w:pStyle w:val="Normal"/>
      </w:pPr>
    </w:p>
    <w:p>
      <w:pPr>
        <w:pStyle w:val="Heading2"/>
      </w:pPr>
      <w:r>
        <w:t xml:space="preserve">8.1 Material Specifications</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3000"/>
        <w:gridCol w:w="6000"/>
      </w:tblGrid>
      <w:tr>
        <w:tc>
          <w:tcPr>
            <w:tcW w:w="3000" w:type="dxa"/>
            <w:shd w:val="clear" w:color="auto" w:fill="1F3864"/>
          </w:tcPr>
          <w:p>
            <w:r>
              <w:rPr>
                <w:b/>
                <w:color w:val="FFFFFF"/>
              </w:rPr>
              <w:t xml:space="preserve">Component</w:t>
            </w:r>
          </w:p>
        </w:tc>
        <w:tc>
          <w:tcPr>
            <w:tcW w:w="6000" w:type="dxa"/>
            <w:shd w:val="clear" w:color="auto" w:fill="1F3864"/>
          </w:tcPr>
          <w:p>
            <w:r>
              <w:rPr>
                <w:b/>
                <w:color w:val="FFFFFF"/>
              </w:rPr>
              <w:t xml:space="preserve">Material / Grade / Standard</w:t>
            </w:r>
          </w:p>
        </w:tc>
      </w:tr>
      <w:tr>
        <w:tc>
          <w:tcPr>
            <w:tcW w:w="3000" w:type="dxa"/>
          </w:tcPr>
          <w:p>
            <w:r>
              <w:t xml:space="preserve">Tower steel</w:t>
            </w:r>
          </w:p>
        </w:tc>
        <w:tc>
          <w:tcPr>
            <w:tcW w:w="6000" w:type="dxa"/>
          </w:tcPr>
          <w:p>
            <w:r>
              <w:t xml:space="preserve">S355 J0+N per EN 10025-2</w:t>
            </w:r>
          </w:p>
        </w:tc>
      </w:tr>
      <w:tr>
        <w:tc>
          <w:tcPr>
            <w:tcW w:w="3000" w:type="dxa"/>
            <w:shd w:val="clear" w:color="auto" w:fill="EBF3FB"/>
          </w:tcPr>
          <w:p>
            <w:r>
              <w:t xml:space="preserve">Tower flange bolts</w:t>
            </w:r>
          </w:p>
        </w:tc>
        <w:tc>
          <w:tcPr>
            <w:tcW w:w="6000" w:type="dxa"/>
            <w:shd w:val="clear" w:color="auto" w:fill="EBF3FB"/>
          </w:tcPr>
          <w:p>
            <w:r>
              <w:t xml:space="preserve">ISO 898-1 Class 10.9, hot-dip galvanized</w:t>
            </w:r>
          </w:p>
        </w:tc>
      </w:tr>
      <w:tr>
        <w:tc>
          <w:tcPr>
            <w:tcW w:w="3000" w:type="dxa"/>
          </w:tcPr>
          <w:p>
            <w:r>
              <w:t xml:space="preserve">Anchor bolts</w:t>
            </w:r>
          </w:p>
        </w:tc>
        <w:tc>
          <w:tcPr>
            <w:tcW w:w="6000" w:type="dxa"/>
          </w:tcPr>
          <w:p>
            <w:r>
              <w:t xml:space="preserve">ISO 898-1 Class 10.9 or ASTM A615 Grade 75</w:t>
            </w:r>
          </w:p>
        </w:tc>
      </w:tr>
      <w:tr>
        <w:tc>
          <w:tcPr>
            <w:tcW w:w="3000" w:type="dxa"/>
            <w:shd w:val="clear" w:color="auto" w:fill="EBF3FB"/>
          </w:tcPr>
          <w:p>
            <w:r>
              <w:t xml:space="preserve">Foundation concrete</w:t>
            </w:r>
          </w:p>
        </w:tc>
        <w:tc>
          <w:tcPr>
            <w:tcW w:w="6000" w:type="dxa"/>
            <w:shd w:val="clear" w:color="auto" w:fill="EBF3FB"/>
          </w:tcPr>
          <w:p>
            <w:r>
              <w:t xml:space="preserve">fc' = 35 MPa; ACI 318 / NSCP 2015</w:t>
            </w:r>
          </w:p>
        </w:tc>
      </w:tr>
      <w:tr>
        <w:tc>
          <w:tcPr>
            <w:tcW w:w="3000" w:type="dxa"/>
          </w:tcPr>
          <w:p>
            <w:r>
              <w:t xml:space="preserve">Foundation rebar</w:t>
            </w:r>
          </w:p>
        </w:tc>
        <w:tc>
          <w:tcPr>
            <w:tcW w:w="6000" w:type="dxa"/>
          </w:tcPr>
          <w:p>
            <w:r>
              <w:t xml:space="preserve">Grade 60 (fy = 414 MPa) deformed bars</w:t>
            </w:r>
          </w:p>
        </w:tc>
      </w:tr>
      <w:tr>
        <w:tc>
          <w:tcPr>
            <w:tcW w:w="3000" w:type="dxa"/>
            <w:shd w:val="clear" w:color="auto" w:fill="EBF3FB"/>
          </w:tcPr>
          <w:p>
            <w:r>
              <w:t xml:space="preserve">External coating system</w:t>
            </w:r>
          </w:p>
        </w:tc>
        <w:tc>
          <w:tcPr>
            <w:tcW w:w="6000" w:type="dxa"/>
            <w:shd w:val="clear" w:color="auto" w:fill="EBF3FB"/>
          </w:tcPr>
          <w:p>
            <w:r>
              <w:t xml:space="preserve">ISO 12944 C5-M: zinc-rich primer + epoxy + PU topcoat, total DFT ≥ 320 µm</w:t>
            </w:r>
          </w:p>
        </w:tc>
      </w:tr>
      <w:tr>
        <w:tc>
          <w:tcPr>
            <w:tcW w:w="3000" w:type="dxa"/>
          </w:tcPr>
          <w:p>
            <w:r>
              <w:t xml:space="preserve">Blade composite</w:t>
            </w:r>
          </w:p>
        </w:tc>
        <w:tc>
          <w:tcPr>
            <w:tcW w:w="6000" w:type="dxa"/>
          </w:tcPr>
          <w:p>
            <w:r>
              <w:t xml:space="preserve">Glass-fiber reinforced epoxy (GFRP) + carbon spar caps; IEC 61400-5</w:t>
            </w:r>
          </w:p>
        </w:tc>
      </w:tr>
      <w:tr>
        <w:tc>
          <w:tcPr>
            <w:tcW w:w="3000" w:type="dxa"/>
            <w:shd w:val="clear" w:color="auto" w:fill="EBF3FB"/>
          </w:tcPr>
          <w:p>
            <w:r>
              <w:t xml:space="preserve">33 kV inter-array cable</w:t>
            </w:r>
          </w:p>
        </w:tc>
        <w:tc>
          <w:tcPr>
            <w:tcW w:w="6000" w:type="dxa"/>
            <w:shd w:val="clear" w:color="auto" w:fill="EBF3FB"/>
          </w:tcPr>
          <w:p>
            <w:r>
              <w:t xml:space="preserve">XLPE-insulated copper conductor Class 2; IEC 60502-2</w:t>
            </w:r>
          </w:p>
        </w:tc>
      </w:tr>
      <w:tr>
        <w:tc>
          <w:tcPr>
            <w:tcW w:w="3000" w:type="dxa"/>
          </w:tcPr>
          <w:p>
            <w:r>
              <w:t xml:space="preserve">115 kV overhead conductor</w:t>
            </w:r>
          </w:p>
        </w:tc>
        <w:tc>
          <w:tcPr>
            <w:tcW w:w="6000" w:type="dxa"/>
          </w:tcPr>
          <w:p>
            <w:r>
              <w:t xml:space="preserve">ACSR 'Drake' per ANSI/NEMA; NESC clearances</w:t>
            </w:r>
          </w:p>
        </w:tc>
      </w:tr>
      <w:tr>
        <w:tc>
          <w:tcPr>
            <w:tcW w:w="3000" w:type="dxa"/>
            <w:shd w:val="clear" w:color="auto" w:fill="EBF3FB"/>
          </w:tcPr>
          <w:p>
            <w:r>
              <w:t xml:space="preserve">Substation grounding conductor</w:t>
            </w:r>
          </w:p>
        </w:tc>
        <w:tc>
          <w:tcPr>
            <w:tcW w:w="6000" w:type="dxa"/>
            <w:shd w:val="clear" w:color="auto" w:fill="EBF3FB"/>
          </w:tcPr>
          <w:p>
            <w:r>
              <w:t xml:space="preserve">Bare copper 95 mm² mesh; IEEE 80</w:t>
            </w:r>
          </w:p>
        </w:tc>
      </w:tr>
      <w:tr>
        <w:tc>
          <w:tcPr>
            <w:tcW w:w="3000" w:type="dxa"/>
          </w:tcPr>
          <w:p>
            <w:r>
              <w:t xml:space="preserve">Control cabinets</w:t>
            </w:r>
          </w:p>
        </w:tc>
        <w:tc>
          <w:tcPr>
            <w:tcW w:w="6000" w:type="dxa"/>
          </w:tcPr>
          <w:p>
            <w:r>
              <w:t xml:space="preserve">IP66 painted steel; RAL 7035 light grey</w:t>
            </w:r>
          </w:p>
        </w:tc>
      </w:tr>
      <w:tr>
        <w:tc>
          <w:tcPr>
            <w:tcW w:w="3000" w:type="dxa"/>
            <w:shd w:val="clear" w:color="auto" w:fill="EBF3FB"/>
          </w:tcPr>
          <w:p>
            <w:r>
              <w:t xml:space="preserve">Gearbox lubricant</w:t>
            </w:r>
          </w:p>
        </w:tc>
        <w:tc>
          <w:tcPr>
            <w:tcW w:w="6000" w:type="dxa"/>
            <w:shd w:val="clear" w:color="auto" w:fill="EBF3FB"/>
          </w:tcPr>
          <w:p>
            <w:r>
              <w:t xml:space="preserve">ISO VG 320 mineral or PAO synthetic</w:t>
            </w:r>
          </w:p>
        </w:tc>
      </w:tr>
      <w:tr>
        <w:tc>
          <w:tcPr>
            <w:tcW w:w="3000" w:type="dxa"/>
          </w:tcPr>
          <w:p>
            <w:r>
              <w:t xml:space="preserve">Yaw/pitch grease</w:t>
            </w:r>
          </w:p>
        </w:tc>
        <w:tc>
          <w:tcPr>
            <w:tcW w:w="6000" w:type="dxa"/>
          </w:tcPr>
          <w:p>
            <w:r>
              <w:t xml:space="preserve">NLGI-2 lithium-complex with EP additive</w:t>
            </w:r>
          </w:p>
        </w:tc>
      </w:tr>
    </w:tbl>
    <w:p/>
    <w:p>
      <w:pPr>
        <w:pStyle w:val="Normal"/>
      </w:pPr>
    </w:p>
    <w:p>
      <w:pPr>
        <w:pStyle w:val="Heading2"/>
      </w:pPr>
      <w:r>
        <w:t xml:space="preserve">8.2 Color-Coding Scheme</w:t>
      </w:r>
    </w:p>
    <w:tbl>
      <w:tblPr>
        <w:tblW w:w="9000" w:type="dxa"/>
        <w:tblBorders>
          <w:top w:val="single" w:sz="6" w:color="1F3864"/>
          <w:left w:val="single" w:sz="6" w:color="1F3864"/>
          <w:bottom w:val="single" w:sz="6" w:color="1F3864"/>
          <w:right w:val="single" w:sz="6" w:color="1F3864"/>
          <w:insideH w:val="single" w:sz="4" w:color="BFBFBF"/>
          <w:insideV w:val="single" w:sz="4" w:color="BFBFBF"/>
        </w:tblBorders>
      </w:tblPr>
      <w:tblGrid>
        <w:gridCol w:w="2800"/>
        <w:gridCol w:w="3000"/>
        <w:gridCol w:w="3200"/>
      </w:tblGrid>
      <w:tr>
        <w:tc>
          <w:tcPr>
            <w:tcW w:w="2800" w:type="dxa"/>
            <w:shd w:val="clear" w:color="auto" w:fill="1F3864"/>
          </w:tcPr>
          <w:p>
            <w:r>
              <w:rPr>
                <w:b/>
                <w:color w:val="FFFFFF"/>
              </w:rPr>
              <w:t xml:space="preserve">Item</w:t>
            </w:r>
          </w:p>
        </w:tc>
        <w:tc>
          <w:tcPr>
            <w:tcW w:w="3000" w:type="dxa"/>
            <w:shd w:val="clear" w:color="auto" w:fill="1F3864"/>
          </w:tcPr>
          <w:p>
            <w:r>
              <w:rPr>
                <w:b/>
                <w:color w:val="FFFFFF"/>
              </w:rPr>
              <w:t xml:space="preserve">Color (RAL)</w:t>
            </w:r>
          </w:p>
        </w:tc>
        <w:tc>
          <w:tcPr>
            <w:tcW w:w="3200" w:type="dxa"/>
            <w:shd w:val="clear" w:color="auto" w:fill="1F3864"/>
          </w:tcPr>
          <w:p>
            <w:r>
              <w:rPr>
                <w:b/>
                <w:color w:val="FFFFFF"/>
              </w:rPr>
              <w:t xml:space="preserve">Standard / Reason</w:t>
            </w:r>
          </w:p>
        </w:tc>
      </w:tr>
      <w:tr>
        <w:tc>
          <w:tcPr>
            <w:tcW w:w="2800" w:type="dxa"/>
          </w:tcPr>
          <w:p>
            <w:r>
              <w:t xml:space="preserve">Tower body — lower 2/3</w:t>
            </w:r>
          </w:p>
        </w:tc>
        <w:tc>
          <w:tcPr>
            <w:tcW w:w="3000" w:type="dxa"/>
          </w:tcPr>
          <w:p>
            <w:r>
              <w:t xml:space="preserve">RAL 9010 Pure White</w:t>
            </w:r>
          </w:p>
        </w:tc>
        <w:tc>
          <w:tcPr>
            <w:tcW w:w="3200" w:type="dxa"/>
          </w:tcPr>
          <w:p>
            <w:r>
              <w:t xml:space="preserve">IEC visibility baseline</w:t>
            </w:r>
          </w:p>
        </w:tc>
      </w:tr>
      <w:tr>
        <w:tc>
          <w:tcPr>
            <w:tcW w:w="2800" w:type="dxa"/>
            <w:shd w:val="clear" w:color="auto" w:fill="EBF3FB"/>
          </w:tcPr>
          <w:p>
            <w:r>
              <w:t xml:space="preserve">Tower body — upper 1/3 (2 red bands)</w:t>
            </w:r>
          </w:p>
        </w:tc>
        <w:tc>
          <w:tcPr>
            <w:tcW w:w="3000" w:type="dxa"/>
            <w:shd w:val="clear" w:color="auto" w:fill="EBF3FB"/>
          </w:tcPr>
          <w:p>
            <w:r>
              <w:t xml:space="preserve">RAL 3020 Traffic Red</w:t>
            </w:r>
          </w:p>
        </w:tc>
        <w:tc>
          <w:tcPr>
            <w:tcW w:w="3200" w:type="dxa"/>
            <w:shd w:val="clear" w:color="auto" w:fill="EBF3FB"/>
          </w:tcPr>
          <w:p>
            <w:r>
              <w:t xml:space="preserve">CAAP MOS Part 14 — daytime obstruction</w:t>
            </w:r>
          </w:p>
        </w:tc>
      </w:tr>
      <w:tr>
        <w:tc>
          <w:tcPr>
            <w:tcW w:w="2800" w:type="dxa"/>
          </w:tcPr>
          <w:p>
            <w:r>
              <w:t xml:space="preserve">Blade tips (last 6 m, alternating)</w:t>
            </w:r>
          </w:p>
        </w:tc>
        <w:tc>
          <w:tcPr>
            <w:tcW w:w="3000" w:type="dxa"/>
          </w:tcPr>
          <w:p>
            <w:r>
              <w:t xml:space="preserve">RAL 3020 + RAL 9010</w:t>
            </w:r>
          </w:p>
        </w:tc>
        <w:tc>
          <w:tcPr>
            <w:tcW w:w="3200" w:type="dxa"/>
          </w:tcPr>
          <w:p>
            <w:r>
              <w:t xml:space="preserve">Aviation visibility</w:t>
            </w:r>
          </w:p>
        </w:tc>
      </w:tr>
      <w:tr>
        <w:tc>
          <w:tcPr>
            <w:tcW w:w="2800" w:type="dxa"/>
            <w:shd w:val="clear" w:color="auto" w:fill="EBF3FB"/>
          </w:tcPr>
          <w:p>
            <w:r>
              <w:t xml:space="preserve">Aviation warning lights</w:t>
            </w:r>
          </w:p>
        </w:tc>
        <w:tc>
          <w:tcPr>
            <w:tcW w:w="3000" w:type="dxa"/>
            <w:shd w:val="clear" w:color="auto" w:fill="EBF3FB"/>
          </w:tcPr>
          <w:p>
            <w:r>
              <w:t xml:space="preserve">Red, medium-intensity flashing</w:t>
            </w:r>
          </w:p>
        </w:tc>
        <w:tc>
          <w:tcPr>
            <w:tcW w:w="3200" w:type="dxa"/>
            <w:shd w:val="clear" w:color="auto" w:fill="EBF3FB"/>
          </w:tcPr>
          <w:p>
            <w:r>
              <w:t xml:space="preserve">ICAO Annex 14 / CAAP</w:t>
            </w:r>
          </w:p>
        </w:tc>
      </w:tr>
      <w:tr>
        <w:tc>
          <w:tcPr>
            <w:tcW w:w="2800" w:type="dxa"/>
          </w:tcPr>
          <w:p>
            <w:r>
              <w:t xml:space="preserve">Earthing conductors</w:t>
            </w:r>
          </w:p>
        </w:tc>
        <w:tc>
          <w:tcPr>
            <w:tcW w:w="3000" w:type="dxa"/>
          </w:tcPr>
          <w:p>
            <w:r>
              <w:t xml:space="preserve">Green/Yellow striped</w:t>
            </w:r>
          </w:p>
        </w:tc>
        <w:tc>
          <w:tcPr>
            <w:tcW w:w="3200" w:type="dxa"/>
          </w:tcPr>
          <w:p>
            <w:r>
              <w:t xml:space="preserve">IEC 60446</w:t>
            </w:r>
          </w:p>
        </w:tc>
      </w:tr>
      <w:tr>
        <w:tc>
          <w:tcPr>
            <w:tcW w:w="2800" w:type="dxa"/>
            <w:shd w:val="clear" w:color="auto" w:fill="EBF3FB"/>
          </w:tcPr>
          <w:p>
            <w:r>
              <w:t xml:space="preserve">33 kV cable phase marking</w:t>
            </w:r>
          </w:p>
        </w:tc>
        <w:tc>
          <w:tcPr>
            <w:tcW w:w="3000" w:type="dxa"/>
            <w:shd w:val="clear" w:color="auto" w:fill="EBF3FB"/>
          </w:tcPr>
          <w:p>
            <w:r>
              <w:t xml:space="preserve">L1=Red, L2=Yellow, L3=Blue</w:t>
            </w:r>
          </w:p>
        </w:tc>
        <w:tc>
          <w:tcPr>
            <w:tcW w:w="3200" w:type="dxa"/>
            <w:shd w:val="clear" w:color="auto" w:fill="EBF3FB"/>
          </w:tcPr>
          <w:p>
            <w:r>
              <w:t xml:space="preserve">PEC 2017 Philippine standard</w:t>
            </w:r>
          </w:p>
        </w:tc>
      </w:tr>
      <w:tr>
        <w:tc>
          <w:tcPr>
            <w:tcW w:w="2800" w:type="dxa"/>
          </w:tcPr>
          <w:p>
            <w:r>
              <w:t xml:space="preserve">Fire-fighting equipment</w:t>
            </w:r>
          </w:p>
        </w:tc>
        <w:tc>
          <w:tcPr>
            <w:tcW w:w="3000" w:type="dxa"/>
          </w:tcPr>
          <w:p>
            <w:r>
              <w:t xml:space="preserve">RAL 3000 Flame Red</w:t>
            </w:r>
          </w:p>
        </w:tc>
        <w:tc>
          <w:tcPr>
            <w:tcW w:w="3200" w:type="dxa"/>
          </w:tcPr>
          <w:p>
            <w:r>
              <w:t xml:space="preserve">DOLE OSH Standard</w:t>
            </w:r>
          </w:p>
        </w:tc>
      </w:tr>
      <w:tr>
        <w:tc>
          <w:tcPr>
            <w:tcW w:w="2800" w:type="dxa"/>
            <w:shd w:val="clear" w:color="auto" w:fill="EBF3FB"/>
          </w:tcPr>
          <w:p>
            <w:r>
              <w:t xml:space="preserve">Emergency exits and evacuation arrows</w:t>
            </w:r>
          </w:p>
        </w:tc>
        <w:tc>
          <w:tcPr>
            <w:tcW w:w="3000" w:type="dxa"/>
            <w:shd w:val="clear" w:color="auto" w:fill="EBF3FB"/>
          </w:tcPr>
          <w:p>
            <w:r>
              <w:t xml:space="preserve">RAL 6024 Traffic Green + white text</w:t>
            </w:r>
          </w:p>
        </w:tc>
        <w:tc>
          <w:tcPr>
            <w:tcW w:w="3200" w:type="dxa"/>
            <w:shd w:val="clear" w:color="auto" w:fill="EBF3FB"/>
          </w:tcPr>
          <w:p>
            <w:r>
              <w:t xml:space="preserve">ISO 7010</w:t>
            </w:r>
          </w:p>
        </w:tc>
      </w:tr>
      <w:tr>
        <w:tc>
          <w:tcPr>
            <w:tcW w:w="2800" w:type="dxa"/>
          </w:tcPr>
          <w:p>
            <w:r>
              <w:t xml:space="preserve">115 kV substation panels</w:t>
            </w:r>
          </w:p>
        </w:tc>
        <w:tc>
          <w:tcPr>
            <w:tcW w:w="3000" w:type="dxa"/>
          </w:tcPr>
          <w:p>
            <w:r>
              <w:t xml:space="preserve">RAL 7032 Pebble Grey</w:t>
            </w:r>
          </w:p>
        </w:tc>
        <w:tc>
          <w:tcPr>
            <w:tcW w:w="3200" w:type="dxa"/>
          </w:tcPr>
          <w:p>
            <w:r>
              <w:t xml:space="preserve">Philippine substation convention</w:t>
            </w:r>
          </w:p>
        </w:tc>
      </w:tr>
      <w:tr>
        <w:tc>
          <w:tcPr>
            <w:tcW w:w="2800" w:type="dxa"/>
            <w:shd w:val="clear" w:color="auto" w:fill="EBF3FB"/>
          </w:tcPr>
          <w:p>
            <w:r>
              <w:t xml:space="preserve">Hazard / caution floor markings</w:t>
            </w:r>
          </w:p>
        </w:tc>
        <w:tc>
          <w:tcPr>
            <w:tcW w:w="3000" w:type="dxa"/>
            <w:shd w:val="clear" w:color="auto" w:fill="EBF3FB"/>
          </w:tcPr>
          <w:p>
            <w:r>
              <w:t xml:space="preserve">RAL 1023 Traffic Yellow + black stripes</w:t>
            </w:r>
          </w:p>
        </w:tc>
        <w:tc>
          <w:tcPr>
            <w:tcW w:w="3200" w:type="dxa"/>
            <w:shd w:val="clear" w:color="auto" w:fill="EBF3FB"/>
          </w:tcPr>
          <w:p>
            <w:r>
              <w:t xml:space="preserve">ISO 3864</w:t>
            </w:r>
          </w:p>
        </w:tc>
      </w:tr>
      <w:tr>
        <w:tc>
          <w:tcPr>
            <w:tcW w:w="2800" w:type="dxa"/>
          </w:tcPr>
          <w:p>
            <w:r>
              <w:t xml:space="preserve">Transformer bund wall (oil containment)</w:t>
            </w:r>
          </w:p>
        </w:tc>
        <w:tc>
          <w:tcPr>
            <w:tcW w:w="3000" w:type="dxa"/>
          </w:tcPr>
          <w:p>
            <w:r>
              <w:t xml:space="preserve">RAL 1018 Zinc Yellow</w:t>
            </w:r>
          </w:p>
        </w:tc>
        <w:tc>
          <w:tcPr>
            <w:tcW w:w="3200" w:type="dxa"/>
          </w:tcPr>
          <w:p>
            <w:r>
              <w:t xml:space="preserve">Visibility for inspection</w:t>
            </w:r>
          </w:p>
        </w:tc>
      </w:tr>
    </w:tbl>
    <w:p/>
    <w:p>
      <w:r>
        <w:br w:type="page"/>
      </w:r>
    </w:p>
    <w:p>
      <w:pPr>
        <w:pStyle w:val="Heading1"/>
      </w:pPr>
      <w:r>
        <w:t xml:space="preserve">Section 9 — Regulatory and Standards Compliance</w:t>
      </w:r>
    </w:p>
    <w:p>
      <w:pPr>
        <w:pStyle w:val="Normal"/>
      </w:pPr>
      <w:r>
        <w:t xml:space="preserve">All laws and standards cited in the original proposal (Section V-C and VII) plus additional codes required for the supplemental engineering sections:</w:t>
      </w:r>
    </w:p>
    <w:p>
      <w:pPr>
        <w:pStyle w:val="Normal"/>
      </w:pPr>
    </w:p>
    <w:p>
      <w:pPr>
        <w:pStyle w:val="Heading2"/>
      </w:pPr>
      <w:r>
        <w:t xml:space="preserve">9.1 Philippine Laws and DOE/ERC Orders</w:t>
      </w:r>
    </w:p>
    <w:p>
      <w:pPr>
        <w:pStyle w:val="ListParagraph"/>
        <w:numPr>
          <w:ilvl w:val="0"/>
          <w:numId w:val="1"/>
        </w:numPr>
      </w:pPr>
      <w:r>
        <w:t xml:space="preserve">RA 9513 — Renewable Energy Act of 2008; basis for DOE Service Contract and FiT incentives.</w:t>
      </w:r>
    </w:p>
    <w:p>
      <w:pPr>
        <w:pStyle w:val="ListParagraph"/>
        <w:numPr>
          <w:ilvl w:val="0"/>
          <w:numId w:val="1"/>
        </w:numPr>
      </w:pPr>
      <w:r>
        <w:t xml:space="preserve">RA 9136 — Electric Power Industry Reform Act (EPIRA), 2001.</w:t>
      </w:r>
    </w:p>
    <w:p>
      <w:pPr>
        <w:pStyle w:val="ListParagraph"/>
        <w:numPr>
          <w:ilvl w:val="0"/>
          <w:numId w:val="1"/>
        </w:numPr>
      </w:pPr>
      <w:r>
        <w:t xml:space="preserve">ERC Resolution No. 16, Series of 2022 — Feed-in Tariff rate: PHP 8.53/kWh for wind.</w:t>
      </w:r>
    </w:p>
    <w:p>
      <w:pPr>
        <w:pStyle w:val="ListParagraph"/>
        <w:numPr>
          <w:ilvl w:val="0"/>
          <w:numId w:val="1"/>
        </w:numPr>
      </w:pPr>
      <w:r>
        <w:t xml:space="preserve">DOE Department Circular DC2009-07-0011 — Implementing Rules of RA 9513.</w:t>
      </w:r>
    </w:p>
    <w:p>
      <w:pPr>
        <w:pStyle w:val="ListParagraph"/>
        <w:numPr>
          <w:ilvl w:val="0"/>
          <w:numId w:val="1"/>
        </w:numPr>
      </w:pPr>
      <w:r>
        <w:t xml:space="preserve">DENR DAO 2003-30 — Philippine EIS System; ECC required before construction.</w:t>
      </w:r>
    </w:p>
    <w:p>
      <w:pPr>
        <w:pStyle w:val="ListParagraph"/>
        <w:numPr>
          <w:ilvl w:val="0"/>
          <w:numId w:val="1"/>
        </w:numPr>
      </w:pPr>
      <w:r>
        <w:t xml:space="preserve">RA 8371 — IPRA; FPIC required if ancestral domain areas are within the project footprint.</w:t>
      </w:r>
    </w:p>
    <w:p>
      <w:pPr>
        <w:pStyle w:val="ListParagraph"/>
        <w:numPr>
          <w:ilvl w:val="0"/>
          <w:numId w:val="1"/>
        </w:numPr>
      </w:pPr>
      <w:r>
        <w:t xml:space="preserve">Philippine Electrical Code (PEC), 2017 Edition — wiring, grounding, panel protection.</w:t>
      </w:r>
    </w:p>
    <w:p>
      <w:pPr>
        <w:pStyle w:val="ListParagraph"/>
        <w:numPr>
          <w:ilvl w:val="0"/>
          <w:numId w:val="1"/>
        </w:numPr>
      </w:pPr>
      <w:r>
        <w:t xml:space="preserve">Philippine Grid Code (ERC, latest) — grid connection, power quality, metering.</w:t>
      </w:r>
    </w:p>
    <w:p>
      <w:pPr>
        <w:pStyle w:val="ListParagraph"/>
        <w:numPr>
          <w:ilvl w:val="0"/>
          <w:numId w:val="1"/>
        </w:numPr>
      </w:pPr>
      <w:r>
        <w:t xml:space="preserve">CAAP Manual of Standards Part 14 — aviation obstruction marking for towers &gt; 45 m.</w:t>
      </w:r>
    </w:p>
    <w:p>
      <w:pPr>
        <w:pStyle w:val="ListParagraph"/>
        <w:numPr>
          <w:ilvl w:val="0"/>
          <w:numId w:val="1"/>
        </w:numPr>
      </w:pPr>
      <w:r>
        <w:t xml:space="preserve">DOLE Department Order 198-18 — Occupational Safety and Health Standards.</w:t>
      </w:r>
    </w:p>
    <w:p>
      <w:pPr>
        <w:pStyle w:val="Normal"/>
      </w:pPr>
    </w:p>
    <w:p>
      <w:pPr>
        <w:pStyle w:val="Heading2"/>
      </w:pPr>
      <w:r>
        <w:t xml:space="preserve">9.2 International Standards (IEC, ISO, ASTM, IEEE)</w:t>
      </w:r>
    </w:p>
    <w:p>
      <w:pPr>
        <w:pStyle w:val="ListParagraph"/>
        <w:numPr>
          <w:ilvl w:val="0"/>
          <w:numId w:val="1"/>
        </w:numPr>
      </w:pPr>
      <w:r>
        <w:t xml:space="preserve">IEC 61400-1 Ed.4 (2019) — Wind Turbines: Design Load Requirements, Class II site.</w:t>
      </w:r>
    </w:p>
    <w:p>
      <w:pPr>
        <w:pStyle w:val="ListParagraph"/>
        <w:numPr>
          <w:ilvl w:val="0"/>
          <w:numId w:val="1"/>
        </w:numPr>
      </w:pPr>
      <w:r>
        <w:t xml:space="preserve">IEC 61400-5 — Blade design and testing.</w:t>
      </w:r>
    </w:p>
    <w:p>
      <w:pPr>
        <w:pStyle w:val="ListParagraph"/>
        <w:numPr>
          <w:ilvl w:val="0"/>
          <w:numId w:val="1"/>
        </w:numPr>
      </w:pPr>
      <w:r>
        <w:t xml:space="preserve">IEC 61400-6 — Tower and Foundation Design Requirements.</w:t>
      </w:r>
    </w:p>
    <w:p>
      <w:pPr>
        <w:pStyle w:val="ListParagraph"/>
        <w:numPr>
          <w:ilvl w:val="0"/>
          <w:numId w:val="1"/>
        </w:numPr>
      </w:pPr>
      <w:r>
        <w:t xml:space="preserve">IEC 61400-12-1 — Power Performance Measurement.</w:t>
      </w:r>
    </w:p>
    <w:p>
      <w:pPr>
        <w:pStyle w:val="ListParagraph"/>
        <w:numPr>
          <w:ilvl w:val="0"/>
          <w:numId w:val="1"/>
        </w:numPr>
      </w:pPr>
      <w:r>
        <w:t xml:space="preserve">IEC 61400-24 — Lightning Protection for Wind Turbines.</w:t>
      </w:r>
    </w:p>
    <w:p>
      <w:pPr>
        <w:pStyle w:val="ListParagraph"/>
        <w:numPr>
          <w:ilvl w:val="0"/>
          <w:numId w:val="1"/>
        </w:numPr>
      </w:pPr>
      <w:r>
        <w:t xml:space="preserve">IEC 61850 — Substation SCADA Communication (OPC-UA, IED protection).</w:t>
      </w:r>
    </w:p>
    <w:p>
      <w:pPr>
        <w:pStyle w:val="ListParagraph"/>
        <w:numPr>
          <w:ilvl w:val="0"/>
          <w:numId w:val="1"/>
        </w:numPr>
      </w:pPr>
      <w:r>
        <w:t xml:space="preserve">IEC 60502-2 — XLPE Power Cables (33 kV inter-array).</w:t>
      </w:r>
    </w:p>
    <w:p>
      <w:pPr>
        <w:pStyle w:val="ListParagraph"/>
        <w:numPr>
          <w:ilvl w:val="0"/>
          <w:numId w:val="1"/>
        </w:numPr>
      </w:pPr>
      <w:r>
        <w:t xml:space="preserve">IEC 60446 — Conductor color identification.</w:t>
      </w:r>
    </w:p>
    <w:p>
      <w:pPr>
        <w:pStyle w:val="ListParagraph"/>
        <w:numPr>
          <w:ilvl w:val="0"/>
          <w:numId w:val="1"/>
        </w:numPr>
      </w:pPr>
      <w:r>
        <w:t xml:space="preserve">ISO 12944 — Corrosion protection of steel structures by paint systems.</w:t>
      </w:r>
    </w:p>
    <w:p>
      <w:pPr>
        <w:pStyle w:val="ListParagraph"/>
        <w:numPr>
          <w:ilvl w:val="0"/>
          <w:numId w:val="1"/>
        </w:numPr>
      </w:pPr>
      <w:r>
        <w:t xml:space="preserve">ISO 3864 — Safety colors and signs.</w:t>
      </w:r>
    </w:p>
    <w:p>
      <w:pPr>
        <w:pStyle w:val="ListParagraph"/>
        <w:numPr>
          <w:ilvl w:val="0"/>
          <w:numId w:val="1"/>
        </w:numPr>
      </w:pPr>
      <w:r>
        <w:t xml:space="preserve">ISO 7010 — Graphical safety symbols.</w:t>
      </w:r>
    </w:p>
    <w:p>
      <w:pPr>
        <w:pStyle w:val="ListParagraph"/>
        <w:numPr>
          <w:ilvl w:val="0"/>
          <w:numId w:val="1"/>
        </w:numPr>
      </w:pPr>
      <w:r>
        <w:t xml:space="preserve">ISO 898-1 — Mechanical properties of bolts and screws (Class 10.9).</w:t>
      </w:r>
    </w:p>
    <w:p>
      <w:pPr>
        <w:pStyle w:val="ListParagraph"/>
        <w:numPr>
          <w:ilvl w:val="0"/>
          <w:numId w:val="1"/>
        </w:numPr>
      </w:pPr>
      <w:r>
        <w:t xml:space="preserve">IEEE 80 — Guide for Safety in AC Substation Grounding.</w:t>
      </w:r>
    </w:p>
    <w:p>
      <w:pPr>
        <w:pStyle w:val="ListParagraph"/>
        <w:numPr>
          <w:ilvl w:val="0"/>
          <w:numId w:val="1"/>
        </w:numPr>
      </w:pPr>
      <w:r>
        <w:t xml:space="preserve">NSCP 2015 (Vol. 1) — National Structural Code of the Philippines; tower foundation.</w:t>
      </w:r>
    </w:p>
    <w:p>
      <w:pPr>
        <w:pStyle w:val="ListParagraph"/>
        <w:numPr>
          <w:ilvl w:val="0"/>
          <w:numId w:val="1"/>
        </w:numPr>
      </w:pPr>
      <w:r>
        <w:t xml:space="preserve">NSCP 2015 Section 207 — Wind load provisions.</w:t>
      </w:r>
    </w:p>
    <w:p>
      <w:pPr>
        <w:pStyle w:val="ListParagraph"/>
        <w:numPr>
          <w:ilvl w:val="0"/>
          <w:numId w:val="1"/>
        </w:numPr>
      </w:pPr>
      <w:r>
        <w:t xml:space="preserve">GWO Basic Safety Training (BST) — mandatory for all working-at-height personnel.</w:t>
      </w:r>
    </w:p>
    <w:p>
      <w:r>
        <w:br w:type="page"/>
      </w:r>
    </w:p>
    <w:p>
      <w:pPr>
        <w:pStyle w:val="Heading1"/>
      </w:pPr>
      <w:r>
        <w:t xml:space="preserve">Section 10 — Extended References</w:t>
      </w:r>
    </w:p>
    <w:p>
      <w:pPr>
        <w:pStyle w:val="Normal"/>
      </w:pPr>
      <w:r>
        <w:t xml:space="preserve">In addition to the seven references listed in the original proposal:</w:t>
      </w:r>
    </w:p>
    <w:p>
      <w:pPr>
        <w:pStyle w:val="Normal"/>
      </w:pPr>
    </w:p>
    <w:p>
      <w:pPr>
        <w:pStyle w:val="ListParagraph"/>
        <w:numPr>
          <w:ilvl w:val="0"/>
          <w:numId w:val="1"/>
        </w:numPr>
      </w:pPr>
      <w:r>
        <w:t xml:space="preserve">Department of Energy, Philippines. Renewable Energy Roadmap 2020–2040. Manila: DOE, 2023.</w:t>
      </w:r>
    </w:p>
    <w:p>
      <w:pPr>
        <w:pStyle w:val="ListParagraph"/>
        <w:numPr>
          <w:ilvl w:val="0"/>
          <w:numId w:val="1"/>
        </w:numPr>
      </w:pPr>
      <w:r>
        <w:t xml:space="preserve">NREL. Wind Resource Assessment Handbook. Golden CO: National Renewable Energy Laboratory, 2021.</w:t>
      </w:r>
    </w:p>
    <w:p>
      <w:pPr>
        <w:pStyle w:val="ListParagraph"/>
        <w:numPr>
          <w:ilvl w:val="0"/>
          <w:numId w:val="1"/>
        </w:numPr>
      </w:pPr>
      <w:r>
        <w:t xml:space="preserve">Burton T., Jenkins N., Sharpe D., Bossanyi E. Wind Energy Handbook, 3rd ed. Wiley, 2021.</w:t>
      </w:r>
    </w:p>
    <w:p>
      <w:pPr>
        <w:pStyle w:val="ListParagraph"/>
        <w:numPr>
          <w:ilvl w:val="0"/>
          <w:numId w:val="1"/>
        </w:numPr>
      </w:pPr>
      <w:r>
        <w:t xml:space="preserve">Manwell J., McGowan J., Rogers A. Wind Energy Explained: Theory, Design and Application, 2nd ed. Wiley, 2010.</w:t>
      </w:r>
    </w:p>
    <w:p>
      <w:pPr>
        <w:pStyle w:val="ListParagraph"/>
        <w:numPr>
          <w:ilvl w:val="0"/>
          <w:numId w:val="1"/>
        </w:numPr>
      </w:pPr>
      <w:r>
        <w:t xml:space="preserve">Hau E. Wind Turbines: Fundamentals, Technologies, Application, Economics, 3rd ed. Springer, 2013.</w:t>
      </w:r>
    </w:p>
    <w:p>
      <w:pPr>
        <w:pStyle w:val="ListParagraph"/>
        <w:numPr>
          <w:ilvl w:val="0"/>
          <w:numId w:val="1"/>
        </w:numPr>
      </w:pPr>
      <w:r>
        <w:t xml:space="preserve">DNV GL. DNVGL-ST-0437: Loads and Site Conditions for Wind Turbines. 2016.</w:t>
      </w:r>
    </w:p>
    <w:p>
      <w:pPr>
        <w:pStyle w:val="ListParagraph"/>
        <w:numPr>
          <w:ilvl w:val="0"/>
          <w:numId w:val="1"/>
        </w:numPr>
      </w:pPr>
      <w:r>
        <w:t xml:space="preserve">World Bank ESMAP. Philippines — Wind Energy Resource Assessment. Washington DC, 2021.</w:t>
      </w:r>
    </w:p>
    <w:p>
      <w:pPr>
        <w:pStyle w:val="ListParagraph"/>
        <w:numPr>
          <w:ilvl w:val="0"/>
          <w:numId w:val="1"/>
        </w:numPr>
      </w:pPr>
      <w:r>
        <w:t xml:space="preserve">NorthWind Power Development Corp. Bangui Wind Farm — Annual Operations Report (public).</w:t>
      </w:r>
    </w:p>
    <w:p>
      <w:pPr>
        <w:pStyle w:val="ListParagraph"/>
        <w:numPr>
          <w:ilvl w:val="0"/>
          <w:numId w:val="1"/>
        </w:numPr>
      </w:pPr>
      <w:r>
        <w:t xml:space="preserve">Energy Development Corporation (EDC). Burgos Wind Project Technical Reference Document.</w:t>
      </w:r>
    </w:p>
    <w:p>
      <w:pPr>
        <w:pStyle w:val="ListParagraph"/>
        <w:numPr>
          <w:ilvl w:val="0"/>
          <w:numId w:val="1"/>
        </w:numPr>
      </w:pPr>
      <w:r>
        <w:t xml:space="preserve">Vestas. V126-3.45 MW and V136-4.5 MW Product Brochures (representative 3–5 MW class).</w:t>
      </w:r>
    </w:p>
    <w:p>
      <w:pPr>
        <w:pStyle w:val="ListParagraph"/>
        <w:numPr>
          <w:ilvl w:val="0"/>
          <w:numId w:val="1"/>
        </w:numPr>
      </w:pPr>
      <w:r>
        <w:t xml:space="preserve">Siemens Gamesa. SG 5.0-145 Product Specification Sheet (representative 5 MW class).</w:t>
      </w:r>
    </w:p>
    <w:p>
      <w:pPr>
        <w:pStyle w:val="ListParagraph"/>
        <w:numPr>
          <w:ilvl w:val="0"/>
          <w:numId w:val="1"/>
        </w:numPr>
      </w:pPr>
      <w:r>
        <w:t xml:space="preserve">GE Renewable Energy. GE 4.8-158 and 5.5-158 Onshore Wind Turbine Specifications.</w:t>
      </w:r>
    </w:p>
    <w:p>
      <w:pPr>
        <w:pStyle w:val="ListParagraph"/>
        <w:numPr>
          <w:ilvl w:val="0"/>
          <w:numId w:val="1"/>
        </w:numPr>
      </w:pPr>
      <w:r>
        <w:t xml:space="preserve">PAGASA. Climatological Normals for Ilocos Norte 1991–2020. Quezon City, 2022.</w:t>
      </w:r>
    </w:p>
    <w:p>
      <w:pPr>
        <w:pStyle w:val="ListParagraph"/>
        <w:numPr>
          <w:ilvl w:val="0"/>
          <w:numId w:val="1"/>
        </w:numPr>
      </w:pPr>
      <w:r>
        <w:t xml:space="preserve">Pangasinan State University — ME Capstone Design Manual, 2025 Edition.</w:t>
      </w:r>
    </w:p>
    <w:p>
      <w:r>
        <w:br w:type="page"/>
      </w:r>
    </w:p>
    <w:p>
      <w:pPr>
        <w:pStyle w:val="Heading1"/>
      </w:pPr>
      <w:r>
        <w:t xml:space="preserve">Closing Note</w:t>
      </w:r>
    </w:p>
    <w:p>
      <w:pPr>
        <w:pStyle w:val="Normal"/>
      </w:pPr>
      <w:r>
        <w:t xml:space="preserve">This supplement, together with the original Windmill Project Proposal (April 29, 2026), constitutes a complete senior-level plant-design submission for the Pasuquin Wind Farm. The combined document covers: wind resource assessment, site selection, technical specifications with engineering calculations (Betz, wind shear, capacity factor, wake spacing, voltage drop, transformer sizing), plant siting and layout, environmental impact assessment, financial analysis, process flow diagrams (Figures II-B.1–3), glossary, detailed equipment specifications, single-line electrical diagram, foundation and anchor bolt calculations, facility inventory, energy balance, O&amp;M plan, materials and color-coding standards, regulatory citations, and extended references.</w:t>
      </w:r>
    </w:p>
    <w:p>
      <w:pPr>
        <w:pStyle w:val="Normal"/>
      </w:pPr>
    </w:p>
    <w:p>
      <w:pPr>
        <w:pStyle w:val="Normal"/>
      </w:pPr>
      <w:r>
        <w:rPr>
          <w:b/>
        </w:rPr>
        <w:t xml:space="preserve">Prepared by: </w:t>
      </w:r>
      <w:r>
        <w:t xml:space="preserve">Dan Mark C. Pastoral · BSME-4A · Pangasinan State University</w:t>
      </w:r>
    </w:p>
    <w:p>
      <w:pPr>
        <w:pStyle w:val="Normal"/>
      </w:pPr>
      <w:r>
        <w:rPr>
          <w:b/>
        </w:rPr>
        <w:t xml:space="preserve">Submitted to: </w:t>
      </w:r>
      <w:r>
        <w:t xml:space="preserve">Marfel D. Rosario, PME — Instructor</w:t>
      </w:r>
    </w:p>
    <w:p>
      <w:pPr>
        <w:pStyle w:val="Normal"/>
      </w:pPr>
      <w:r>
        <w:rPr>
          <w:b/>
        </w:rPr>
        <w:t xml:space="preserve">Date: </w:t>
      </w:r>
      <w:r>
        <w:t xml:space="preserve">May 2026</w:t>
      </w:r>
    </w:p>
    <w:sectPr>
      <w:headerReference w:type="default" r:id="rId13"/>
      <w:footerReference w:type="default" r:id="rId14"/>
      <w:pgSz w:w="12240" w:h="15840"/>
      <w:pgMar w:top="1440" w:right="1260" w:bottom="1440" w:left="1260" w:header="708" w:footer="708" w:gutter="0"/>
    </w:sectPr>
  </w:body>
</w:document>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ABCA" w14:textId="77777777" w:rsidR="002047EA" w:rsidRDefault="00000000">
    <w:pPr>
      <w:pBdr>
        <w:top w:val="single" w:sz="4" w:space="4" w:color="1B6B3A"/>
      </w:pBdr>
      <w:jc w:val="right"/>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08228D">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08228D">
      <w:rPr>
        <w:noProof/>
        <w:color w:val="666666"/>
        <w:sz w:val="18"/>
        <w:szCs w:val="18"/>
      </w:rPr>
      <w:t>2</w:t>
    </w:r>
    <w:r>
      <w:rPr>
        <w:color w:val="666666"/>
        <w:sz w:val="18"/>
        <w:szCs w:val="18"/>
      </w:rPr>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5E2B" w14:textId="77777777" w:rsidR="002047EA" w:rsidRDefault="00000000">
    <w:pPr>
      <w:pBdr>
        <w:bottom w:val="single" w:sz="4" w:space="4" w:color="1B6B3A"/>
      </w:pBdr>
      <w:spacing w:after="100"/>
    </w:pPr>
    <w:r>
      <w:rPr>
        <w:b/>
        <w:bCs/>
        <w:color w:val="1B6B3A"/>
        <w:sz w:val="18"/>
        <w:szCs w:val="18"/>
      </w:rPr>
      <w:t>WINDMILL PROJECT — PASUQUIN, ILOCOS NORTE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13B68"/>
    <w:multiLevelType w:val="hybridMultilevel"/>
    <w:tmpl w:val="90E8B14A"/>
    <w:lvl w:ilvl="0" w:tplc="D72A1CF4">
      <w:start w:val="1"/>
      <w:numFmt w:val="bullet"/>
      <w:lvlText w:val="•"/>
      <w:lvlJc w:val="left"/>
      <w:pPr>
        <w:ind w:left="720" w:hanging="360"/>
      </w:pPr>
    </w:lvl>
    <w:lvl w:ilvl="1" w:tplc="0BBC6E48">
      <w:numFmt w:val="decimal"/>
      <w:lvlText w:val=""/>
      <w:lvlJc w:val="left"/>
    </w:lvl>
    <w:lvl w:ilvl="2" w:tplc="5EE4E458">
      <w:numFmt w:val="decimal"/>
      <w:lvlText w:val=""/>
      <w:lvlJc w:val="left"/>
    </w:lvl>
    <w:lvl w:ilvl="3" w:tplc="AD9CC8F8">
      <w:numFmt w:val="decimal"/>
      <w:lvlText w:val=""/>
      <w:lvlJc w:val="left"/>
    </w:lvl>
    <w:lvl w:ilvl="4" w:tplc="4A505D0A">
      <w:numFmt w:val="decimal"/>
      <w:lvlText w:val=""/>
      <w:lvlJc w:val="left"/>
    </w:lvl>
    <w:lvl w:ilvl="5" w:tplc="CD2EDC04">
      <w:numFmt w:val="decimal"/>
      <w:lvlText w:val=""/>
      <w:lvlJc w:val="left"/>
    </w:lvl>
    <w:lvl w:ilvl="6" w:tplc="135C3262">
      <w:numFmt w:val="decimal"/>
      <w:lvlText w:val=""/>
      <w:lvlJc w:val="left"/>
    </w:lvl>
    <w:lvl w:ilvl="7" w:tplc="61D47964">
      <w:numFmt w:val="decimal"/>
      <w:lvlText w:val=""/>
      <w:lvlJc w:val="left"/>
    </w:lvl>
    <w:lvl w:ilvl="8" w:tplc="55F89780">
      <w:numFmt w:val="decimal"/>
      <w:lvlText w:val=""/>
      <w:lvlJc w:val="left"/>
    </w:lvl>
  </w:abstractNum>
  <w:abstractNum w:abstractNumId="1" w15:restartNumberingAfterBreak="0">
    <w:nsid w:val="53EA7970"/>
    <w:multiLevelType w:val="hybridMultilevel"/>
    <w:tmpl w:val="D190FF16"/>
    <w:lvl w:ilvl="0" w:tplc="B2FE47CE">
      <w:start w:val="1"/>
      <w:numFmt w:val="bullet"/>
      <w:lvlText w:val="●"/>
      <w:lvlJc w:val="left"/>
      <w:pPr>
        <w:ind w:left="720" w:hanging="360"/>
      </w:pPr>
    </w:lvl>
    <w:lvl w:ilvl="1" w:tplc="2E1670F4">
      <w:start w:val="1"/>
      <w:numFmt w:val="bullet"/>
      <w:lvlText w:val="○"/>
      <w:lvlJc w:val="left"/>
      <w:pPr>
        <w:ind w:left="1440" w:hanging="360"/>
      </w:pPr>
    </w:lvl>
    <w:lvl w:ilvl="2" w:tplc="DC94D844">
      <w:start w:val="1"/>
      <w:numFmt w:val="bullet"/>
      <w:lvlText w:val="■"/>
      <w:lvlJc w:val="left"/>
      <w:pPr>
        <w:ind w:left="2160" w:hanging="360"/>
      </w:pPr>
    </w:lvl>
    <w:lvl w:ilvl="3" w:tplc="30EE7F9E">
      <w:start w:val="1"/>
      <w:numFmt w:val="bullet"/>
      <w:lvlText w:val="●"/>
      <w:lvlJc w:val="left"/>
      <w:pPr>
        <w:ind w:left="2880" w:hanging="360"/>
      </w:pPr>
    </w:lvl>
    <w:lvl w:ilvl="4" w:tplc="7146EA0A">
      <w:start w:val="1"/>
      <w:numFmt w:val="bullet"/>
      <w:lvlText w:val="○"/>
      <w:lvlJc w:val="left"/>
      <w:pPr>
        <w:ind w:left="3600" w:hanging="360"/>
      </w:pPr>
    </w:lvl>
    <w:lvl w:ilvl="5" w:tplc="0E20278E">
      <w:start w:val="1"/>
      <w:numFmt w:val="bullet"/>
      <w:lvlText w:val="■"/>
      <w:lvlJc w:val="left"/>
      <w:pPr>
        <w:ind w:left="4320" w:hanging="360"/>
      </w:pPr>
    </w:lvl>
    <w:lvl w:ilvl="6" w:tplc="D4D6ABFA">
      <w:start w:val="1"/>
      <w:numFmt w:val="bullet"/>
      <w:lvlText w:val="●"/>
      <w:lvlJc w:val="left"/>
      <w:pPr>
        <w:ind w:left="5040" w:hanging="360"/>
      </w:pPr>
    </w:lvl>
    <w:lvl w:ilvl="7" w:tplc="16C61DEA">
      <w:start w:val="1"/>
      <w:numFmt w:val="bullet"/>
      <w:lvlText w:val="●"/>
      <w:lvlJc w:val="left"/>
      <w:pPr>
        <w:ind w:left="5760" w:hanging="360"/>
      </w:pPr>
    </w:lvl>
    <w:lvl w:ilvl="8" w:tplc="E9C6F476">
      <w:start w:val="1"/>
      <w:numFmt w:val="bullet"/>
      <w:lvlText w:val="●"/>
      <w:lvlJc w:val="left"/>
      <w:pPr>
        <w:ind w:left="6480" w:hanging="360"/>
      </w:pPr>
    </w:lvl>
  </w:abstractNum>
  <w:num w:numId="1" w16cid:durableId="1610359808">
    <w:abstractNumId w:val="1"/>
    <w:lvlOverride w:ilvl="0">
      <w:startOverride w:val="1"/>
    </w:lvlOverride>
  </w:num>
  <w:num w:numId="2" w16cid:durableId="819881619">
    <w:abstractNumId w:val="0"/>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7" Type="http://schemas.openxmlformats.org/officeDocument/2006/relationships/image" Target="media/image1.jpg"/>
  <Relationship Id="rId8" Type="http://schemas.openxmlformats.org/officeDocument/2006/relationships/image" Target="media/image2.jpg"/>
  <Relationship Id="rId9" Type="http://schemas.openxmlformats.org/officeDocument/2006/relationships/image" Target="media/image3.png"/>
  <Relationship Id="rId10" Type="http://schemas.openxmlformats.org/officeDocument/2006/relationships/image" Target="media/image4.png"/>
  <Relationship Id="rId11" Type="http://schemas.openxmlformats.org/officeDocument/2006/relationships/image" Target="media/image5.png"/>
  <Relationship Id="rId13" Type="http://schemas.openxmlformats.org/officeDocument/2006/relationships/header" Target="header1.xml"/>
  <Relationship Id="rId14" Type="http://schemas.openxmlformats.org/officeDocument/2006/relationships/footer" Target="footer1.xml"/>
</Relationships>
</file>