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r="http://schemas.openxmlformats.org/officeDocument/2006/relationships" xmlns:wp="http://schemas.openxmlformats.org/drawingml/2006/wordprocessingDrawing" xmlns:w="http://schemas.openxmlformats.org/wordprocessingml/2006/main" xmlns:w14="http://schemas.microsoft.com/office/word/2010/wordml" xmlns:w15="http://schemas.microsoft.com/office/word/2012/wordml" xmlns:wps="http://schemas.microsoft.com/office/word/2010/wordprocessingShape">
  <w:body>
    <w:p>
      <w:pPr>
        <w:jc w:val="center"/>
      </w:pPr>
      <w:r>
        <w:drawing>
          <wp:inline distT="0" distB="0" distL="0" distR="0">
            <wp:extent cx="1097280" cy="1107255"/>
            <wp:effectExtent l="0" t="0" r="0" b="0"/>
            <wp:docPr id="10" name="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ogo1"/>
                    <pic:cNvPicPr/>
                  </pic:nvPicPr>
                  <pic:blipFill>
                    <a:blip r:embed="rId7"/>
                    <a:stretch>
                      <a:fillRect/>
                    </a:stretch>
                  </pic:blipFill>
                  <pic:spPr>
                    <a:xfrm>
                      <a:off x="0" y="0"/>
                      <a:ext cx="1097280" cy="1107255"/>
                    </a:xfrm>
                    <a:prstGeom prst="rect">
                      <a:avLst/>
                    </a:prstGeom>
                  </pic:spPr>
                </pic:pic>
              </a:graphicData>
            </a:graphic>
          </wp:inline>
        </w:drawing>
      </w:r>
      <w:r>
        <w:t xml:space="preserve">  </w:t>
      </w:r>
      <w:r>
        <w:drawing>
          <wp:inline distT="0" distB="0" distL="0" distR="0">
            <wp:extent cx="1371600" cy="857057"/>
            <wp:effectExtent l="0" t="0" r="0" b="0"/>
            <wp:docPr id="11" name="Log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ogo2"/>
                    <pic:cNvPicPr/>
                  </pic:nvPicPr>
                  <pic:blipFill>
                    <a:blip r:embed="rId8"/>
                    <a:stretch>
                      <a:fillRect/>
                    </a:stretch>
                  </pic:blipFill>
                  <pic:spPr>
                    <a:xfrm>
                      <a:off x="0" y="0"/>
                      <a:ext cx="1371600" cy="857057"/>
                    </a:xfrm>
                    <a:prstGeom prst="rect">
                      <a:avLst/>
                    </a:prstGeom>
                  </pic:spPr>
                </pic:pic>
              </a:graphicData>
            </a:graphic>
          </wp:inline>
        </w:drawing>
      </w:r>
    </w:p>
    <w:p>
      <w:pPr>
        <w:pStyle w:val="Normal"/>
        <w:jc w:val="center"/>
      </w:pPr>
      <w:r>
        <w:rPr>
          <w:b/>
          <w:bCs/>
          <w:sz w:val="24"/>
          <w:szCs w:val="24"/>
        </w:rPr>
        <w:t xml:space="preserve">Pangasinan State University</w:t>
      </w:r>
    </w:p>
    <w:p>
      <w:pPr>
        <w:pStyle w:val="Normal"/>
        <w:jc w:val="center"/>
      </w:pPr>
      <w:r>
        <w:rPr>
          <w:sz w:val="22"/>
          <w:szCs w:val="22"/>
        </w:rPr>
        <w:t xml:space="preserve">Urdaneta City Campus</w:t>
      </w:r>
    </w:p>
    <w:p>
      <w:pPr>
        <w:pStyle w:val="Normal"/>
        <w:jc w:val="center"/>
      </w:pPr>
      <w:r>
        <w:rPr>
          <w:sz w:val="22"/>
          <w:szCs w:val="22"/>
        </w:rPr>
        <w:t xml:space="preserve">College of Engineering and Architecture</w:t>
      </w:r>
    </w:p>
    <w:p>
      <w:pPr>
        <w:pStyle w:val="Normal"/>
        <w:jc w:val="center"/>
      </w:pPr>
      <w:r>
        <w:rPr>
          <w:sz w:val="22"/>
          <w:szCs w:val="22"/>
        </w:rPr>
        <w:t xml:space="preserve">Mechanical Engineering Department</w:t>
      </w:r>
    </w:p>
    <w:p>
      <w:pPr>
        <w:pStyle w:val="Normal"/>
        <w:jc w:val="center"/>
      </w:pPr>
      <w:r>
        <w:rPr>
          <w:sz w:val="22"/>
          <w:szCs w:val="22"/>
        </w:rPr>
        <w:t xml:space="preserve">Second Semester, A.Y. 2025–2026</w:t>
      </w:r>
    </w:p>
    <w:p>
      <w:pPr>
        <w:pStyle w:val="Normal"/>
      </w:pPr>
    </w:p>
    <w:p>
      <w:pPr>
        <w:pStyle w:val="Heading1"/>
      </w:pPr>
      <w:r>
        <w:rPr>
          <w:b/>
          <w:bCs/>
          <w:sz w:val="44"/>
          <w:szCs w:val="44"/>
          <w:color w:val="2E74B5"/>
        </w:rPr>
        <w:t xml:space="preserve">WINDMILL PROJECT PROPOSAL</w:t>
      </w:r>
    </w:p>
    <w:p>
      <w:pPr>
        <w:pStyle w:val="Normal"/>
        <w:jc w:val="center"/>
      </w:pPr>
      <w:r>
        <w:rPr>
          <w:sz w:val="26"/>
          <w:szCs w:val="26"/>
        </w:rPr>
        <w:t xml:space="preserve">Pasuquin, Ilocos Norte, Philippines</w:t>
      </w:r>
    </w:p>
    <w:p>
      <w:pPr>
        <w:pStyle w:val="Normal"/>
        <w:jc w:val="center"/>
      </w:pPr>
      <w:r>
        <w:rPr>
          <w:i/>
          <w:sz w:val="22"/>
          <w:szCs w:val="22"/>
        </w:rPr>
        <w:t xml:space="preserve">SUPPLEMENTAL ENGINEERING DOCUMENTATION</w:t>
      </w:r>
    </w:p>
    <w:p>
      <w:pPr>
        <w:pStyle w:val="Normal"/>
      </w:pPr>
    </w:p>
    <w:p>
      <w:pPr>
        <w:pStyle w:val="Normal"/>
        <w:jc w:val="center"/>
      </w:pPr>
      <w:r>
        <w:rPr>
          <w:b/>
          <w:bCs/>
          <w:sz w:val="22"/>
          <w:szCs w:val="22"/>
        </w:rPr>
        <w:t xml:space="preserve">Submitted by:</w:t>
      </w:r>
    </w:p>
    <w:p>
      <w:pPr>
        <w:pStyle w:val="Normal"/>
        <w:jc w:val="center"/>
      </w:pPr>
      <w:r>
        <w:rPr>
          <w:b/>
          <w:bCs/>
          <w:sz w:val="22"/>
          <w:szCs w:val="22"/>
        </w:rPr>
        <w:t xml:space="preserve">Dan Mark C. Pastoral</w:t>
      </w:r>
    </w:p>
    <w:p>
      <w:pPr>
        <w:pStyle w:val="Normal"/>
        <w:jc w:val="center"/>
      </w:pPr>
      <w:r>
        <w:rPr>
          <w:sz w:val="22"/>
          <w:szCs w:val="22"/>
        </w:rPr>
        <w:t xml:space="preserve">BSME-4A</w:t>
      </w:r>
    </w:p>
    <w:p>
      <w:pPr>
        <w:pStyle w:val="Normal"/>
      </w:pPr>
    </w:p>
    <w:p>
      <w:pPr>
        <w:pStyle w:val="Normal"/>
        <w:jc w:val="center"/>
      </w:pPr>
      <w:r>
        <w:rPr>
          <w:b/>
          <w:bCs/>
          <w:sz w:val="22"/>
          <w:szCs w:val="22"/>
        </w:rPr>
        <w:t xml:space="preserve">Submitted to:</w:t>
      </w:r>
    </w:p>
    <w:p>
      <w:pPr>
        <w:pStyle w:val="Normal"/>
        <w:jc w:val="center"/>
      </w:pPr>
      <w:r>
        <w:rPr>
          <w:b/>
          <w:bCs/>
          <w:sz w:val="22"/>
          <w:szCs w:val="22"/>
        </w:rPr>
        <w:t xml:space="preserve">Marfel D. Rosario, PME</w:t>
      </w:r>
    </w:p>
    <w:p>
      <w:pPr>
        <w:pStyle w:val="Normal"/>
        <w:jc w:val="center"/>
      </w:pPr>
      <w:r>
        <w:rPr>
          <w:sz w:val="22"/>
          <w:szCs w:val="22"/>
        </w:rPr>
        <w:t xml:space="preserve">Instructor</w:t>
      </w:r>
    </w:p>
    <w:p>
      <w:pPr>
        <w:pStyle w:val="Normal"/>
      </w:pPr>
    </w:p>
    <w:p>
      <w:pPr>
        <w:pStyle w:val="Normal"/>
        <w:jc w:val="center"/>
      </w:pPr>
      <w:r>
        <w:rPr>
          <w:sz w:val="22"/>
          <w:szCs w:val="22"/>
        </w:rPr>
        <w:t xml:space="preserve">May 2026</w:t>
      </w:r>
    </w:p>
    <w:p>
      <w:r>
        <w:br w:type="page"/>
      </w:r>
    </w:p>
    <w:p>
      <w:pPr>
        <w:pStyle w:val="Heading1"/>
      </w:pPr>
      <w:r>
        <w:t xml:space="preserve">Section VIII-A — Glossary of Terms and Acronyms</w:t>
      </w:r>
    </w:p>
    <w:p>
      <w:pPr>
        <w:pStyle w:val="Normal"/>
      </w:pPr>
      <w:r>
        <w:rPr>
          <w:sz w:val="20"/>
          <w:szCs w:val="20"/>
        </w:rPr>
        <w:t xml:space="preserve">The following technical terms and acronyms appear throughout this proposal. Definitions are aligned with IEC 61400, Philippine DOE, and ERC usage.</w:t>
      </w:r>
    </w:p>
    <w:p>
      <w:pPr>
        <w:pStyle w:val="Normal"/>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tc>
          <w:tcPr>
            <w:tcW w:w="26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Term / Acronym</w:t>
            </w:r>
          </w:p>
        </w:tc>
        <w:tc>
          <w:tcPr>
            <w:tcW w:w="676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Definition</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AEP</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Annual Energy Production — total electrical energy generated per year (MWh/yr).</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Amihan</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Northeast Monsoon (Oct–Mar); primary wind driver for Pasuquin. Luzon Strait accelerates these winds.</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Betz Limit</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Theoretical maximum wind energy extractable by any turbine = 59.3% (Albert Betz, 1919).</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Capacity Factor (CF)</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Actual AEP ÷ (Rated Power × 8,760 h/yr). Pasuquin estimate: 38%.</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CAAP</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Civil Aviation Authority of the Philippines — governs aviation obstruction marking on towers.</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Cut-in Speed</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Minimum wind speed for net positive power output. This project: 3.0 m/s.</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Cut-out Speed</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Maximum operating wind speed; above this the rotor feathers. This project: 25 m/s.</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DENR</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Department of Environment and Natural Resources — issues Environmental Compliance Certificate (ECC).</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DFIG</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Doubly Fed Induction Generator — the variable-speed generator topology selected for this project.</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DOE</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Department of Energy of the Philippines.</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ECC</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Environmental Compliance Certificate issued by DENR-EMB after EIS review.</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EIS</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Environmental Impact Statement — required under the Philippine EIS System (PEISS).</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EPC</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Engineering, Procurement and Construction — the main project delivery contract mode.</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ERC</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Energy Regulatory Commission — approves FiT rates, grid codes, and metering standards.</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FiT</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Feed-in Tariff — guaranteed PHP 8.53/kWh paid to qualified wind energy generators (ERC Res. 16, 2022).</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FPIC</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Free, Prior and Informed Consent — required under RA 8371 (IPRA) for indigenous communities.</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HAWT</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Horizontal Axis Wind Turbine — 3-bladed upwind configuration; industry standard.</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Hub Height</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Height from ground to rotor hub center. This project: 90–110 m.</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IEC 61400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IEC standard series for wind turbine design, structural loads, and grid integration.</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MW / MWh</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Megawatt (power) / Megawatt-hour (energy). 1 MWh = 1 MW delivered for 1 hour.</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NGCP</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National Grid Corporation of the Philippines — operates the Luzon Grid.</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NSCP</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National Structural Code of the Philippines (2015) — governs tower foundation design.</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O&amp;M</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Operations and Maintenance — ongoing running of the wind farm after commissioning.</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RA 9513</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Renewable Energy Act of 2008 — legal basis for FiT incentives and DOE service contracts.</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Rated Speed</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Wind speed at which the turbine first reaches its rated output. This project: 12–14 m/s.</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SCADA</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Supervisory Control and Data Acquisition — remote turbine monitoring and control system.</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Specific Power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Rated capacity ÷ swept area (W/m²). Optimum for IEC Class II: 250–400 W/m².</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Swept Area</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Circle traced by rotor blades, A = πr². For 130 m rotor: 13,273 m².</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Wake Effect</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Reduced wind speed and increased turbulence behind an operating turbine.</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Weibull Dist.</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Statistical model for wind speed frequency; defined by shape parameter k and scale c.</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Wind Class II</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IEC classification for sites with average wind speed 7.5–8.5 m/s — Pasuquin's class.</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Wind Power Density</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Available wind power per unit area: WPD = ½ρV³ (W/m²).</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Wind Shear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Increase of wind speed with altitude: V(z) = V_ref × (z/z_ref)^α; α ≈ 0.14 coastal.</w:t>
            </w:r>
          </w:p>
        </w:tc>
      </w:tr>
    </w:tbl>
    <w:p/>
    <w:p>
      <w:r>
        <w:br w:type="page"/>
      </w:r>
    </w:p>
    <w:p>
      <w:pPr>
        <w:pStyle w:val="Heading1"/>
      </w:pPr>
      <w:r>
        <w:t xml:space="preserve">Section VIII-B — Detailed Equipment Specifications</w:t>
      </w:r>
    </w:p>
    <w:p>
      <w:pPr>
        <w:pStyle w:val="Normal"/>
      </w:pPr>
      <w:r>
        <w:rPr>
          <w:sz w:val="20"/>
          <w:szCs w:val="20"/>
        </w:rPr>
        <w:t xml:space="preserve">Equipment specifications below are based on the 5.0 MW HAWT, 130 m rotor, 100 m hub height, and 33/115 kV electrical system established in Section III of the original proposal (20-turbine × 5 MW = 100 MW configuration).</w:t>
      </w:r>
    </w:p>
    <w:p>
      <w:pPr>
        <w:pStyle w:val="Normal"/>
      </w:pPr>
    </w:p>
    <w:p>
      <w:pPr>
        <w:pStyle w:val="Heading2"/>
      </w:pPr>
      <w:r>
        <w:t xml:space="preserve">B.1 Rotor and Blade Assembly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800"/>
        <w:gridCol w:w="2960"/>
      </w:tblGrid>
      <w:tr>
        <w:tc>
          <w:tcPr>
            <w:tcW w:w="26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Parameter</w:t>
            </w:r>
          </w:p>
        </w:tc>
        <w:tc>
          <w:tcPr>
            <w:tcW w:w="38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Specification</w:t>
            </w:r>
          </w:p>
        </w:tc>
        <w:tc>
          <w:tcPr>
            <w:tcW w:w="296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Design Basis</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Configuration</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3-bladed upwind HAWT</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Industry standard for utility-scale</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Rotor diameter</w:t>
            </w:r>
          </w:p>
        </w:tc>
        <w:tc>
          <w:tcPr>
            <w:tcW w:w="3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130 m</w:t>
            </w:r>
          </w:p>
        </w:tc>
        <w:tc>
          <w:tcPr>
            <w:tcW w:w="29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Specific Power 339 W/m² — optimal for V=8.5 m/s (Sec. III-A.2)</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Swept area</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13,273 m²</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A = π × (65)²</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Blade length</w:t>
            </w:r>
          </w:p>
        </w:tc>
        <w:tc>
          <w:tcPr>
            <w:tcW w:w="3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63.5 m</w:t>
            </w:r>
          </w:p>
        </w:tc>
        <w:tc>
          <w:tcPr>
            <w:tcW w:w="29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 Rotor radius − hub radius (1.5 m)</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Blade material</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GFRP with carbon-fiber spar caps</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IEC 61400-5; fatigue and stiffness</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Blade weight</w:t>
            </w:r>
          </w:p>
        </w:tc>
        <w:tc>
          <w:tcPr>
            <w:tcW w:w="3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 14,000 kg per blade</w:t>
            </w:r>
          </w:p>
        </w:tc>
        <w:tc>
          <w:tcPr>
            <w:tcW w:w="29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Vestas V126/V136 class benchmark</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Tip speed (max)</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90 m/s</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Acoustic limit and structural fatigue</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Pitch system</w:t>
            </w:r>
          </w:p>
        </w:tc>
        <w:tc>
          <w:tcPr>
            <w:tcW w:w="3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3 independent electric motors + battery backup</w:t>
            </w:r>
          </w:p>
        </w:tc>
        <w:tc>
          <w:tcPr>
            <w:tcW w:w="29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IEC 61400-1 Class II</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Lightning protection</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Receptors at blade tip + down-conductor to ground</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IEC 61400-24</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Cut-in / Rated / Cut-out</w:t>
            </w:r>
          </w:p>
        </w:tc>
        <w:tc>
          <w:tcPr>
            <w:tcW w:w="3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3.0 / 12–14 / 25 m/s</w:t>
            </w:r>
          </w:p>
        </w:tc>
        <w:tc>
          <w:tcPr>
            <w:tcW w:w="29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Sec. III-A.4 Weibull analysis</w:t>
            </w:r>
          </w:p>
        </w:tc>
      </w:tr>
    </w:tbl>
    <w:p/>
    <w:p>
      <w:pPr>
        <w:pStyle w:val="Normal"/>
      </w:pPr>
    </w:p>
    <w:p>
      <w:pPr>
        <w:pStyle w:val="Heading2"/>
      </w:pPr>
      <w:r>
        <w:t xml:space="preserve">B.2 Drivetrain — Gearbox and DFIG Generator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tc>
          <w:tcPr>
            <w:tcW w:w="26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Component</w:t>
            </w:r>
          </w:p>
        </w:tc>
        <w:tc>
          <w:tcPr>
            <w:tcW w:w="676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Specification</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Gearbox type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Three-stage planetary–helical, integrated with main bearing</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Gear ratio</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1:90 (rotor ≈17 rpm → generator 1,530 rpm at 60 Hz)</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Gearbox efficiency</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97% at rated load</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Gearbox lubrication</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Forced ISO VG 320 mineral/PAO synthetic oil, 600 L sump</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Generator type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Doubly Fed Induction Generator (DFIG) — Sec. III-A</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Rated power</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5.0 MW at 12–14 m/s wind speed</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Stator voltage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690 V AC, 3-phase, 60 Hz</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Generator cooling</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Air-to-water heat exchanger inside nacelle</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Power converter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Partial-scale IGBT (~30% rated) — stabilizes output to 60 Hz</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Nacelle total mass</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 320 t (nacelle + rotor hub assembly)</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Overall drivetrain η</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93% (gearbox × generator × converter combined)</w:t>
            </w:r>
          </w:p>
        </w:tc>
      </w:tr>
    </w:tbl>
    <w:p/>
    <w:p>
      <w:pPr>
        <w:pStyle w:val="Normal"/>
      </w:pPr>
    </w:p>
    <w:p>
      <w:pPr>
        <w:pStyle w:val="Heading2"/>
      </w:pPr>
      <w:r>
        <w:t xml:space="preserve">B.3 Tower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tc>
          <w:tcPr>
            <w:tcW w:w="26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Parameter</w:t>
            </w:r>
          </w:p>
        </w:tc>
        <w:tc>
          <w:tcPr>
            <w:tcW w:w="676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Specification</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Type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Tubular steel, three-section bolted with flanged joints</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Hub height selected</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100 m — V(100m) = 8.19 m/s, +26% gain vs. ground (Sec. III-A.3)</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Base diameter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4.30 m</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Top diameter</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3.00 m</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Wall thickness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30 mm at base, tapers to 18 mm at top</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Steel grade</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S355 J0+N per EN 10025-2</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Tower mass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280 t per turbine</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Coating</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ISO 12944 C5-M: zinc-rich primer + epoxy midcoat + PU topcoat, DFT ≥ 320 µm</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Internal access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Fixed ladder + climb-assist device + emergency descender</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Aviation marking</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Upper 1/3: RAL 3020 red bands per CAAP MOS Part 14</w:t>
            </w:r>
          </w:p>
        </w:tc>
      </w:tr>
    </w:tbl>
    <w:p/>
    <w:p>
      <w:pPr>
        <w:pStyle w:val="Normal"/>
      </w:pPr>
    </w:p>
    <w:p>
      <w:pPr>
        <w:pStyle w:val="Heading2"/>
      </w:pPr>
      <w:r>
        <w:t xml:space="preserve">B.4 Electrical Collection System and Substation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tc>
          <w:tcPr>
            <w:tcW w:w="26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Component</w:t>
            </w:r>
          </w:p>
        </w:tc>
        <w:tc>
          <w:tcPr>
            <w:tcW w:w="676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Specification</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Turbine pad-mount transformer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5.5 MVA, 690 V / 33 kV, oil-filled ONAN cooling</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Collection voltage</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33 kV — optimal for up to ~200 MW (Sec. III-C.1)</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Inter-array cable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33 kV XLPE, copper, 240–630 mm², buried 1.0 m deep, IEC 60502-2</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Switchgear per turbine</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33 kV ring-main unit, SF6-insulated</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Collection feeders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5 feeders × 4 turbines each ≈ 20 MW per feeder</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Step-up transformer</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120 MVA, 33 kV / 115 kV, OLTC ±10%, turns ratio 3.48:1 (Sec. III-C.2)</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Transmission voltage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115 kV — NGCP Ilocos Norte grid standard (Sec. III-C.3)</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Substation protection</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IEC 61850 relays: 87T differential, 21 distance, 51 overcurrent, 64 REF</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Reactive compensation</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±30 MVAr STATCOM for Philippine Grid Code compliance</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Grounding system</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Mesh + driven rod earthing, target ≤ 1 Ω resistance (IEEE 80)</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SCADA system</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Wind-Farm Management System, OPC-UA protocol to NGCP RTU</w:t>
            </w:r>
          </w:p>
        </w:tc>
      </w:tr>
      <w:tr>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Auxiliary power</w:t>
            </w:r>
          </w:p>
        </w:tc>
        <w:tc>
          <w:tcPr>
            <w:tcW w:w="6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500 kVA diesel genset + 30-minute UPS for critical loads</w:t>
            </w:r>
          </w:p>
        </w:tc>
      </w:tr>
    </w:tbl>
    <w:p/>
    <w:p>
      <w:r>
        <w:br w:type="page"/>
      </w:r>
    </w:p>
    <w:p>
      <w:pPr>
        <w:pStyle w:val="Heading1"/>
      </w:pPr>
      <w:r>
        <w:t xml:space="preserve">Section VIII-C — Plant Layout and 3D Model</w:t>
      </w:r>
    </w:p>
    <w:p>
      <w:pPr>
        <w:pStyle w:val="Normal"/>
      </w:pPr>
      <w:r>
        <w:rPr>
          <w:sz w:val="20"/>
          <w:szCs w:val="20"/>
        </w:rPr>
        <w:t xml:space="preserve">This section presents the wind farm site layout and a three-dimensional visualization of the Pasuquin Wind Farm. The layout is based on the turbine spacing calculations in Section III-B.2 and the siting factors in Section IV.</w:t>
      </w:r>
    </w:p>
    <w:p>
      <w:pPr>
        <w:pStyle w:val="Normal"/>
      </w:pPr>
    </w:p>
    <w:p>
      <w:pPr>
        <w:pStyle w:val="Heading2"/>
      </w:pPr>
      <w:r>
        <w:t xml:space="preserve">C.1 Plant Site Layout</w:t>
      </w:r>
    </w:p>
    <w:p>
      <w:pPr>
        <w:pStyle w:val="Normal"/>
      </w:pPr>
      <w:r>
        <w:rPr>
          <w:sz w:val="20"/>
          <w:szCs w:val="20"/>
        </w:rPr>
        <w:t xml:space="preserve">The plant layout shows the arrangement of 20 wind turbine generators (WTG-101 to WTG-120) across the Pasuquin coastline and ridges, with the on-site substation, access roads, and ancillary facilities. Turbines are arranged in 5 rows of 4 units each, with 7D (910 m) inline spacing and 4D (520 m) cross-wind spacing per Section III-B.1 wake effect calculations.</w:t>
      </w:r>
    </w:p>
    <w:p>
      <w:pPr>
        <w:pStyle w:val="Normal"/>
      </w:pPr>
    </w:p>
    <w:p>
      <w:pPr>
        <w:jc w:val="center"/>
        <w:pBdr>
          <w:top w:val="single" w:sz="6" w:space="1" w:color="888888"/>
          <w:left w:val="single" w:sz="6" w:space="4" w:color="888888"/>
          <w:bottom w:val="single" w:sz="6" w:space="1" w:color="888888"/>
          <w:right w:val="single" w:sz="6" w:space="4" w:color="888888"/>
        </w:pBdr>
        <w:shd w:val="clear" w:color="auto" w:fill="F5F5F5"/>
      </w:pPr>
      <w:r>
        <w:rPr>
          <w:color w:val="888888"/>
          <w:sz w:val="24"/>
          <w:szCs w:val="24"/>
        </w:rPr>
        <w:t>[ PLANT LAYOUT — Site plan showing turbine positions, substation, access roads, and facilities ]</w:t>
      </w:r>
    </w:p>
    <w:p>
      <w:pPr>
        <w:jc w:val="center"/>
      </w:pPr>
      <w:r>
        <w:rPr>
          <w:i/>
          <w:color w:val="888888"/>
          <w:sz w:val="18"/>
          <w:szCs w:val="18"/>
        </w:rPr>
        <w:t>Insert image here — approximately 16 cm × 12 cm</w:t>
      </w:r>
    </w:p>
    <w:p>
      <w:pPr>
        <w:jc w:val="center"/>
      </w:pPr>
      <w:r>
        <w:rPr>
          <w:i/>
          <w:sz w:val="18"/>
          <w:szCs w:val="18"/>
          <w:color w:val="595959"/>
        </w:rPr>
        <w:t>Figure VIII-C.1 — Pasuquin Wind Farm Site Layout Plan</w:t>
      </w:r>
    </w:p>
    <w:p>
      <w:pPr>
        <w:pStyle w:val="Normal"/>
      </w:pPr>
    </w:p>
    <w:p>
      <w:pPr>
        <w:pStyle w:val="Heading2"/>
      </w:pPr>
      <w:r>
        <w:t xml:space="preserve">C.2 3D Model / Rendering</w:t>
      </w:r>
    </w:p>
    <w:p>
      <w:pPr>
        <w:pStyle w:val="Normal"/>
      </w:pPr>
      <w:r>
        <w:rPr>
          <w:sz w:val="20"/>
          <w:szCs w:val="20"/>
        </w:rPr>
        <w:t xml:space="preserve">The three-dimensional model below illustrates the proposed wind farm as it would appear along the Pasuquin coastline, showing the relative scale of the turbines (100 m hub height, 130 m rotor diameter) against the terrain, the substation at the array centroid, and the eco-tourism visitor area.</w:t>
      </w:r>
    </w:p>
    <w:p>
      <w:pPr>
        <w:pStyle w:val="Normal"/>
      </w:pPr>
    </w:p>
    <w:p>
      <w:pPr>
        <w:jc w:val="center"/>
        <w:pBdr>
          <w:top w:val="single" w:sz="6" w:space="1" w:color="888888"/>
          <w:left w:val="single" w:sz="6" w:space="4" w:color="888888"/>
          <w:bottom w:val="single" w:sz="6" w:space="1" w:color="888888"/>
          <w:right w:val="single" w:sz="6" w:space="4" w:color="888888"/>
        </w:pBdr>
        <w:shd w:val="clear" w:color="auto" w:fill="F5F5F5"/>
      </w:pPr>
      <w:r>
        <w:rPr>
          <w:color w:val="888888"/>
          <w:sz w:val="24"/>
          <w:szCs w:val="24"/>
        </w:rPr>
        <w:t>[ 3D MODEL / RENDERING — Perspective view of Pasuquin Wind Farm along the coastline ]</w:t>
      </w:r>
    </w:p>
    <w:p>
      <w:pPr>
        <w:jc w:val="center"/>
      </w:pPr>
      <w:r>
        <w:rPr>
          <w:i/>
          <w:color w:val="888888"/>
          <w:sz w:val="18"/>
          <w:szCs w:val="18"/>
        </w:rPr>
        <w:t>Insert image here — approximately 16 cm × 11 cm</w:t>
      </w:r>
    </w:p>
    <w:p>
      <w:pPr>
        <w:jc w:val="center"/>
      </w:pPr>
      <w:r>
        <w:rPr>
          <w:i/>
          <w:sz w:val="18"/>
          <w:szCs w:val="18"/>
          <w:color w:val="595959"/>
        </w:rPr>
        <w:t>Figure VIII-C.2 — Pasuquin Wind Farm 3D Visualization</w:t>
      </w:r>
    </w:p>
    <w:p>
      <w:pPr>
        <w:pStyle w:val="Normal"/>
      </w:pPr>
    </w:p>
    <w:p>
      <w:r>
        <w:rPr>
          <w:i/>
          <w:sz w:val="18"/>
          <w:szCs w:val="18"/>
          <w:color w:val="595959"/>
        </w:rPr>
        <w:t xml:space="preserve">Note: Insert finalized layout drawing and 3D rendering above. Recommended format: PNG or JPG, minimum 300 DPI, landscape orientation. The placeholder boxes indicate the approximate size and position of each figure.</w:t>
      </w:r>
    </w:p>
    <w:p>
      <w:r>
        <w:br w:type="page"/>
      </w:r>
    </w:p>
    <w:p>
      <w:pPr>
        <w:pStyle w:val="Heading1"/>
      </w:pPr>
      <w:r>
        <w:t xml:space="preserve">Section VIII-D — Foundation and Anchor Bolt Calculations</w:t>
      </w:r>
    </w:p>
    <w:p>
      <w:pPr>
        <w:pStyle w:val="Normal"/>
      </w:pPr>
      <w:r>
        <w:rPr>
          <w:sz w:val="20"/>
          <w:szCs w:val="20"/>
        </w:rPr>
        <w:t xml:space="preserve">This section sizes the gravity foundation and anchor bolt cage for each turbine tower based on loads from IEC 61400-1 Class II and checked per NSCP 2015.</w:t>
      </w:r>
    </w:p>
    <w:p>
      <w:pPr>
        <w:pStyle w:val="Normal"/>
      </w:pPr>
    </w:p>
    <w:p>
      <w:pPr>
        <w:pStyle w:val="Heading2"/>
      </w:pPr>
      <w:r>
        <w:t xml:space="preserve">D.1 Design Loads at Tower 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200"/>
        <w:gridCol w:w="1800"/>
        <w:gridCol w:w="2760"/>
      </w:tblGrid>
      <w:tr>
        <w:tc>
          <w:tcPr>
            <w:tcW w:w="36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Load Case</w:t>
            </w:r>
          </w:p>
        </w:tc>
        <w:tc>
          <w:tcPr>
            <w:tcW w:w="12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Symbol</w:t>
            </w:r>
          </w:p>
        </w:tc>
        <w:tc>
          <w:tcPr>
            <w:tcW w:w="18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Value</w:t>
            </w:r>
          </w:p>
        </w:tc>
        <w:tc>
          <w:tcPr>
            <w:tcW w:w="276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Source</w:t>
            </w:r>
          </w:p>
        </w:tc>
      </w:tr>
      <w:tr>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Vertical dead load (rotor + nacelle + tower)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F_z</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4,200 kN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Manufacturer load document</w:t>
            </w:r>
          </w:p>
        </w:tc>
      </w:tr>
      <w:tr>
        <w:tc>
          <w:tcPr>
            <w:tcW w:w="3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Extreme thrust (DLC 1.3 / DLC 6.2)</w:t>
            </w:r>
          </w:p>
        </w:tc>
        <w:tc>
          <w:tcPr>
            <w:tcW w:w="1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F_y</w:t>
            </w:r>
          </w:p>
        </w:tc>
        <w:tc>
          <w:tcPr>
            <w:tcW w:w="1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1,050 kN</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IEC 61400-1 Class II</w:t>
            </w:r>
          </w:p>
        </w:tc>
      </w:tr>
      <w:tr>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Overturning moment at tower base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M_y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115,000 kN·m</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F_y × hub height (~100 m) + lever arm</w:t>
            </w:r>
          </w:p>
        </w:tc>
      </w:tr>
      <w:tr>
        <w:tc>
          <w:tcPr>
            <w:tcW w:w="3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Torsional moment</w:t>
            </w:r>
          </w:p>
        </w:tc>
        <w:tc>
          <w:tcPr>
            <w:tcW w:w="1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M_z</w:t>
            </w:r>
          </w:p>
        </w:tc>
        <w:tc>
          <w:tcPr>
            <w:tcW w:w="1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8,500 kN·m</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Extreme yaw + yaw misalignment</w:t>
            </w:r>
          </w:p>
        </w:tc>
      </w:tr>
    </w:tbl>
    <w:p/>
    <w:p>
      <w:pPr>
        <w:pStyle w:val="Normal"/>
      </w:pPr>
    </w:p>
    <w:p>
      <w:pPr>
        <w:pStyle w:val="Heading2"/>
      </w:pPr>
      <w:r>
        <w:t xml:space="preserve">D.2 Octagonal Gravity Mat — Sizing</w:t>
      </w:r>
    </w:p>
    <w:p>
      <w:pPr>
        <w:pStyle w:val="Normal"/>
      </w:pPr>
      <w:r>
        <w:rPr>
          <w:sz w:val="20"/>
          <w:szCs w:val="20"/>
        </w:rPr>
        <w:t xml:space="preserve">A cast-in-place reinforced concrete octagonal slab resists overturning by self-weight.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600"/>
        <w:gridCol w:w="2760"/>
      </w:tblGrid>
      <w:tr>
        <w:tc>
          <w:tcPr>
            <w:tcW w:w="40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Parameter</w:t>
            </w:r>
          </w:p>
        </w:tc>
        <w:tc>
          <w:tcPr>
            <w:tcW w:w="26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Value</w:t>
            </w:r>
          </w:p>
        </w:tc>
        <w:tc>
          <w:tcPr>
            <w:tcW w:w="276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Note</w:t>
            </w:r>
          </w:p>
        </w:tc>
      </w:tr>
      <w:tr>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Outer diameter (across flats)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21.0 m</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Trial size — checked below</w:t>
            </w:r>
          </w:p>
        </w:tc>
      </w:tr>
      <w:tr>
        <w:tc>
          <w:tcPr>
            <w:tcW w:w="40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Slab thickness (edge / center)</w:t>
            </w:r>
          </w:p>
        </w:tc>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1.0 m / 3.0 m</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Tapered frustum for economy</w:t>
            </w:r>
          </w:p>
        </w:tc>
      </w:tr>
      <w:tr>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Concrete grade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fc' = 35 MPa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ACI 318 / NSCP 2015</w:t>
            </w:r>
          </w:p>
        </w:tc>
      </w:tr>
      <w:tr>
        <w:tc>
          <w:tcPr>
            <w:tcW w:w="40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Reinforcement grade</w:t>
            </w:r>
          </w:p>
        </w:tc>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Grade 60 (fy = 414 MPa)</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Top + bottom mats, both directions</w:t>
            </w:r>
          </w:p>
        </w:tc>
      </w:tr>
      <w:tr>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Concrete volume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590 m³</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Octagonal frustum formula</w:t>
            </w:r>
          </w:p>
        </w:tc>
      </w:tr>
      <w:tr>
        <w:tc>
          <w:tcPr>
            <w:tcW w:w="40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Foundation self-weight (W_f)</w:t>
            </w:r>
          </w:p>
        </w:tc>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14,160 kN</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γ_c = 24 kN/m³</w:t>
            </w:r>
          </w:p>
        </w:tc>
      </w:tr>
      <w:tr>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Soil cover (1.0 m × 380 m²)</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6,840 kN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γ_s = 18 kN/m³</w:t>
            </w:r>
          </w:p>
        </w:tc>
      </w:tr>
      <w:tr>
        <w:tc>
          <w:tcPr>
            <w:tcW w:w="40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Total stabilizing weight (W_total)</w:t>
            </w:r>
          </w:p>
        </w:tc>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25,200 kN</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F_z + W_f + W_soil</w:t>
            </w:r>
          </w:p>
        </w:tc>
      </w:tr>
      <w:tr>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Lever arm to edge (e = D/2)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10.5 m</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Half of outer diameter</w:t>
            </w:r>
          </w:p>
        </w:tc>
      </w:tr>
      <w:tr>
        <w:tc>
          <w:tcPr>
            <w:tcW w:w="40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Stabilizing moment (M_s = W_total × e)</w:t>
            </w:r>
          </w:p>
        </w:tc>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264,600 kN·m</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Resisting overturning</w:t>
            </w:r>
          </w:p>
        </w:tc>
      </w:tr>
      <w:tr>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Safety factor vs. overturning (M_s / M_y)</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2.30</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Required ≥ 1.5 ✓ PASS</w:t>
            </w:r>
          </w:p>
        </w:tc>
      </w:tr>
      <w:tr>
        <w:tc>
          <w:tcPr>
            <w:tcW w:w="40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Max. edge bearing pressure</w:t>
            </w:r>
          </w:p>
        </w:tc>
        <w:tc>
          <w:tcPr>
            <w:tcW w:w="2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 175 kPa</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Trapezoidal distribution</w:t>
            </w:r>
          </w:p>
        </w:tc>
      </w:tr>
      <w:tr>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Required allowable soil bearing capacity</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250 kPa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To be confirmed by geotechnical investigation</w:t>
            </w:r>
          </w:p>
        </w:tc>
      </w:tr>
    </w:tbl>
    <w:p/>
    <w:p>
      <w:pPr>
        <w:pStyle w:val="Normal"/>
      </w:pPr>
    </w:p>
    <w:p>
      <w:pPr>
        <w:pStyle w:val="Heading2"/>
      </w:pPr>
      <w:r>
        <w:t xml:space="preserve">D.3 Anchor Bolt Cage</w:t>
      </w:r>
    </w:p>
    <w:p>
      <w:pPr>
        <w:pStyle w:val="Normal"/>
      </w:pPr>
      <w:r>
        <w:rPr>
          <w:sz w:val="20"/>
          <w:szCs w:val="20"/>
        </w:rPr>
        <w:t xml:space="preserve">Anchor bolts transfer bending moment between the steel tower base flange and the concrete foundation. Double-ring arrangement (inner + outer).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400"/>
        <w:gridCol w:w="2760"/>
      </w:tblGrid>
      <w:tr>
        <w:tc>
          <w:tcPr>
            <w:tcW w:w="32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Parameter</w:t>
            </w:r>
          </w:p>
        </w:tc>
        <w:tc>
          <w:tcPr>
            <w:tcW w:w="34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Value</w:t>
            </w:r>
          </w:p>
        </w:tc>
        <w:tc>
          <w:tcPr>
            <w:tcW w:w="276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Basis</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Total number of bolts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144 (72 inner + 72 outer ring)</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5 MW class industry standard</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Bolt grade</w:t>
            </w:r>
          </w:p>
        </w:tc>
        <w:tc>
          <w:tcPr>
            <w:tcW w:w="3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ISO 898-1, Class 10.9 (fy ≈ 900 MPa)</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High-strength structural</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Bolt diameter</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M48 (effective stress area Aₛ = 1,470 mm²)</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w:r>
          </w:p>
        </w:tc>
      </w:tr>
      <w:tr>
        <w:tc>
          <w:tcPr>
            <w:tcW w:w="3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Embedded + flange length</w:t>
            </w:r>
          </w:p>
        </w:tc>
        <w:tc>
          <w:tcPr>
            <w:tcW w:w="3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5,500 mm total</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Full anchorage depth</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Pitch circle diameter</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Inner 4.20 m / Outer 4.90 m</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Matches tower base flange</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Allowable tension per bolt (Pt)</w:t>
            </w:r>
          </w:p>
        </w:tc>
        <w:tc>
          <w:tcPr>
            <w:tcW w:w="3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Aₛ × 0.7 × fy = 925 kN</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FoS = 1.5 applied</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Max. bolt tension (T_max)</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M_y × c / I_bolt-group ≈ 605 kN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Linear bolt-group analysis</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Utilization (T_max / Pt)</w:t>
            </w:r>
          </w:p>
        </w:tc>
        <w:tc>
          <w:tcPr>
            <w:tcW w:w="3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65%</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Required ≤ 85% ✓ PASS</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Pretension torque</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4,200 N·m via hydraulic tensioner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70% of fy, per IEC 61400-6</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Fatigue check</w:t>
            </w:r>
          </w:p>
        </w:tc>
        <w:tc>
          <w:tcPr>
            <w:tcW w:w="3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S-N curve ISO 1099, Class 71</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DLC 1.2 normal operation</w:t>
            </w:r>
          </w:p>
        </w:tc>
      </w:tr>
    </w:tbl>
    <w:p/>
    <w:p>
      <w:r>
        <w:rPr>
          <w:i/>
          <w:sz w:val="18"/>
          <w:szCs w:val="18"/>
          <w:color w:val="595959"/>
        </w:rPr>
        <w:t xml:space="preserve">NOTE: All values above are preliminary. Final foundation and anchor bolt design must be certified by a Philippine-licensed Civil/Structural Engineer based on geotechnical investigation and actual turbine load report from the equipment supplier.</w:t>
      </w:r>
    </w:p>
    <w:p>
      <w:r>
        <w:br w:type="page"/>
      </w:r>
    </w:p>
    <w:p>
      <w:pPr>
        <w:pStyle w:val="Heading1"/>
      </w:pPr>
      <w:r>
        <w:t xml:space="preserve">Section VIII-E — Facility Inventory and Floor Areas</w:t>
      </w:r>
    </w:p>
    <w:p>
      <w:pPr>
        <w:pStyle w:val="Normal"/>
      </w:pPr>
      <w:r>
        <w:rPr>
          <w:sz w:val="20"/>
          <w:szCs w:val="20"/>
        </w:rPr>
        <w:t xml:space="preserve">Complete list of permanent and temporary facilities based on the plant layout in Section IV. Land between turbines (~9.45 km²) remains usable for farming and grazing.</w:t>
      </w:r>
    </w:p>
    <w:p>
      <w:pPr>
        <w:pStyle w:val="Normal"/>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800"/>
        <w:gridCol w:w="2400"/>
        <w:gridCol w:w="2560"/>
      </w:tblGrid>
      <w:tr>
        <w:tc>
          <w:tcPr>
            <w:tcW w:w="6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No.</w:t>
            </w:r>
          </w:p>
        </w:tc>
        <w:tc>
          <w:tcPr>
            <w:tcW w:w="38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Facility</w:t>
            </w:r>
          </w:p>
        </w:tc>
        <w:tc>
          <w:tcPr>
            <w:tcW w:w="24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Floor Area (m²)</w:t>
            </w:r>
          </w:p>
        </w:tc>
        <w:tc>
          <w:tcPr>
            <w:tcW w:w="256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Function</w:t>
            </w:r>
          </w:p>
        </w:tc>
      </w:tr>
      <w:t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Wind turbine foundations (20 × ~380 m²)</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7,600 *</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Octagonal RC mat per Sec. VIII-D</w:t>
            </w:r>
          </w:p>
        </w:tc>
      </w:tr>
      <w:tr>
        <w:tc>
          <w:tcPr>
            <w:tcW w:w="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2</w:t>
            </w:r>
          </w:p>
        </w:tc>
        <w:tc>
          <w:tcPr>
            <w:tcW w:w="3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On-site 33/115 kV substation</w:t>
            </w:r>
          </w:p>
        </w:tc>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5,000</w:t>
            </w:r>
          </w:p>
        </w:tc>
        <w:tc>
          <w:tcPr>
            <w:tcW w:w="25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Step-up transformer, switchgear, control room</w:t>
            </w:r>
          </w:p>
        </w:tc>
      </w:tr>
      <w:t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3</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SCADA / Control room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180</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24/7 supervisory wind-farm control</w:t>
            </w:r>
          </w:p>
        </w:tc>
      </w:tr>
      <w:tr>
        <w:tc>
          <w:tcPr>
            <w:tcW w:w="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4</w:t>
            </w:r>
          </w:p>
        </w:tc>
        <w:tc>
          <w:tcPr>
            <w:tcW w:w="3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Maintenance workshop and stores</w:t>
            </w:r>
          </w:p>
        </w:tc>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650</w:t>
            </w:r>
          </w:p>
        </w:tc>
        <w:tc>
          <w:tcPr>
            <w:tcW w:w="25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Spare parts, gearbox oil, blade tools, crane access</w:t>
            </w:r>
          </w:p>
        </w:tc>
      </w:tr>
      <w:t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5</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Administrative building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320</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Project management, visitor reception</w:t>
            </w:r>
          </w:p>
        </w:tc>
      </w:tr>
      <w:tr>
        <w:tc>
          <w:tcPr>
            <w:tcW w:w="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6</w:t>
            </w:r>
          </w:p>
        </w:tc>
        <w:tc>
          <w:tcPr>
            <w:tcW w:w="3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Eco-tourism visitor center</w:t>
            </w:r>
          </w:p>
        </w:tc>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400</w:t>
            </w:r>
          </w:p>
        </w:tc>
        <w:tc>
          <w:tcPr>
            <w:tcW w:w="25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Public viewing deck, exhibits, restrooms</w:t>
            </w:r>
          </w:p>
        </w:tc>
      </w:tr>
      <w:t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7</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Emergency and fire station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240</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Nacelle fire response, high-angle rescue equipment</w:t>
            </w:r>
          </w:p>
        </w:tc>
      </w:tr>
      <w:tr>
        <w:tc>
          <w:tcPr>
            <w:tcW w:w="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8</w:t>
            </w:r>
          </w:p>
        </w:tc>
        <w:tc>
          <w:tcPr>
            <w:tcW w:w="3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Diesel genset house + fuel storage</w:t>
            </w:r>
          </w:p>
        </w:tc>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120</w:t>
            </w:r>
          </w:p>
        </w:tc>
        <w:tc>
          <w:tcPr>
            <w:tcW w:w="25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500 kVA backup + 5,000 L diesel fuel tank</w:t>
            </w:r>
          </w:p>
        </w:tc>
      </w:tr>
      <w:t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9</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Meteorological mast pad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100</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Permanent met mast, wind/temperature sensors</w:t>
            </w:r>
          </w:p>
        </w:tc>
      </w:tr>
      <w:tr>
        <w:tc>
          <w:tcPr>
            <w:tcW w:w="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10</w:t>
            </w:r>
          </w:p>
        </w:tc>
        <w:tc>
          <w:tcPr>
            <w:tcW w:w="3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Guard house and main gate</w:t>
            </w:r>
          </w:p>
        </w:tc>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60</w:t>
            </w:r>
          </w:p>
        </w:tc>
        <w:tc>
          <w:tcPr>
            <w:tcW w:w="25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24/7 security checkpoint</w:t>
            </w:r>
          </w:p>
        </w:tc>
      </w:tr>
      <w:t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11</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Parking and crane turnaround area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1,200</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Heavy vehicles, service vans, mobile crane setup</w:t>
            </w:r>
          </w:p>
        </w:tc>
      </w:tr>
      <w:tr>
        <w:tc>
          <w:tcPr>
            <w:tcW w:w="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12</w:t>
            </w:r>
          </w:p>
        </w:tc>
        <w:tc>
          <w:tcPr>
            <w:tcW w:w="3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Material laydown / crane hardstand</w:t>
            </w:r>
          </w:p>
        </w:tc>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2,500</w:t>
            </w:r>
          </w:p>
        </w:tc>
        <w:tc>
          <w:tcPr>
            <w:tcW w:w="25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Blade, nacelle, tower section staging (construction)</w:t>
            </w:r>
          </w:p>
        </w:tc>
      </w:tr>
      <w:t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13</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Septic and sewage treatment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150</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On-site sanitary waste treatment</w:t>
            </w:r>
          </w:p>
        </w:tc>
      </w:tr>
      <w:tr>
        <w:tc>
          <w:tcPr>
            <w:tcW w:w="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14</w:t>
            </w:r>
          </w:p>
        </w:tc>
        <w:tc>
          <w:tcPr>
            <w:tcW w:w="3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Water tank and pump house</w:t>
            </w:r>
          </w:p>
        </w:tc>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80</w:t>
            </w:r>
          </w:p>
        </w:tc>
        <w:tc>
          <w:tcPr>
            <w:tcW w:w="25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Blade wash water, fire-reserve tank (50,000 L)</w:t>
            </w:r>
          </w:p>
        </w:tc>
      </w:tr>
      <w:t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15</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Internal access roads (7 km × 6 m wide)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42,000</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Heavy-haul gravel roads to each turbine</w:t>
            </w:r>
          </w:p>
        </w:tc>
      </w:tr>
      <w:tr>
        <w:tc>
          <w:tcPr>
            <w:tcW w:w="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
            </w:r>
          </w:p>
        </w:tc>
        <w:tc>
          <w:tcPr>
            <w:tcW w:w="3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TOTAL BUILT-UP FACILITIES (excl. roads + turbine pads)</w:t>
            </w:r>
          </w:p>
        </w:tc>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 11,000</w:t>
            </w:r>
          </w:p>
        </w:tc>
        <w:tc>
          <w:tcPr>
            <w:tcW w:w="25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
            </w:r>
          </w:p>
        </w:tc>
      </w:tr>
      <w:t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TOTAL TURBINE FOUNDATION FOOTPRINT (*)</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7,600</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w:r>
          </w:p>
        </w:tc>
      </w:tr>
      <w:tr>
        <w:tc>
          <w:tcPr>
            <w:tcW w:w="6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
            </w:r>
          </w:p>
        </w:tc>
        <w:tc>
          <w:tcPr>
            <w:tcW w:w="3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TOTAL ROADS AND HARDSTANDS</w:t>
            </w:r>
          </w:p>
        </w:tc>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 44,500</w:t>
            </w:r>
          </w:p>
        </w:tc>
        <w:tc>
          <w:tcPr>
            <w:tcW w:w="25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
            </w:r>
          </w:p>
        </w:tc>
      </w:tr>
      <w:tr>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GROSS WIND FARM AREA (including inter-turbine land)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9.46 km²</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Per wake spacing calc in Sec. III-B.2</w:t>
            </w:r>
          </w:p>
        </w:tc>
      </w:tr>
    </w:tbl>
    <w:p/>
    <w:p>
      <w:r>
        <w:br w:type="page"/>
      </w:r>
    </w:p>
    <w:p>
      <w:pPr>
        <w:pStyle w:val="Heading1"/>
      </w:pPr>
      <w:r>
        <w:t xml:space="preserve">Section VIII-F — Energy Balance Diagram</w:t>
      </w:r>
    </w:p>
    <w:p>
      <w:pPr>
        <w:pStyle w:val="Normal"/>
      </w:pPr>
      <w:r>
        <w:rPr>
          <w:sz w:val="20"/>
          <w:szCs w:val="20"/>
        </w:rPr>
        <w:t xml:space="preserve">This section extends the Process Flow Diagrams in Section II-B by quantifying the power conversion losses at each stage — from incident wind kinetic energy to electricity delivered at the NGCP grid metering point.</w:t>
      </w:r>
    </w:p>
    <w:p>
      <w:pPr>
        <w:pStyle w:val="Normal"/>
      </w:pPr>
    </w:p>
    <w:p>
      <w:pPr>
        <w:pStyle w:val="Heading2"/>
      </w:pPr>
      <w:r>
        <w:t xml:space="preserve">F.1 Stage-by-Stage Power Balance (per turbine at rated wind V = 12 m/s)</w:t>
      </w:r>
    </w:p>
    <w:p>
      <w:pPr>
        <w:pStyle w:val="Normal"/>
      </w:pPr>
      <w:r>
        <w:rPr>
          <w:sz w:val="20"/>
          <w:szCs w:val="20"/>
        </w:rPr>
        <w:t xml:space="preserve">Calculation basis: P_wind = ½ × ρ × A × V³ = ½ × 1.225 × 13,273 × 12³ = 13.96 MW (same Betz equation used in Section III-A.1 of the original proposal).</w:t>
      </w:r>
    </w:p>
    <w:p>
      <w:pPr>
        <w:pStyle w:val="Normal"/>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100"/>
        <w:gridCol w:w="1100"/>
        <w:gridCol w:w="1300"/>
        <w:gridCol w:w="2660"/>
      </w:tblGrid>
      <w:tr>
        <w:tc>
          <w:tcPr>
            <w:tcW w:w="32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Stage</w:t>
            </w:r>
          </w:p>
        </w:tc>
        <w:tc>
          <w:tcPr>
            <w:tcW w:w="11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Input (MW)</w:t>
            </w:r>
          </w:p>
        </w:tc>
        <w:tc>
          <w:tcPr>
            <w:tcW w:w="11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Loss (MW)</w:t>
            </w:r>
          </w:p>
        </w:tc>
        <w:tc>
          <w:tcPr>
            <w:tcW w:w="13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Output (MW)</w:t>
            </w:r>
          </w:p>
        </w:tc>
        <w:tc>
          <w:tcPr>
            <w:tcW w:w="266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Loss Mechanism</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Wind kinetic energy at rotor disc</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13.96</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13.96</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P_wind = ½ρAV³</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Aerodynamic conversion (Cp = 0.45)</w:t>
            </w:r>
          </w:p>
        </w:tc>
        <w:tc>
          <w:tcPr>
            <w:tcW w:w="11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13.96</w:t>
            </w:r>
          </w:p>
        </w:tc>
        <w:tc>
          <w:tcPr>
            <w:tcW w:w="11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7.68</w:t>
            </w:r>
          </w:p>
        </w:tc>
        <w:tc>
          <w:tcPr>
            <w:tcW w:w="13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6.28</w:t>
            </w:r>
          </w:p>
        </w:tc>
        <w:tc>
          <w:tcPr>
            <w:tcW w:w="26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Real rotor &lt; Betz 59.3% theoretical max</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Hub + main bearing friction</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6.28</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0.06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6.22</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1% mechanical friction losses</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Gearbox (3-stage planetary, η = 97%)</w:t>
            </w:r>
          </w:p>
        </w:tc>
        <w:tc>
          <w:tcPr>
            <w:tcW w:w="11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6.22</w:t>
            </w:r>
          </w:p>
        </w:tc>
        <w:tc>
          <w:tcPr>
            <w:tcW w:w="11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0.19</w:t>
            </w:r>
          </w:p>
        </w:tc>
        <w:tc>
          <w:tcPr>
            <w:tcW w:w="13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6.03</w:t>
            </w:r>
          </w:p>
        </w:tc>
        <w:tc>
          <w:tcPr>
            <w:tcW w:w="26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 3% gear mesh and bearing losses</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DFIG generator (η = 97%)</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6.03</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0.18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5.85</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3% electromagnetic losses</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Partial-scale power converter</w:t>
            </w:r>
          </w:p>
        </w:tc>
        <w:tc>
          <w:tcPr>
            <w:tcW w:w="11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5.85</w:t>
            </w:r>
          </w:p>
        </w:tc>
        <w:tc>
          <w:tcPr>
            <w:tcW w:w="11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0.10</w:t>
            </w:r>
          </w:p>
        </w:tc>
        <w:tc>
          <w:tcPr>
            <w:tcW w:w="13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5.75</w:t>
            </w:r>
          </w:p>
        </w:tc>
        <w:tc>
          <w:tcPr>
            <w:tcW w:w="26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 1.7% IGBT switching losses</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Pad-mount transformer 690 V / 33 kV</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5.75</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0.05</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5.70</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0.9% no-load + load losses</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Inter-array 33 kV cable (average)</w:t>
            </w:r>
          </w:p>
        </w:tc>
        <w:tc>
          <w:tcPr>
            <w:tcW w:w="11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5.70</w:t>
            </w:r>
          </w:p>
        </w:tc>
        <w:tc>
          <w:tcPr>
            <w:tcW w:w="11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0.04</w:t>
            </w:r>
          </w:p>
        </w:tc>
        <w:tc>
          <w:tcPr>
            <w:tcW w:w="13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5.66</w:t>
            </w:r>
          </w:p>
        </w:tc>
        <w:tc>
          <w:tcPr>
            <w:tcW w:w="26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 0.7% I²R resistive losses</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Step-up transformer 33 kV / 115 kV</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5.66</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0.03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5.63</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0.5% transformer losses</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115 kV OHL to Laoag (≈ 35 km)</w:t>
            </w:r>
          </w:p>
        </w:tc>
        <w:tc>
          <w:tcPr>
            <w:tcW w:w="11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5.63</w:t>
            </w:r>
          </w:p>
        </w:tc>
        <w:tc>
          <w:tcPr>
            <w:tcW w:w="11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0.05</w:t>
            </w:r>
          </w:p>
        </w:tc>
        <w:tc>
          <w:tcPr>
            <w:tcW w:w="13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5.58</w:t>
            </w:r>
          </w:p>
        </w:tc>
        <w:tc>
          <w:tcPr>
            <w:tcW w:w="26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 0.9% line resistive losses</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NET at NGCP grid metering point</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5.58</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Useful electricity delivered to grid</w:t>
            </w:r>
          </w:p>
        </w:tc>
      </w:tr>
    </w:tbl>
    <w:p/>
    <w:p>
      <w:pPr>
        <w:pStyle w:val="Normal"/>
      </w:pPr>
    </w:p>
    <w:p>
      <w:pPr>
        <w:pStyle w:val="Heading2"/>
      </w:pPr>
      <w:r>
        <w:t xml:space="preserve">F.2 Annual Energy Yield — Wind Farm Total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400"/>
        <w:gridCol w:w="3760"/>
      </w:tblGrid>
      <w:tr>
        <w:tc>
          <w:tcPr>
            <w:tcW w:w="32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Parameter</w:t>
            </w:r>
          </w:p>
        </w:tc>
        <w:tc>
          <w:tcPr>
            <w:tcW w:w="24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Value</w:t>
            </w:r>
          </w:p>
        </w:tc>
        <w:tc>
          <w:tcPr>
            <w:tcW w:w="376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Calculation / Basis</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Rated capacity per turbine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5.0 MW</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Design specification (Sec. III-A.1)</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Maximum theoretical AEP per turbine</w:t>
            </w:r>
          </w:p>
        </w:tc>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43,800 MWh/yr</w:t>
            </w:r>
          </w:p>
        </w:tc>
        <w:tc>
          <w:tcPr>
            <w:tcW w:w="3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5.0 MW × 8,760 h/yr</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Capacity factor — Pasuquin site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38%</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Consistent with Bangui 35–42% and Burgos 36–45%</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Gross AEP per turbine</w:t>
            </w:r>
          </w:p>
        </w:tc>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16,644 MWh/yr</w:t>
            </w:r>
          </w:p>
        </w:tc>
        <w:tc>
          <w:tcPr>
            <w:tcW w:w="3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43,800 × 0.38</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Electrical system losses (avg. 7%)</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1,165 MWh/yr</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Cables, transformers, transmission line</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Net AEP per turbine delivered to grid</w:t>
            </w:r>
          </w:p>
        </w:tc>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15,479 MWh/yr</w:t>
            </w:r>
          </w:p>
        </w:tc>
        <w:tc>
          <w:tcPr>
            <w:tcW w:w="3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16,644 × (1 − 0.07)</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Wind farm total (20 turbines)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309,580 MWh/yr</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15,479 × 20 turbines</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Equivalent households served</w:t>
            </w:r>
          </w:p>
        </w:tc>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 77,400 households</w:t>
            </w:r>
          </w:p>
        </w:tc>
        <w:tc>
          <w:tcPr>
            <w:tcW w:w="3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At 4,000 kWh/yr per household (PH average)</w:t>
            </w:r>
          </w:p>
        </w:tc>
      </w:tr>
      <w:t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Annual FiT revenue (gross)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PHP 2.64 Billion/yr</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309,580 MWh × PHP 8.53/kWh (ERC FiT-2)</w:t>
            </w:r>
          </w:p>
        </w:tc>
      </w:tr>
    </w:tbl>
    <w:p/>
    <w:p>
      <w:r>
        <w:br w:type="page"/>
      </w:r>
    </w:p>
    <w:p>
      <w:pPr>
        <w:pStyle w:val="Heading1"/>
      </w:pPr>
      <w:r>
        <w:t xml:space="preserve">Section VIII-G — Operations and Maintenance (O&amp;M) Plan</w:t>
      </w:r>
    </w:p>
    <w:p>
      <w:pPr>
        <w:pStyle w:val="Normal"/>
      </w:pPr>
      <w:r>
        <w:rPr>
          <w:sz w:val="20"/>
          <w:szCs w:val="20"/>
        </w:rPr>
        <w:t xml:space="preserve">A rigorous O&amp;M plan sustains the 38% capacity factor assumed in the financial analysis (Section VI) across the 25-year project life.</w:t>
      </w:r>
    </w:p>
    <w:p>
      <w:pPr>
        <w:pStyle w:val="Normal"/>
      </w:pPr>
    </w:p>
    <w:p>
      <w:pPr>
        <w:pStyle w:val="Heading2"/>
      </w:pPr>
      <w:r>
        <w:t xml:space="preserve">G.1 Permanent Staffing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900"/>
        <w:gridCol w:w="4260"/>
      </w:tblGrid>
      <w:tr>
        <w:tc>
          <w:tcPr>
            <w:tcW w:w="42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Role</w:t>
            </w:r>
          </w:p>
        </w:tc>
        <w:tc>
          <w:tcPr>
            <w:tcW w:w="9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No.</w:t>
            </w:r>
          </w:p>
        </w:tc>
        <w:tc>
          <w:tcPr>
            <w:tcW w:w="426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Shift Schedule</w:t>
            </w:r>
          </w:p>
        </w:tc>
      </w:tr>
      <w:tr>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Wind Farm Manager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Day</w:t>
            </w:r>
          </w:p>
        </w:tc>
      </w:tr>
      <w:tr>
        <w:tc>
          <w:tcPr>
            <w:tcW w:w="4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Lead Turbine Technician (GWO Level 3)</w:t>
            </w:r>
          </w:p>
        </w:tc>
        <w:tc>
          <w:tcPr>
            <w:tcW w:w="9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4</w:t>
            </w:r>
          </w:p>
        </w:tc>
        <w:tc>
          <w:tcPr>
            <w:tcW w:w="42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Day + on-call rotation</w:t>
            </w:r>
          </w:p>
        </w:tc>
      </w:tr>
      <w:tr>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Turbine Technician (GWO Level 2)</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8</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Day, 4-on/4-off rotation</w:t>
            </w:r>
          </w:p>
        </w:tc>
      </w:tr>
      <w:tr>
        <w:tc>
          <w:tcPr>
            <w:tcW w:w="4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Electrical / Substation Engineer</w:t>
            </w:r>
          </w:p>
        </w:tc>
        <w:tc>
          <w:tcPr>
            <w:tcW w:w="9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2</w:t>
            </w:r>
          </w:p>
        </w:tc>
        <w:tc>
          <w:tcPr>
            <w:tcW w:w="42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Day</w:t>
            </w:r>
          </w:p>
        </w:tc>
      </w:tr>
      <w:tr>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SCADA Operator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4</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24/7, four-shift rotation</w:t>
            </w:r>
          </w:p>
        </w:tc>
      </w:tr>
      <w:tr>
        <w:tc>
          <w:tcPr>
            <w:tcW w:w="4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HSE Officer / GWO Safety Trainer</w:t>
            </w:r>
          </w:p>
        </w:tc>
        <w:tc>
          <w:tcPr>
            <w:tcW w:w="9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1</w:t>
            </w:r>
          </w:p>
        </w:tc>
        <w:tc>
          <w:tcPr>
            <w:tcW w:w="42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Day</w:t>
            </w:r>
          </w:p>
        </w:tc>
      </w:tr>
      <w:tr>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Admin and Procurement Staff</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2</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Day</w:t>
            </w:r>
          </w:p>
        </w:tc>
      </w:tr>
      <w:tr>
        <w:tc>
          <w:tcPr>
            <w:tcW w:w="42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Security Personnel</w:t>
            </w:r>
          </w:p>
        </w:tc>
        <w:tc>
          <w:tcPr>
            <w:tcW w:w="9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6</w:t>
            </w:r>
          </w:p>
        </w:tc>
        <w:tc>
          <w:tcPr>
            <w:tcW w:w="42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24/7</w:t>
            </w:r>
          </w:p>
        </w:tc>
      </w:tr>
      <w:tr>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TOTAL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28</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
            </w:r>
          </w:p>
        </w:tc>
      </w:tr>
    </w:tbl>
    <w:p/>
    <w:p>
      <w:pPr>
        <w:pStyle w:val="Normal"/>
      </w:pPr>
    </w:p>
    <w:p>
      <w:pPr>
        <w:pStyle w:val="Heading2"/>
      </w:pPr>
      <w:r>
        <w:t xml:space="preserve">G.2 Preventive Maintenance Schedule (per turbine)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tc>
          <w:tcPr>
            <w:tcW w:w="24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Frequency</w:t>
            </w:r>
          </w:p>
        </w:tc>
        <w:tc>
          <w:tcPr>
            <w:tcW w:w="696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Activity</w:t>
            </w:r>
          </w:p>
        </w:tc>
      </w:tr>
      <w:t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Continuous (24/7)</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SCADA monitoring: vibration, temperature, power output, fault alarms</w:t>
            </w:r>
          </w:p>
        </w:tc>
      </w:tr>
      <w:tr>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Weekly</w:t>
            </w:r>
          </w:p>
        </w:tc>
        <w:tc>
          <w:tcPr>
            <w:tcW w:w="69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Ground-level visual inspection; drone oil-leak check on nacelle</w:t>
            </w:r>
          </w:p>
        </w:tc>
      </w:tr>
      <w:t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Monthly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Tower climb: bolt torque spot-check, lubrication top-up, brake pad inspection</w:t>
            </w:r>
          </w:p>
        </w:tc>
      </w:tr>
      <w:tr>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Quarterly</w:t>
            </w:r>
          </w:p>
        </w:tc>
        <w:tc>
          <w:tcPr>
            <w:tcW w:w="69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Gearbox oil spectroscopy sample; blade leading-edge visual check</w:t>
            </w:r>
          </w:p>
        </w:tc>
      </w:tr>
      <w:t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Semi-annual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Yaw and pitch function test; emergency descender re-certification</w:t>
            </w:r>
          </w:p>
        </w:tc>
      </w:tr>
      <w:tr>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Annual</w:t>
            </w:r>
          </w:p>
        </w:tc>
        <w:tc>
          <w:tcPr>
            <w:tcW w:w="69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Full PM: oil change, filter change, blade root bolt re-torque (144 anchor bolts)</w:t>
            </w:r>
          </w:p>
        </w:tc>
      </w:tr>
      <w:t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Every 2 years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Generator slip-ring service; Philippine Grid Code compliance test</w:t>
            </w:r>
          </w:p>
        </w:tc>
      </w:tr>
      <w:tr>
        <w:tc>
          <w:tcPr>
            <w:tcW w:w="24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Every 5 years</w:t>
            </w:r>
          </w:p>
        </w:tc>
        <w:tc>
          <w:tcPr>
            <w:tcW w:w="69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Major: gearbox borescope, blade composite UT scan, transformer oil DGA</w:t>
            </w:r>
          </w:p>
        </w:tc>
      </w:tr>
      <w:tr>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Every 10 years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Mid-life overhaul: gearbox refurbishment, generator rewind assessment</w:t>
            </w:r>
          </w:p>
        </w:tc>
      </w:tr>
    </w:tbl>
    <w:p/>
    <w:p>
      <w:pPr>
        <w:pStyle w:val="Normal"/>
      </w:pPr>
    </w:p>
    <w:p>
      <w:pPr>
        <w:pStyle w:val="Heading2"/>
      </w:pPr>
      <w:r>
        <w:t xml:space="preserve">G.3 Spare Parts Strategy (Tiered Inventory)</w:t>
      </w:r>
    </w:p>
    <w:p>
      <w:pPr>
        <w:pStyle w:val="ListParagraph"/>
        <w:numPr>
          <w:ilvl w:val="0"/>
          <w:numId w:val="1"/>
        </w:numPr>
      </w:pPr>
      <w:r>
        <w:rPr>
          <w:sz w:val="20"/>
          <w:szCs w:val="20"/>
        </w:rPr>
        <w:t xml:space="preserve">Tier A — On-site (immediate use): pitch motors, yaw motors, fuses, contactors, sensors, lubricants, filters.</w:t>
      </w:r>
    </w:p>
    <w:p>
      <w:pPr>
        <w:pStyle w:val="ListParagraph"/>
        <w:numPr>
          <w:ilvl w:val="0"/>
          <w:numId w:val="1"/>
        </w:numPr>
      </w:pPr>
      <w:r>
        <w:rPr>
          <w:sz w:val="20"/>
          <w:szCs w:val="20"/>
        </w:rPr>
        <w:t xml:space="preserve">Tier B — Regional depot (24-hour delivery): IGBT converter modules, slip rings, brake pads, hydraulic accumulators.</w:t>
      </w:r>
    </w:p>
    <w:p>
      <w:pPr>
        <w:pStyle w:val="ListParagraph"/>
        <w:numPr>
          <w:ilvl w:val="0"/>
          <w:numId w:val="1"/>
        </w:numPr>
      </w:pPr>
      <w:r>
        <w:rPr>
          <w:sz w:val="20"/>
          <w:szCs w:val="20"/>
        </w:rPr>
        <w:t xml:space="preserve">Tier C — Manufacturer warehouse (2–6 weeks): main bearing, gearbox sub-assembly, generator, blade section.</w:t>
      </w:r>
    </w:p>
    <w:p>
      <w:pPr>
        <w:pStyle w:val="Normal"/>
      </w:pPr>
    </w:p>
    <w:p>
      <w:pPr>
        <w:pStyle w:val="Heading2"/>
      </w:pPr>
      <w:r>
        <w:t xml:space="preserve">G.4 Safety and Compliance Requirements</w:t>
      </w:r>
    </w:p>
    <w:p>
      <w:pPr>
        <w:pStyle w:val="ListParagraph"/>
        <w:numPr>
          <w:ilvl w:val="0"/>
          <w:numId w:val="1"/>
        </w:numPr>
      </w:pPr>
      <w:r>
        <w:rPr>
          <w:sz w:val="20"/>
          <w:szCs w:val="20"/>
        </w:rPr>
        <w:t xml:space="preserve">All turbine technicians must hold a valid GWO Basic Safety Training (BST) certificate: Working at Heights, First Aid, Manual Handling, Fire Awareness.</w:t>
      </w:r>
    </w:p>
    <w:p>
      <w:pPr>
        <w:pStyle w:val="ListParagraph"/>
        <w:numPr>
          <w:ilvl w:val="0"/>
          <w:numId w:val="1"/>
        </w:numPr>
      </w:pPr>
      <w:r>
        <w:rPr>
          <w:sz w:val="20"/>
          <w:szCs w:val="20"/>
        </w:rPr>
        <w:t xml:space="preserve">Two-person rule enforced for any work at height above 30 m inside or outside the tower.</w:t>
      </w:r>
    </w:p>
    <w:p>
      <w:pPr>
        <w:pStyle w:val="ListParagraph"/>
        <w:numPr>
          <w:ilvl w:val="0"/>
          <w:numId w:val="1"/>
        </w:numPr>
      </w:pPr>
      <w:r>
        <w:rPr>
          <w:sz w:val="20"/>
          <w:szCs w:val="20"/>
        </w:rPr>
        <w:t xml:space="preserve">Hot-work permits required for welding or grinding inside the nacelle.</w:t>
      </w:r>
    </w:p>
    <w:p>
      <w:pPr>
        <w:pStyle w:val="ListParagraph"/>
        <w:numPr>
          <w:ilvl w:val="0"/>
          <w:numId w:val="1"/>
        </w:numPr>
      </w:pPr>
      <w:r>
        <w:rPr>
          <w:sz w:val="20"/>
          <w:szCs w:val="20"/>
        </w:rPr>
        <w:t xml:space="preserve">Annual emergency drill: nacelle fire suppression, tower rescue, medical evacuation.</w:t>
      </w:r>
    </w:p>
    <w:p>
      <w:pPr>
        <w:pStyle w:val="ListParagraph"/>
        <w:numPr>
          <w:ilvl w:val="0"/>
          <w:numId w:val="1"/>
        </w:numPr>
      </w:pPr>
      <w:r>
        <w:rPr>
          <w:sz w:val="20"/>
          <w:szCs w:val="20"/>
        </w:rPr>
        <w:t xml:space="preserve">All work performed in compliance with DOLE Department Order No. 198-18 (Occupational Safety and Health Standards).</w:t>
      </w:r>
    </w:p>
    <w:p>
      <w:r>
        <w:br w:type="page"/>
      </w:r>
    </w:p>
    <w:p>
      <w:pPr>
        <w:pStyle w:val="Heading1"/>
      </w:pPr>
      <w:r>
        <w:t xml:space="preserve">Section VIII-H — Materials and Color-Coding Standards</w:t>
      </w:r>
    </w:p>
    <w:p>
      <w:pPr>
        <w:pStyle w:val="Normal"/>
      </w:pPr>
    </w:p>
    <w:p>
      <w:pPr>
        <w:pStyle w:val="Heading2"/>
      </w:pPr>
      <w:r>
        <w:t xml:space="preserve">H.1 Material Specifications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tc>
          <w:tcPr>
            <w:tcW w:w="28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Component</w:t>
            </w:r>
          </w:p>
        </w:tc>
        <w:tc>
          <w:tcPr>
            <w:tcW w:w="656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Material / Grade / Standard</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Tower steel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S355 J0+N per EN 10025-2</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Tower flange bolts</w:t>
            </w:r>
          </w:p>
        </w:tc>
        <w:tc>
          <w:tcPr>
            <w:tcW w:w="65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ISO 898-1 Class 10.9, hot-dip galvanized (HDG)</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Anchor bolts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ISO 898-1 Class 10.9 or ASTM A615 Grade 75</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Foundation concrete</w:t>
            </w:r>
          </w:p>
        </w:tc>
        <w:tc>
          <w:tcPr>
            <w:tcW w:w="65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fc' = 35 MPa; ACI 318 / NSCP 2015</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Foundation rebar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Grade 60 (fy = 414 MPa) deformed bars — top + bottom mats</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External coating</w:t>
            </w:r>
          </w:p>
        </w:tc>
        <w:tc>
          <w:tcPr>
            <w:tcW w:w="65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ISO 12944 C5-M system: zinc-rich primer + epoxy mid + PU topcoat, total DFT ≥ 320 µm</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Blade composite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Glass-fiber reinforced epoxy (GFRP) + carbon-fiber spar caps; IEC 61400-5</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33 kV inter-array cable</w:t>
            </w:r>
          </w:p>
        </w:tc>
        <w:tc>
          <w:tcPr>
            <w:tcW w:w="65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XLPE-insulated, copper conductor Class 2; IEC 60502-2</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115 kV overhead conductor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ACSR 'Drake' per ANSI/NEMA; NESC clearances</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Substation grounding</w:t>
            </w:r>
          </w:p>
        </w:tc>
        <w:tc>
          <w:tcPr>
            <w:tcW w:w="65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Bare copper 95 mm² mesh; IEEE 80 — target ≤ 1 Ω</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Control cabinets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IP66 painted steel enclosures; RAL 7035 light grey</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Gearbox lubricant</w:t>
            </w:r>
          </w:p>
        </w:tc>
        <w:tc>
          <w:tcPr>
            <w:tcW w:w="65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ISO VG 320 mineral or PAO synthetic oil</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Yaw/pitch bearing grease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NLGI-2 lithium-complex grease with EP additive</w:t>
            </w:r>
          </w:p>
        </w:tc>
      </w:tr>
    </w:tbl>
    <w:p/>
    <w:p>
      <w:pPr>
        <w:pStyle w:val="Normal"/>
      </w:pPr>
    </w:p>
    <w:p>
      <w:pPr>
        <w:pStyle w:val="Heading2"/>
      </w:pPr>
      <w:r>
        <w:t xml:space="preserve">H.2 Color-Coding Scheme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2760"/>
      </w:tblGrid>
      <w:tr>
        <w:tc>
          <w:tcPr>
            <w:tcW w:w="28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Item</w:t>
            </w:r>
          </w:p>
        </w:tc>
        <w:tc>
          <w:tcPr>
            <w:tcW w:w="280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Color (RAL Code)</w:t>
            </w:r>
          </w:p>
        </w:tc>
        <w:tc>
          <w:tcPr>
            <w:tcW w:w="2760" w:type="dxa"/>
            <w:tcBorders>
              <w:top w:val="single" w:sz="4" w:space="0" w:color="1B6B3A"/>
              <w:left w:val="single" w:sz="4" w:space="0" w:color="1B6B3A"/>
              <w:bottom w:val="single" w:sz="4" w:space="0" w:color="1B6B3A"/>
              <w:right w:val="single" w:sz="4" w:space="0" w:color="1B6B3A"/>
            </w:tcBorders>
            <w:shd w:val="clear" w:color="auto" w:fill="1B6B3A"/>
            <w:tcMar>
              <w:top w:w="100" w:type="dxa"/>
              <w:left w:w="120" w:type="dxa"/>
              <w:bottom w:w="100" w:type="dxa"/>
              <w:right w:w="120" w:type="dxa"/>
            </w:tcMar>
          </w:tcPr>
          <w:p>
            <w:pPr>
              <w:jc w:val="center"/>
            </w:pPr>
            <w:r>
              <w:rPr>
                <w:b/>
                <w:bCs/>
                <w:color w:val="FFFFFF"/>
                <w:sz w:val="20"/>
                <w:szCs w:val="20"/>
              </w:rPr>
              <w:t>Standard / Reason</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Tower body — lower 2/3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RAL 9010 Pure White</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IEC / aviation standard baseline</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Tower body — upper 1/3 (2 red bands)</w:t>
            </w:r>
          </w:p>
        </w:tc>
        <w:tc>
          <w:tcPr>
            <w:tcW w:w="2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RAL 3020 Traffic Red</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CAAP MOS Part 14 — daytime obstruction marking</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Blade tips (last 6 m, alternating bands)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RAL 3020 + RAL 9010</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Aviation visibility</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Aviation warning lights</w:t>
            </w:r>
          </w:p>
        </w:tc>
        <w:tc>
          <w:tcPr>
            <w:tcW w:w="2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Red, medium-intensity flashing</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ICAO Annex 14 / CAAP rules</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Earthing / grounding conductors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Green/Yellow striped insulation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IEC 60446</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33 kV cable phase identification</w:t>
            </w:r>
          </w:p>
        </w:tc>
        <w:tc>
          <w:tcPr>
            <w:tcW w:w="2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L1 = Red, L2 = Yellow, L3 = Blue</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PEC 2017 Philippine standard</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Fire-fighting equipment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RAL 3000 Flame Red</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DOLE OSH standards</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Emergency exits and evacuation routes</w:t>
            </w:r>
          </w:p>
        </w:tc>
        <w:tc>
          <w:tcPr>
            <w:tcW w:w="2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RAL 6024 Traffic Green + white text</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ISO 7010</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115 kV substation control panels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RAL 7032 Pebble Grey</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Philippine substation convention</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Hazard / caution floor markings</w:t>
            </w:r>
          </w:p>
        </w:tc>
        <w:tc>
          <w:tcPr>
            <w:tcW w:w="280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RAL 1023 Traffic Yellow + black diagonal stripes</w:t>
            </w:r>
          </w:p>
        </w:tc>
        <w:tc>
          <w:tcPr>
            <w:tcW w:w="2760" w:type="dxa"/>
            <w:tcBorders>
              <w:top w:val="single" w:sz="1" w:space="0" w:color="CCCCCC"/>
              <w:left w:val="single" w:sz="1" w:space="0" w:color="CCCCCC"/>
              <w:bottom w:val="single" w:sz="1" w:space="0" w:color="CCCCCC"/>
              <w:right w:val="single" w:sz="1" w:space="0" w:color="CCCCCC"/>
            </w:tcBorders>
            <w:shd w:val="clear" w:color="auto" w:fill="F1F8E9"/>
            <w:tcMar>
              <w:top w:w="80" w:type="dxa"/>
              <w:left w:w="120" w:type="dxa"/>
              <w:bottom w:w="80" w:type="dxa"/>
              <w:right w:w="120" w:type="dxa"/>
            </w:tcMar>
          </w:tcPr>
          <w:p>
            <w:r>
              <w:rPr>
                <w:sz w:val="20"/>
                <w:szCs w:val="20"/>
              </w:rPr>
              <w:t xml:space="preserve">ISO 3864</w:t>
            </w:r>
          </w:p>
        </w:tc>
      </w:tr>
      <w:t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Transformer oil containment bund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RAL 1018 Zinc Yellow</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
              <w:rPr>
                <w:sz w:val="20"/>
                <w:szCs w:val="20"/>
              </w:rPr>
              <w:t xml:space="preserve">High visibility for inspection</w:t>
            </w:r>
          </w:p>
        </w:tc>
      </w:tr>
    </w:tbl>
    <w:p/>
    <w:p>
      <w:pPr>
        <w:pStyle w:val="Normal"/>
      </w:pPr>
    </w:p>
    <w:p>
      <w:pPr>
        <w:pStyle w:val="Heading1"/>
      </w:pPr>
      <w:r>
        <w:t xml:space="preserve">Note to Instructor</w:t>
      </w:r>
    </w:p>
    <w:p>
      <w:pPr>
        <w:pStyle w:val="Normal"/>
      </w:pPr>
      <w:r>
        <w:rPr>
          <w:sz w:val="20"/>
          <w:szCs w:val="20"/>
        </w:rPr>
        <w:t xml:space="preserve">This Supplemental Engineering Documentation (Sections VIII-A through VIII-H) complements the original Windmill Project Proposal (April 29, 2026). Together, the two documents provide a complete plant-design submission covering: site selection, wind resource assessment, technical specifications and engineering calculations, process flow diagrams, plant siting and layout, environmental impact assessment, financial analysis, glossary of terms, detailed equipment specifications, plant layout and 3D model (placeholders provided in Section VIII-C for final drawings), foundation calculations, facility inventory, energy balance, O&amp;M plan, and materials/color-coding standards.</w:t>
      </w:r>
    </w:p>
    <w:p>
      <w:pPr>
        <w:pStyle w:val="Normal"/>
      </w:pPr>
    </w:p>
    <w:p>
      <w:pPr>
        <w:pStyle w:val="Normal"/>
      </w:pPr>
      <w:r>
        <w:rPr>
          <w:b/>
          <w:bCs/>
          <w:sz w:val="20"/>
          <w:szCs w:val="20"/>
        </w:rPr>
        <w:t xml:space="preserve">Prepared by: </w:t>
      </w:r>
      <w:r>
        <w:rPr>
          <w:sz w:val="20"/>
          <w:szCs w:val="20"/>
        </w:rPr>
        <w:t xml:space="preserve">Dan Mark C. Pastoral  ·  BSME-4A  ·  Pangasinan State University</w:t>
      </w:r>
    </w:p>
    <w:p>
      <w:pPr>
        <w:pStyle w:val="Normal"/>
      </w:pPr>
      <w:r>
        <w:rPr>
          <w:b/>
          <w:bCs/>
          <w:sz w:val="20"/>
          <w:szCs w:val="20"/>
        </w:rPr>
        <w:t xml:space="preserve">Submitted to: </w:t>
      </w:r>
      <w:r>
        <w:rPr>
          <w:sz w:val="20"/>
          <w:szCs w:val="20"/>
        </w:rPr>
        <w:t xml:space="preserve">Marfel D. Rosario, PME — Instructor</w:t>
      </w:r>
    </w:p>
    <w:p>
      <w:pPr>
        <w:pStyle w:val="Normal"/>
      </w:pPr>
      <w:r>
        <w:rPr>
          <w:b/>
          <w:bCs/>
          <w:sz w:val="20"/>
          <w:szCs w:val="20"/>
        </w:rPr>
        <w:t xml:space="preserve">Date: </w:t>
      </w:r>
      <w:r>
        <w:rPr>
          <w:sz w:val="20"/>
          <w:szCs w:val="20"/>
        </w:rPr>
        <w:t xml:space="preserve">May 2026</w:t>
      </w:r>
    </w:p>
    <w:sectPr>
      <w:headerReference w:type="default" r:id="rId13"/>
      <w:footerReference w:type="default" r:id="rId14"/>
      <w:pgSz w:w="12240" w:h="15840"/>
      <w:pgMar w:top="1440" w:right="1260" w:bottom="1440" w:left="1260" w:header="708" w:footer="708" w:gutter="0"/>
    </w:sectPr>
  </w:body>
</w:document>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EABCA" w14:textId="77777777" w:rsidR="002047EA" w:rsidRDefault="00000000">
    <w:pPr>
      <w:pBdr>
        <w:top w:val="single" w:sz="4" w:space="4" w:color="1B6B3A"/>
      </w:pBdr>
      <w:jc w:val="right"/>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08228D">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08228D">
      <w:rPr>
        <w:noProof/>
        <w:color w:val="666666"/>
        <w:sz w:val="18"/>
        <w:szCs w:val="18"/>
      </w:rPr>
      <w:t>2</w:t>
    </w:r>
    <w:r>
      <w:rPr>
        <w:color w:val="666666"/>
        <w:sz w:val="18"/>
        <w:szCs w:val="18"/>
      </w:rPr>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55E2B" w14:textId="77777777" w:rsidR="002047EA" w:rsidRDefault="00000000">
    <w:pPr>
      <w:pBdr>
        <w:bottom w:val="single" w:sz="4" w:space="4" w:color="1B6B3A"/>
      </w:pBdr>
      <w:spacing w:after="100"/>
    </w:pPr>
    <w:r>
      <w:rPr>
        <w:b/>
        <w:bCs/>
        <w:color w:val="1B6B3A"/>
        <w:sz w:val="18"/>
        <w:szCs w:val="18"/>
      </w:rPr>
      <w:t>WINDMILL PROJECT — PASUQUIN, ILOCOS NORTE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13B68"/>
    <w:multiLevelType w:val="hybridMultilevel"/>
    <w:tmpl w:val="90E8B14A"/>
    <w:lvl w:ilvl="0" w:tplc="D72A1CF4">
      <w:start w:val="1"/>
      <w:numFmt w:val="bullet"/>
      <w:lvlText w:val="•"/>
      <w:lvlJc w:val="left"/>
      <w:pPr>
        <w:ind w:left="720" w:hanging="360"/>
      </w:pPr>
    </w:lvl>
    <w:lvl w:ilvl="1" w:tplc="0BBC6E48">
      <w:numFmt w:val="decimal"/>
      <w:lvlText w:val=""/>
      <w:lvlJc w:val="left"/>
    </w:lvl>
    <w:lvl w:ilvl="2" w:tplc="5EE4E458">
      <w:numFmt w:val="decimal"/>
      <w:lvlText w:val=""/>
      <w:lvlJc w:val="left"/>
    </w:lvl>
    <w:lvl w:ilvl="3" w:tplc="AD9CC8F8">
      <w:numFmt w:val="decimal"/>
      <w:lvlText w:val=""/>
      <w:lvlJc w:val="left"/>
    </w:lvl>
    <w:lvl w:ilvl="4" w:tplc="4A505D0A">
      <w:numFmt w:val="decimal"/>
      <w:lvlText w:val=""/>
      <w:lvlJc w:val="left"/>
    </w:lvl>
    <w:lvl w:ilvl="5" w:tplc="CD2EDC04">
      <w:numFmt w:val="decimal"/>
      <w:lvlText w:val=""/>
      <w:lvlJc w:val="left"/>
    </w:lvl>
    <w:lvl w:ilvl="6" w:tplc="135C3262">
      <w:numFmt w:val="decimal"/>
      <w:lvlText w:val=""/>
      <w:lvlJc w:val="left"/>
    </w:lvl>
    <w:lvl w:ilvl="7" w:tplc="61D47964">
      <w:numFmt w:val="decimal"/>
      <w:lvlText w:val=""/>
      <w:lvlJc w:val="left"/>
    </w:lvl>
    <w:lvl w:ilvl="8" w:tplc="55F89780">
      <w:numFmt w:val="decimal"/>
      <w:lvlText w:val=""/>
      <w:lvlJc w:val="left"/>
    </w:lvl>
  </w:abstractNum>
  <w:abstractNum w:abstractNumId="1" w15:restartNumberingAfterBreak="0">
    <w:nsid w:val="53EA7970"/>
    <w:multiLevelType w:val="hybridMultilevel"/>
    <w:tmpl w:val="D190FF16"/>
    <w:lvl w:ilvl="0" w:tplc="B2FE47CE">
      <w:start w:val="1"/>
      <w:numFmt w:val="bullet"/>
      <w:lvlText w:val="●"/>
      <w:lvlJc w:val="left"/>
      <w:pPr>
        <w:ind w:left="720" w:hanging="360"/>
      </w:pPr>
    </w:lvl>
    <w:lvl w:ilvl="1" w:tplc="2E1670F4">
      <w:start w:val="1"/>
      <w:numFmt w:val="bullet"/>
      <w:lvlText w:val="○"/>
      <w:lvlJc w:val="left"/>
      <w:pPr>
        <w:ind w:left="1440" w:hanging="360"/>
      </w:pPr>
    </w:lvl>
    <w:lvl w:ilvl="2" w:tplc="DC94D844">
      <w:start w:val="1"/>
      <w:numFmt w:val="bullet"/>
      <w:lvlText w:val="■"/>
      <w:lvlJc w:val="left"/>
      <w:pPr>
        <w:ind w:left="2160" w:hanging="360"/>
      </w:pPr>
    </w:lvl>
    <w:lvl w:ilvl="3" w:tplc="30EE7F9E">
      <w:start w:val="1"/>
      <w:numFmt w:val="bullet"/>
      <w:lvlText w:val="●"/>
      <w:lvlJc w:val="left"/>
      <w:pPr>
        <w:ind w:left="2880" w:hanging="360"/>
      </w:pPr>
    </w:lvl>
    <w:lvl w:ilvl="4" w:tplc="7146EA0A">
      <w:start w:val="1"/>
      <w:numFmt w:val="bullet"/>
      <w:lvlText w:val="○"/>
      <w:lvlJc w:val="left"/>
      <w:pPr>
        <w:ind w:left="3600" w:hanging="360"/>
      </w:pPr>
    </w:lvl>
    <w:lvl w:ilvl="5" w:tplc="0E20278E">
      <w:start w:val="1"/>
      <w:numFmt w:val="bullet"/>
      <w:lvlText w:val="■"/>
      <w:lvlJc w:val="left"/>
      <w:pPr>
        <w:ind w:left="4320" w:hanging="360"/>
      </w:pPr>
    </w:lvl>
    <w:lvl w:ilvl="6" w:tplc="D4D6ABFA">
      <w:start w:val="1"/>
      <w:numFmt w:val="bullet"/>
      <w:lvlText w:val="●"/>
      <w:lvlJc w:val="left"/>
      <w:pPr>
        <w:ind w:left="5040" w:hanging="360"/>
      </w:pPr>
    </w:lvl>
    <w:lvl w:ilvl="7" w:tplc="16C61DEA">
      <w:start w:val="1"/>
      <w:numFmt w:val="bullet"/>
      <w:lvlText w:val="●"/>
      <w:lvlJc w:val="left"/>
      <w:pPr>
        <w:ind w:left="5760" w:hanging="360"/>
      </w:pPr>
    </w:lvl>
    <w:lvl w:ilvl="8" w:tplc="E9C6F476">
      <w:start w:val="1"/>
      <w:numFmt w:val="bullet"/>
      <w:lvlText w:val="●"/>
      <w:lvlJc w:val="left"/>
      <w:pPr>
        <w:ind w:left="6480" w:hanging="360"/>
      </w:pPr>
    </w:lvl>
  </w:abstractNum>
  <w:num w:numId="1" w16cid:durableId="1610359808">
    <w:abstractNumId w:val="1"/>
    <w:lvlOverride w:ilvl="0">
      <w:startOverride w:val="1"/>
    </w:lvlOverride>
  </w:num>
  <w:num w:numId="2" w16cid:durableId="819881619">
    <w:abstractNumId w:val="0"/>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7" Type="http://schemas.openxmlformats.org/officeDocument/2006/relationships/image" Target="media/image1.jpg"/>
  <Relationship Id="rId8" Type="http://schemas.openxmlformats.org/officeDocument/2006/relationships/image" Target="media/image2.jpg"/>
  <Relationship Id="rId9" Type="http://schemas.openxmlformats.org/officeDocument/2006/relationships/image" Target="media/image3.png"/>
  <Relationship Id="rId10" Type="http://schemas.openxmlformats.org/officeDocument/2006/relationships/image" Target="media/image4.png"/>
  <Relationship Id="rId11" Type="http://schemas.openxmlformats.org/officeDocument/2006/relationships/image" Target="media/image5.png"/>
  <Relationship Id="rId13" Type="http://schemas.openxmlformats.org/officeDocument/2006/relationships/header" Target="header1.xml"/>
  <Relationship Id="rId14" Type="http://schemas.openxmlformats.org/officeDocument/2006/relationships/footer" Target="footer1.xml"/>
</Relationships>
</file>