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body>
    <w:p>
      <w:pPr>
        <w:jc w:val="center"/>
        <w:spacing w:after="40"/>
      </w:pPr>
      <w:r>
        <w:rPr>
          <w:b/>
          <w:sz w:val="24"/>
          <w:color w:val="000000"/>
        </w:rPr>
        <w:t xml:space="preserve">OSH Legislation</w:t>
      </w:r>
    </w:p>
    <w:p>
      <w:pPr>
        <w:jc w:val="center"/>
        <w:spacing w:after="40"/>
      </w:pPr>
      <w:r>
        <w:rPr>
          <w:b/>
          <w:sz w:val="24"/>
          <w:color w:val="000000"/>
        </w:rPr>
        <w:t xml:space="preserve">Module 16 — Group 14</w:t>
      </w:r>
    </w:p>
    <w:p>
      <w:pPr>
        <w:jc w:val="center"/>
        <w:spacing w:after="40"/>
      </w:pPr>
      <w:r>
        <w:rPr>
          <w:b/>
          <w:sz w:val="24"/>
          <w:color w:val="000000"/>
        </w:rPr>
        <w:t xml:space="preserve">CAASI, JOHN RUSS MARBIN / CABILES, CHROMWELL / CAYME, JUSTICE JEWEL</w:t>
      </w:r>
    </w:p>
    <w:p>
      <w:pPr>
        <w:spacing w:after="40"/>
      </w:pPr>
    </w:p>
    <w:p>
      <w:pPr>
        <w:ind w:left="360"/>
        <w:spacing w:after="60"/>
      </w:pPr>
      <w:r>
        <w:rPr>
          <w:b/>
          <w:i/>
          <w:sz w:val="22"/>
          <w:color w:val="000000"/>
        </w:rPr>
        <w:t xml:space="preserve">📝 OSH Legislation = the laws and agencies that protect workers. Key agencies: DOLE, OSHC, ECC, BWC. Key laws: Labor Code, EO 307, PD 626, OSHS.</w:t>
      </w:r>
    </w:p>
    <w:p>
      <w:pPr>
        <w:spacing w:after="40"/>
      </w:pPr>
    </w:p>
    <w:p>
      <w:pPr>
        <w:spacing w:after="80"/>
      </w:pPr>
      <w:r>
        <w:rPr>
          <w:b/>
          <w:sz w:val="24"/>
          <w:color w:val="000000"/>
        </w:rPr>
        <w:t xml:space="preserve">Overview</w:t>
      </w:r>
    </w:p>
    <w:p>
      <w:pPr>
        <w:spacing w:after="80"/>
      </w:pPr>
      <w:r>
        <w:rPr>
          <w:sz w:val="24"/>
          <w:color w:val="000000"/>
        </w:rPr>
        <w:t xml:space="preserve">Occupational Safety and Health Legislation and Enforcement are key components of the government program to protect workers from accidents and illnesses.</w:t>
      </w:r>
    </w:p>
    <w:p>
      <w:pPr>
        <w:spacing w:after="40"/>
      </w:pPr>
    </w:p>
    <w:p>
      <w:pPr>
        <w:spacing w:after="80"/>
      </w:pPr>
      <w:r>
        <w:rPr>
          <w:b/>
          <w:sz w:val="24"/>
          <w:color w:val="000000"/>
        </w:rPr>
        <w:t xml:space="preserve">Organizations Involved</w:t>
      </w:r>
    </w:p>
    <w:p>
      <w:pPr>
        <w:pStyle w:val="ListBullet"/>
        <w:spacing w:after="60"/>
      </w:pPr>
      <w:r>
        <w:rPr>
          <w:sz w:val="24"/>
          <w:color w:val="000000"/>
        </w:rPr>
        <w:t xml:space="preserve">Department of Labor and Employment (DOLE)</w:t>
      </w:r>
    </w:p>
    <w:p>
      <w:pPr>
        <w:pStyle w:val="ListBullet"/>
        <w:spacing w:after="60"/>
      </w:pPr>
      <w:r>
        <w:rPr>
          <w:sz w:val="24"/>
          <w:color w:val="000000"/>
        </w:rPr>
        <w:t xml:space="preserve">Occupational Safety Health Center (OSHC)</w:t>
      </w:r>
    </w:p>
    <w:p>
      <w:pPr>
        <w:pStyle w:val="ListBullet"/>
        <w:spacing w:after="60"/>
      </w:pPr>
      <w:r>
        <w:rPr>
          <w:sz w:val="24"/>
          <w:color w:val="000000"/>
        </w:rPr>
        <w:t xml:space="preserve">Employees Compensation Commission (ECC)</w:t>
      </w:r>
    </w:p>
    <w:p>
      <w:pPr>
        <w:pStyle w:val="ListBullet"/>
        <w:spacing w:after="60"/>
      </w:pPr>
      <w:r>
        <w:rPr>
          <w:sz w:val="24"/>
          <w:color w:val="000000"/>
        </w:rPr>
        <w:t xml:space="preserve">Bureau of Working Conditions (BWC)</w:t>
      </w:r>
    </w:p>
    <w:p>
      <w:pPr>
        <w:spacing w:after="40"/>
      </w:pPr>
    </w:p>
    <w:p>
      <w:pPr>
        <w:spacing w:after="80"/>
      </w:pPr>
      <w:r>
        <w:rPr>
          <w:b/>
          <w:sz w:val="24"/>
          <w:color w:val="000000"/>
        </w:rPr>
        <w:t xml:space="preserve">Objectives</w:t>
      </w:r>
    </w:p>
    <w:p>
      <w:pPr>
        <w:pStyle w:val="ListBullet"/>
        <w:spacing w:after="60"/>
      </w:pPr>
      <w:r>
        <w:rPr>
          <w:sz w:val="24"/>
          <w:color w:val="000000"/>
        </w:rPr>
        <w:t xml:space="preserve">Identify laws and policies which govern OSH administration in the Philippines</w:t>
      </w:r>
    </w:p>
    <w:p>
      <w:pPr>
        <w:pStyle w:val="ListBullet"/>
        <w:spacing w:after="60"/>
      </w:pPr>
      <w:r>
        <w:rPr>
          <w:sz w:val="24"/>
          <w:color w:val="000000"/>
        </w:rPr>
        <w:t xml:space="preserve">Determine government agencies which administer such laws</w:t>
      </w:r>
    </w:p>
    <w:p>
      <w:pPr>
        <w:pStyle w:val="ListBullet"/>
        <w:spacing w:after="60"/>
      </w:pPr>
      <w:r>
        <w:rPr>
          <w:sz w:val="24"/>
          <w:color w:val="000000"/>
        </w:rPr>
        <w:t xml:space="preserve">Explain the various strategies for OSH administration</w:t>
      </w:r>
    </w:p>
    <w:p>
      <w:pPr>
        <w:spacing w:after="40"/>
      </w:pPr>
    </w:p>
    <w:p>
      <w:pPr>
        <w:spacing w:after="80"/>
      </w:pPr>
      <w:r>
        <w:rPr>
          <w:b/>
          <w:sz w:val="24"/>
          <w:color w:val="000000"/>
        </w:rPr>
        <w:t xml:space="preserve">OSH Administration Framework</w:t>
      </w:r>
    </w:p>
    <w:p>
      <w:pPr>
        <w:spacing w:after="80"/>
      </w:pPr>
      <w:r>
        <w:rPr>
          <w:sz w:val="24"/>
          <w:color w:val="000000"/>
        </w:rPr>
        <w:t xml:space="preserve">PREVENTION: Executive Order (E.O.) 307</w:t>
      </w:r>
    </w:p>
    <w:p>
      <w:pPr>
        <w:spacing w:after="80"/>
      </w:pPr>
      <w:r>
        <w:rPr>
          <w:sz w:val="24"/>
          <w:color w:val="000000"/>
        </w:rPr>
        <w:t xml:space="preserve">ENFORCEMENT: Admin Code 1987</w:t>
      </w:r>
    </w:p>
    <w:p>
      <w:pPr>
        <w:spacing w:after="80"/>
      </w:pPr>
      <w:r>
        <w:rPr>
          <w:sz w:val="24"/>
          <w:color w:val="000000"/>
        </w:rPr>
        <w:t xml:space="preserve">COMPENSATION / REHABILITATION: Presidential Decree (P.D.) 626</w:t>
      </w:r>
    </w:p>
    <w:p>
      <w:pPr>
        <w:spacing w:after="80"/>
      </w:pPr>
      <w:r>
        <w:rPr>
          <w:sz w:val="24"/>
          <w:color w:val="000000"/>
        </w:rPr>
        <w:t xml:space="preserve">UPDATING HEALTH &amp; SAFETY &amp; OTHER RELATED OSH POLICIES: Admin Code 1987</w:t>
      </w:r>
    </w:p>
    <w:p>
      <w:pPr>
        <w:spacing w:after="40"/>
      </w:pPr>
    </w:p>
    <w:p>
      <w:pPr>
        <w:spacing w:after="80"/>
      </w:pPr>
      <w:r>
        <w:rPr>
          <w:b/>
          <w:sz w:val="24"/>
          <w:color w:val="000000"/>
        </w:rPr>
        <w:t xml:space="preserve">Key Laws</w:t>
      </w:r>
    </w:p>
    <w:p>
      <w:pPr>
        <w:spacing w:after="40"/>
      </w:pPr>
    </w:p>
    <w:p>
      <w:pPr>
        <w:spacing w:after="80"/>
      </w:pPr>
      <w:r>
        <w:rPr>
          <w:b/>
          <w:sz w:val="24"/>
          <w:color w:val="000000"/>
        </w:rPr>
        <w:t xml:space="preserve">E.O. 307</w:t>
      </w:r>
    </w:p>
    <w:p>
      <w:pPr>
        <w:spacing w:after="80"/>
      </w:pPr>
      <w:r>
        <w:rPr>
          <w:sz w:val="24"/>
          <w:color w:val="000000"/>
        </w:rPr>
        <w:t xml:space="preserve">Created the OSH Center to safeguard Filipino workers and to strengthen the capability to prevent and reduce work-related injuries, illnesses, and deaths.</w:t>
      </w:r>
    </w:p>
    <w:p>
      <w:pPr>
        <w:spacing w:after="40"/>
      </w:pPr>
    </w:p>
    <w:p>
      <w:pPr>
        <w:spacing w:after="80"/>
      </w:pPr>
      <w:r>
        <w:rPr>
          <w:b/>
          <w:sz w:val="24"/>
          <w:color w:val="000000"/>
        </w:rPr>
        <w:t xml:space="preserve">Admin Code 1987</w:t>
      </w:r>
    </w:p>
    <w:p>
      <w:pPr>
        <w:spacing w:after="80"/>
      </w:pPr>
      <w:r>
        <w:rPr>
          <w:sz w:val="24"/>
          <w:color w:val="000000"/>
        </w:rPr>
        <w:t xml:space="preserve">Legal backbone on how executive departments, agencies and offices (like DOLE, DOH, BWC) operate today.</w:t>
      </w:r>
    </w:p>
    <w:p>
      <w:pPr>
        <w:spacing w:after="40"/>
      </w:pPr>
    </w:p>
    <w:p>
      <w:pPr>
        <w:spacing w:after="80"/>
      </w:pPr>
      <w:r>
        <w:rPr>
          <w:b/>
          <w:sz w:val="24"/>
          <w:color w:val="000000"/>
        </w:rPr>
        <w:t xml:space="preserve">P.D. 626</w:t>
      </w:r>
    </w:p>
    <w:p>
      <w:pPr>
        <w:spacing w:after="80"/>
      </w:pPr>
      <w:r>
        <w:rPr>
          <w:sz w:val="24"/>
          <w:color w:val="000000"/>
        </w:rPr>
        <w:t xml:space="preserve">The law that governs Employees Compensation Program (ECP).</w:t>
      </w:r>
    </w:p>
    <w:p>
      <w:pPr>
        <w:spacing w:after="40"/>
      </w:pPr>
    </w:p>
    <w:p>
      <w:pPr>
        <w:spacing w:after="80"/>
      </w:pPr>
      <w:r>
        <w:rPr>
          <w:b/>
          <w:sz w:val="24"/>
          <w:color w:val="000000"/>
        </w:rPr>
        <w:t xml:space="preserve">Policy Framework: Labor Code of the Philippines</w:t>
      </w:r>
    </w:p>
    <w:p>
      <w:pPr>
        <w:spacing w:after="40"/>
      </w:pPr>
    </w:p>
    <w:p>
      <w:pPr>
        <w:spacing w:after="80"/>
      </w:pPr>
      <w:r>
        <w:rPr>
          <w:b/>
          <w:sz w:val="24"/>
          <w:color w:val="000000"/>
        </w:rPr>
        <w:t xml:space="preserve">Article 162 — Safety and Health Standards</w:t>
      </w:r>
    </w:p>
    <w:p>
      <w:pPr>
        <w:spacing w:after="80"/>
      </w:pPr>
      <w:r>
        <w:rPr>
          <w:sz w:val="24"/>
          <w:color w:val="000000"/>
        </w:rPr>
        <w:t xml:space="preserve">Mandates the DOLE Secretary to set and enforce occupational safety and health standards to protect workers from hazards and ensure safe working conditions.</w:t>
      </w:r>
    </w:p>
    <w:p>
      <w:pPr>
        <w:spacing w:after="80"/>
      </w:pPr>
      <w:r>
        <w:rPr>
          <w:sz w:val="24"/>
          <w:color w:val="000000"/>
        </w:rPr>
        <w:t xml:space="preserve">Example violation: DOLE issued a Work Stoppage Order at a Bonifacio Global City construction site after a worker was killed and several others injured when a steel structure collapsed.</w:t>
      </w:r>
    </w:p>
    <w:p>
      <w:pPr>
        <w:spacing w:after="40"/>
      </w:pPr>
    </w:p>
    <w:p>
      <w:pPr>
        <w:spacing w:after="80"/>
      </w:pPr>
      <w:r>
        <w:rPr>
          <w:b/>
          <w:sz w:val="24"/>
          <w:color w:val="000000"/>
        </w:rPr>
        <w:t xml:space="preserve">Article 164 — Training Programs</w:t>
      </w:r>
    </w:p>
    <w:p>
      <w:pPr>
        <w:spacing w:after="80"/>
      </w:pPr>
      <w:r>
        <w:rPr>
          <w:sz w:val="24"/>
          <w:color w:val="000000"/>
        </w:rPr>
        <w:t xml:space="preserve">Mandates DOLE to implement training programs that educate workers and employers on occupational safety and health standards to prevent workplace accidents and promote safe working conditions.</w:t>
      </w:r>
    </w:p>
    <w:p>
      <w:pPr>
        <w:spacing w:after="40"/>
      </w:pPr>
    </w:p>
    <w:p>
      <w:pPr>
        <w:spacing w:after="80"/>
      </w:pPr>
      <w:r>
        <w:rPr>
          <w:b/>
          <w:sz w:val="24"/>
          <w:color w:val="000000"/>
        </w:rPr>
        <w:t xml:space="preserve">Article 164 — Administration of Safety and Health Laws</w:t>
      </w:r>
    </w:p>
    <w:p>
      <w:pPr>
        <w:spacing w:after="80"/>
      </w:pPr>
      <w:r>
        <w:rPr>
          <w:sz w:val="24"/>
          <w:color w:val="000000"/>
        </w:rPr>
        <w:t xml:space="preserve">Mandates the DOLE Secretary to administer and enforce occupational safety and health laws, ensuring safe and healthful working conditions in all workplaces.</w:t>
      </w:r>
    </w:p>
    <w:p>
      <w:pPr>
        <w:spacing w:after="80"/>
      </w:pPr>
      <w:r>
        <w:rPr>
          <w:sz w:val="24"/>
          <w:color w:val="000000"/>
        </w:rPr>
        <w:t xml:space="preserve">Example violation: A fire broke out at the NCCC Mall in Davao City, killing call center workers trapped inside. Investigation revealed the company failed to comply with OSH requirements — safety committees were inactive and workers had not been trained in emergency procedures.</w:t>
      </w:r>
    </w:p>
    <w:p>
      <w:pPr>
        <w:spacing w:after="40"/>
      </w:pPr>
    </w:p>
    <w:p>
      <w:pPr>
        <w:spacing w:after="80"/>
      </w:pPr>
      <w:r>
        <w:rPr>
          <w:b/>
          <w:sz w:val="24"/>
          <w:color w:val="000000"/>
        </w:rPr>
        <w:t xml:space="preserve">Article 128 — Visitorial and Enforcement Power</w:t>
      </w:r>
    </w:p>
    <w:p>
      <w:pPr>
        <w:spacing w:after="80"/>
      </w:pPr>
      <w:r>
        <w:rPr>
          <w:sz w:val="24"/>
          <w:color w:val="000000"/>
        </w:rPr>
        <w:t xml:space="preserve">Grants DOLE the power to enter workplaces, inspect records, and issue compliance orders when labor laws are violated.</w:t>
      </w:r>
    </w:p>
    <w:p>
      <w:pPr>
        <w:spacing w:after="40"/>
      </w:pPr>
    </w:p>
    <w:p>
      <w:pPr>
        <w:spacing w:after="80"/>
      </w:pPr>
      <w:r>
        <w:rPr>
          <w:b/>
          <w:sz w:val="24"/>
          <w:color w:val="000000"/>
        </w:rPr>
        <w:t xml:space="preserve">2. Presidential Decree 626</w:t>
      </w:r>
    </w:p>
    <w:p>
      <w:pPr>
        <w:spacing w:after="80"/>
      </w:pPr>
      <w:r>
        <w:rPr>
          <w:sz w:val="24"/>
          <w:color w:val="000000"/>
        </w:rPr>
        <w:t xml:space="preserve">Protects workers from financial burden due to work-related illness/injury.</w:t>
      </w:r>
    </w:p>
    <w:p>
      <w:pPr>
        <w:pStyle w:val="ListBullet"/>
        <w:spacing w:after="60"/>
      </w:pPr>
      <w:r>
        <w:rPr>
          <w:sz w:val="24"/>
          <w:color w:val="000000"/>
        </w:rPr>
        <w:t xml:space="preserve">Covers both public and private employees</w:t>
      </w:r>
    </w:p>
    <w:p>
      <w:pPr>
        <w:pStyle w:val="ListBullet"/>
        <w:spacing w:after="60"/>
      </w:pPr>
      <w:r>
        <w:rPr>
          <w:sz w:val="24"/>
          <w:color w:val="000000"/>
        </w:rPr>
        <w:t xml:space="preserve">Administered by SSS and GSIS</w:t>
      </w:r>
    </w:p>
    <w:p>
      <w:pPr>
        <w:pStyle w:val="ListBullet"/>
        <w:spacing w:after="60"/>
      </w:pPr>
      <w:r>
        <w:rPr>
          <w:sz w:val="24"/>
          <w:color w:val="000000"/>
        </w:rPr>
        <w:t xml:space="preserve">Provides medical, income, disability and death benefits</w:t>
      </w:r>
    </w:p>
    <w:p>
      <w:pPr>
        <w:spacing w:after="40"/>
      </w:pPr>
    </w:p>
    <w:p>
      <w:pPr>
        <w:spacing w:after="80"/>
      </w:pPr>
      <w:r>
        <w:rPr>
          <w:b/>
          <w:sz w:val="24"/>
          <w:color w:val="000000"/>
        </w:rPr>
        <w:t xml:space="preserve">3. P.D. 856 — Code on Sanitation</w:t>
      </w:r>
    </w:p>
    <w:p>
      <w:pPr>
        <w:pStyle w:val="ListBullet"/>
        <w:spacing w:after="60"/>
      </w:pPr>
      <w:r>
        <w:rPr>
          <w:sz w:val="24"/>
          <w:color w:val="000000"/>
        </w:rPr>
        <w:t xml:space="preserve">Consolidates all sanitation laws into one code</w:t>
      </w:r>
    </w:p>
    <w:p>
      <w:pPr>
        <w:pStyle w:val="ListBullet"/>
        <w:spacing w:after="60"/>
      </w:pPr>
      <w:r>
        <w:rPr>
          <w:sz w:val="24"/>
          <w:color w:val="000000"/>
        </w:rPr>
        <w:t xml:space="preserve">Ensures safe water, food, and waste management</w:t>
      </w:r>
    </w:p>
    <w:p>
      <w:pPr>
        <w:pStyle w:val="ListBullet"/>
        <w:spacing w:after="60"/>
      </w:pPr>
      <w:r>
        <w:rPr>
          <w:sz w:val="24"/>
          <w:color w:val="000000"/>
        </w:rPr>
        <w:t xml:space="preserve">Assigns responsibility to local governments for sanitation enforcement</w:t>
      </w:r>
    </w:p>
    <w:p>
      <w:pPr>
        <w:pStyle w:val="ListBullet"/>
        <w:spacing w:after="60"/>
      </w:pPr>
      <w:r>
        <w:rPr>
          <w:sz w:val="24"/>
          <w:color w:val="000000"/>
        </w:rPr>
        <w:t xml:space="preserve">Protects public health through modern hygiene standards</w:t>
      </w:r>
    </w:p>
    <w:p>
      <w:pPr>
        <w:spacing w:after="40"/>
      </w:pPr>
    </w:p>
    <w:p>
      <w:pPr>
        <w:spacing w:after="80"/>
      </w:pPr>
      <w:r>
        <w:rPr>
          <w:b/>
          <w:sz w:val="24"/>
          <w:color w:val="000000"/>
        </w:rPr>
        <w:t xml:space="preserve">4. Republic Act 8504 — Philippine AIDS Prevention and Control Act</w:t>
      </w:r>
    </w:p>
    <w:p>
      <w:pPr>
        <w:spacing w:after="80"/>
      </w:pPr>
      <w:r>
        <w:rPr>
          <w:sz w:val="24"/>
          <w:color w:val="000000"/>
        </w:rPr>
        <w:t xml:space="preserve">A law that promotes HIV/AIDS awareness, ensures voluntary and confidential testing, protects against discrimination, and strengthens national programs to support affected individuals.</w:t>
      </w:r>
    </w:p>
    <w:p>
      <w:pPr>
        <w:spacing w:after="40"/>
      </w:pPr>
    </w:p>
    <w:p>
      <w:pPr>
        <w:spacing w:after="80"/>
      </w:pPr>
      <w:r>
        <w:rPr>
          <w:b/>
          <w:sz w:val="24"/>
          <w:color w:val="000000"/>
        </w:rPr>
        <w:t xml:space="preserve">5. Republic Act 9165 — Comprehensive Dangerous Drugs Act</w:t>
      </w:r>
    </w:p>
    <w:p>
      <w:pPr>
        <w:spacing w:after="80"/>
      </w:pPr>
      <w:r>
        <w:rPr>
          <w:sz w:val="24"/>
          <w:color w:val="000000"/>
        </w:rPr>
        <w:t xml:space="preserve">An act instituting the Comprehensive Dangerous Drugs Act, providing funds therefor, and for other purposes.</w:t>
      </w:r>
    </w:p>
    <w:p>
      <w:pPr>
        <w:spacing w:after="40"/>
      </w:pPr>
    </w:p>
    <w:p>
      <w:pPr>
        <w:spacing w:after="80"/>
      </w:pPr>
      <w:r>
        <w:rPr>
          <w:b/>
          <w:sz w:val="24"/>
          <w:color w:val="000000"/>
        </w:rPr>
        <w:t xml:space="preserve">6. Republic Act 6969</w:t>
      </w:r>
    </w:p>
    <w:p>
      <w:pPr>
        <w:spacing w:after="80"/>
      </w:pPr>
      <w:r>
        <w:rPr>
          <w:sz w:val="24"/>
          <w:color w:val="000000"/>
        </w:rPr>
        <w:t xml:space="preserve">An act to control toxic substances and hazardous and nuclear wastes, providing penalties for violations thereof, and for other purposes.</w:t>
      </w:r>
    </w:p>
    <w:p>
      <w:pPr>
        <w:spacing w:after="40"/>
      </w:pPr>
    </w:p>
    <w:p>
      <w:pPr>
        <w:spacing w:after="80"/>
      </w:pPr>
      <w:r>
        <w:rPr>
          <w:b/>
          <w:sz w:val="24"/>
          <w:color w:val="000000"/>
        </w:rPr>
        <w:t xml:space="preserve">7. Local Government Act (RA 7160)</w:t>
      </w:r>
    </w:p>
    <w:p>
      <w:pPr>
        <w:spacing w:after="80"/>
      </w:pPr>
      <w:r>
        <w:rPr>
          <w:sz w:val="24"/>
          <w:color w:val="000000"/>
        </w:rPr>
        <w:t xml:space="preserve">Decentralizes some national government functions to local government units. Example: Inspection of buildings, health care provisions, etc.</w:t>
      </w:r>
    </w:p>
    <w:p>
      <w:pPr>
        <w:spacing w:after="40"/>
      </w:pPr>
    </w:p>
    <w:p>
      <w:pPr>
        <w:spacing w:after="80"/>
      </w:pPr>
      <w:r>
        <w:rPr>
          <w:b/>
          <w:sz w:val="24"/>
          <w:color w:val="000000"/>
        </w:rPr>
        <w:t xml:space="preserve">8. Executive Order 307</w:t>
      </w:r>
    </w:p>
    <w:p>
      <w:pPr>
        <w:spacing w:after="80"/>
      </w:pPr>
      <w:r>
        <w:rPr>
          <w:sz w:val="24"/>
          <w:color w:val="000000"/>
        </w:rPr>
        <w:t xml:space="preserve">Established the Occupational Safety and Health Center attached to the Employees Compensation Commission, as the national focal point on OSH trainings, researches, information and technical services.</w:t>
      </w:r>
    </w:p>
    <w:p>
      <w:pPr>
        <w:spacing w:after="40"/>
      </w:pPr>
    </w:p>
    <w:p>
      <w:pPr>
        <w:spacing w:after="80"/>
      </w:pPr>
      <w:r>
        <w:rPr>
          <w:b/>
          <w:sz w:val="24"/>
          <w:color w:val="000000"/>
        </w:rPr>
        <w:t xml:space="preserve">Selected OSHS Provisions</w:t>
      </w:r>
    </w:p>
    <w:p>
      <w:pPr>
        <w:spacing w:after="40"/>
      </w:pPr>
    </w:p>
    <w:p>
      <w:pPr>
        <w:spacing w:after="80"/>
      </w:pPr>
      <w:r>
        <w:rPr>
          <w:b/>
          <w:sz w:val="24"/>
          <w:color w:val="000000"/>
        </w:rPr>
        <w:t xml:space="preserve">Rule 1001 — Purpose and Scope</w:t>
      </w:r>
    </w:p>
    <w:p>
      <w:pPr>
        <w:spacing w:after="80"/>
      </w:pPr>
      <w:r>
        <w:rPr>
          <w:sz w:val="24"/>
          <w:color w:val="000000"/>
        </w:rPr>
        <w:t xml:space="preserve">Emphasizes workplace safety by protecting employees from injury, sickness, or death. Its goal is to conserve manpower, safeguard lives and property, and promote well-being while supporting national development. Applies to all places of employment unless exempted.</w:t>
      </w:r>
    </w:p>
    <w:p>
      <w:pPr>
        <w:spacing w:after="40"/>
      </w:pPr>
    </w:p>
    <w:p>
      <w:pPr>
        <w:spacing w:after="80"/>
      </w:pPr>
      <w:r>
        <w:rPr>
          <w:b/>
          <w:sz w:val="24"/>
          <w:color w:val="000000"/>
        </w:rPr>
        <w:t xml:space="preserve">Rule 1005 — Duties of Employers, Workers and Other Persons</w:t>
      </w:r>
    </w:p>
    <w:p>
      <w:pPr>
        <w:spacing w:after="80"/>
      </w:pPr>
      <w:r>
        <w:rPr>
          <w:sz w:val="24"/>
          <w:color w:val="000000"/>
        </w:rPr>
        <w:t xml:space="preserve">Defines the duties of employers, workers, and others to ensure safe workplaces. Employers must provide hazard-free environments and training. Workers must follow safeguards and report risks. Applies to all persons conducting business inside a workplace.</w:t>
      </w:r>
    </w:p>
    <w:p>
      <w:pPr>
        <w:spacing w:after="40"/>
      </w:pPr>
    </w:p>
    <w:p>
      <w:pPr>
        <w:spacing w:after="80"/>
      </w:pPr>
      <w:r>
        <w:rPr>
          <w:b/>
          <w:sz w:val="24"/>
          <w:color w:val="000000"/>
        </w:rPr>
        <w:t xml:space="preserve">Rule 1012.02 — Abatement of Imminent Danger</w:t>
      </w:r>
    </w:p>
    <w:p>
      <w:pPr>
        <w:spacing w:after="80"/>
      </w:pPr>
      <w:r>
        <w:rPr>
          <w:sz w:val="24"/>
          <w:color w:val="000000"/>
        </w:rPr>
        <w:t xml:space="preserve">Focuses on abating imminent danger by protecting workers from conditions that could cause death or serious harm. Requires immediate stoppage or correction of hazards.</w:t>
      </w:r>
    </w:p>
    <w:p>
      <w:pPr>
        <w:spacing w:after="40"/>
      </w:pPr>
    </w:p>
    <w:p>
      <w:pPr>
        <w:spacing w:after="80"/>
      </w:pPr>
      <w:r>
        <w:rPr>
          <w:b/>
          <w:sz w:val="24"/>
          <w:color w:val="000000"/>
        </w:rPr>
        <w:t xml:space="preserve">Rule 1013 — Hazardous Workplaces</w:t>
      </w:r>
    </w:p>
    <w:p>
      <w:pPr>
        <w:spacing w:after="80"/>
      </w:pPr>
      <w:r>
        <w:rPr>
          <w:sz w:val="24"/>
          <w:color w:val="000000"/>
        </w:rPr>
        <w:t xml:space="preserve">Identifies hazardous workplaces and ensures safety through training, protective equipment, and strict standards. Applies to high-risk industries like construction, mining, logging, quarrying, blasting, firefighting, mechanized farming, and those involving explosives or harmful agents.</w:t>
      </w:r>
    </w:p>
    <w:p>
      <w:pPr>
        <w:spacing w:after="40"/>
      </w:pPr>
    </w:p>
    <w:p>
      <w:pPr>
        <w:spacing w:after="80"/>
      </w:pPr>
      <w:r>
        <w:rPr>
          <w:b/>
          <w:sz w:val="24"/>
          <w:color w:val="000000"/>
        </w:rPr>
        <w:t xml:space="preserve">Rule 1043.01 — Health and Safety Committee</w:t>
      </w:r>
    </w:p>
    <w:p>
      <w:pPr>
        <w:spacing w:after="80"/>
      </w:pPr>
      <w:r>
        <w:rPr>
          <w:sz w:val="24"/>
          <w:color w:val="000000"/>
        </w:rPr>
        <w:t xml:space="preserve">Requires all establishments to form a Health and Safety Committee to prevent accidents, ensure compliance with DOLE regulations, and coordinate with inspectors. The committee develops safety programs, reviews inspections, and maintains disaster contingency plans.</w:t>
      </w:r>
    </w:p>
    <w:p>
      <w:pPr>
        <w:spacing w:after="80"/>
      </w:pPr>
      <w:r>
        <w:rPr>
          <w:sz w:val="24"/>
          <w:color w:val="000000"/>
        </w:rPr>
        <w:t xml:space="preserve">The Labor Code classifies committees based on workforce size:</w:t>
      </w:r>
    </w:p>
    <w:p>
      <w:pPr>
        <w:pStyle w:val="ListBullet"/>
        <w:spacing w:after="60"/>
      </w:pPr>
      <w:r>
        <w:rPr>
          <w:sz w:val="24"/>
          <w:color w:val="000000"/>
        </w:rPr>
        <w:t xml:space="preserve">Type A: Workplaces with over 400 workers</w:t>
      </w:r>
    </w:p>
    <w:p>
      <w:pPr>
        <w:pStyle w:val="ListBullet"/>
        <w:spacing w:after="60"/>
      </w:pPr>
      <w:r>
        <w:rPr>
          <w:sz w:val="24"/>
          <w:color w:val="000000"/>
        </w:rPr>
        <w:t xml:space="preserve">Type B: Workplaces with 201-400 workers</w:t>
      </w:r>
    </w:p>
    <w:p>
      <w:pPr>
        <w:pStyle w:val="ListBullet"/>
        <w:spacing w:after="60"/>
      </w:pPr>
      <w:r>
        <w:rPr>
          <w:sz w:val="24"/>
          <w:color w:val="000000"/>
        </w:rPr>
        <w:t xml:space="preserve">Type C: Workplaces with 51-200 workers</w:t>
      </w:r>
    </w:p>
    <w:p>
      <w:pPr>
        <w:pStyle w:val="ListBullet"/>
        <w:spacing w:after="60"/>
      </w:pPr>
      <w:r>
        <w:rPr>
          <w:sz w:val="24"/>
          <w:color w:val="000000"/>
        </w:rPr>
        <w:t xml:space="preserve">Type D: Workplaces with 50 or fewer workers</w:t>
      </w:r>
    </w:p>
    <w:p>
      <w:pPr>
        <w:spacing w:after="40"/>
      </w:pPr>
    </w:p>
    <w:p>
      <w:pPr>
        <w:spacing w:after="80"/>
      </w:pPr>
      <w:r>
        <w:rPr>
          <w:b/>
          <w:sz w:val="24"/>
          <w:color w:val="000000"/>
        </w:rPr>
        <w:t xml:space="preserve">Rule 1050 — Notification and Keeping of Records of Accidents and/or Occupational Illness</w:t>
      </w:r>
    </w:p>
    <w:p>
      <w:pPr>
        <w:spacing w:after="80"/>
      </w:pPr>
      <w:r>
        <w:rPr>
          <w:sz w:val="24"/>
          <w:color w:val="000000"/>
        </w:rPr>
        <w:t xml:space="preserve">Requires employers to notify DOLE and maintain records of all workplace accidents and occupational illnesses. Purpose: ensure accountability, provide accurate documentation, and allow proper monitoring of workplace safety conditions.</w:t>
      </w:r>
    </w:p>
    <w:p>
      <w:pPr>
        <w:spacing w:after="80"/>
      </w:pPr>
      <w:r>
        <w:rPr>
          <w:sz w:val="24"/>
          <w:color w:val="000000"/>
        </w:rPr>
        <w:t xml:space="preserve">Example violation: Kentex Slipper Factory Fire (Valenzuela, 2015) — Failure to notify DOLE properly, poor record keeping, and non-compliance with reporting requirements.</w:t>
      </w:r>
    </w:p>
    <w:p>
      <w:pPr>
        <w:spacing w:after="40"/>
      </w:pPr>
    </w:p>
    <w:p>
      <w:pPr>
        <w:spacing w:after="80"/>
      </w:pPr>
      <w:r>
        <w:rPr>
          <w:b/>
          <w:sz w:val="24"/>
          <w:color w:val="000000"/>
        </w:rPr>
        <w:t xml:space="preserve">Rule 1053.01 — Report Requirements</w:t>
      </w:r>
    </w:p>
    <w:p>
      <w:pPr>
        <w:spacing w:after="80"/>
      </w:pPr>
      <w:r>
        <w:rPr>
          <w:sz w:val="24"/>
          <w:color w:val="000000"/>
        </w:rPr>
        <w:t xml:space="preserve">Employers must submit formal reports of accidents or illnesses by the 20th of the following month, notify the Regional Labor Office within 24 hours in cases of death or permanent disability, and cooperate in investigations conducted within 48 hours.</w:t>
      </w:r>
    </w:p>
    <w:p>
      <w:pPr>
        <w:spacing w:after="40"/>
      </w:pPr>
    </w:p>
    <w:p>
      <w:pPr>
        <w:spacing w:after="80"/>
      </w:pPr>
      <w:r>
        <w:rPr>
          <w:b/>
          <w:sz w:val="24"/>
          <w:color w:val="000000"/>
        </w:rPr>
        <w:t xml:space="preserve">Rule 1070 — Occupational Health and Environmental Control</w:t>
      </w:r>
    </w:p>
    <w:p>
      <w:pPr>
        <w:spacing w:after="80"/>
      </w:pPr>
      <w:r>
        <w:rPr>
          <w:sz w:val="24"/>
          <w:color w:val="000000"/>
        </w:rPr>
        <w:t xml:space="preserve">It is the basis for the conduct of work environment measurements (WEM) by the OSHC. Provides values on the permissible level exposures of many contaminants and other physical hazards.</w:t>
      </w:r>
    </w:p>
    <w:p>
      <w:pPr>
        <w:spacing w:after="80"/>
      </w:pPr>
      <w:r>
        <w:rPr>
          <w:sz w:val="24"/>
          <w:color w:val="000000"/>
        </w:rPr>
        <w:t xml:space="preserve">Examples of Permissible Exposure Limits:</w:t>
      </w:r>
    </w:p>
    <w:p>
      <w:pPr>
        <w:pStyle w:val="ListBullet"/>
        <w:spacing w:after="60"/>
      </w:pPr>
      <w:r>
        <w:rPr>
          <w:sz w:val="24"/>
          <w:color w:val="000000"/>
        </w:rPr>
        <w:t xml:space="preserve">Noise: 90 dB for 8 hours (continuous exposure)</w:t>
      </w:r>
    </w:p>
    <w:p>
      <w:pPr>
        <w:pStyle w:val="ListBullet"/>
        <w:spacing w:after="60"/>
      </w:pPr>
      <w:r>
        <w:rPr>
          <w:sz w:val="24"/>
          <w:color w:val="000000"/>
        </w:rPr>
        <w:t xml:space="preserve">Carbon Monoxide (CO): 50 ppm (8-hour time-weighted average)</w:t>
      </w:r>
    </w:p>
    <w:p>
      <w:pPr>
        <w:pStyle w:val="ListBullet"/>
        <w:spacing w:after="60"/>
      </w:pPr>
      <w:r>
        <w:rPr>
          <w:sz w:val="24"/>
          <w:color w:val="000000"/>
        </w:rPr>
        <w:t xml:space="preserve">Sulfur Dioxide (SO2): 5 ppm (8-hour TWA)</w:t>
      </w:r>
    </w:p>
    <w:p>
      <w:pPr>
        <w:pStyle w:val="ListBullet"/>
        <w:spacing w:after="60"/>
      </w:pPr>
      <w:r>
        <w:rPr>
          <w:sz w:val="24"/>
          <w:color w:val="000000"/>
        </w:rPr>
        <w:t xml:space="preserve">Lead (inorganic dusts/fumes): 0.05 mg/m3 (8-hour TWA)</w:t>
      </w:r>
    </w:p>
    <w:p>
      <w:pPr>
        <w:pStyle w:val="ListBullet"/>
        <w:spacing w:after="60"/>
      </w:pPr>
      <w:r>
        <w:rPr>
          <w:sz w:val="24"/>
          <w:color w:val="000000"/>
        </w:rPr>
        <w:t xml:space="preserve">Asbestos (all forms): 2 fibers per cubic centimeter of air (8-hour TWA)</w:t>
      </w:r>
    </w:p>
    <w:p>
      <w:pPr>
        <w:spacing w:after="40"/>
      </w:pPr>
    </w:p>
    <w:p>
      <w:pPr>
        <w:spacing w:after="80"/>
      </w:pPr>
      <w:r>
        <w:rPr>
          <w:b/>
          <w:sz w:val="24"/>
          <w:color w:val="000000"/>
        </w:rPr>
        <w:t xml:space="preserve">Rule 1080 — Personal Protective Equipment</w:t>
      </w:r>
    </w:p>
    <w:p>
      <w:pPr>
        <w:spacing w:after="80"/>
      </w:pPr>
      <w:r>
        <w:rPr>
          <w:sz w:val="24"/>
          <w:color w:val="000000"/>
        </w:rPr>
        <w:t xml:space="preserve">Mandates employers to provide, maintain, and ensure the adequacy of PPE at no cost to workers, protecting them from hazardous conditions such as chemical, radiological, biological, or mechanical risks.</w:t>
      </w:r>
    </w:p>
    <w:p>
      <w:pPr>
        <w:spacing w:after="40"/>
      </w:pPr>
    </w:p>
    <w:p>
      <w:pPr>
        <w:spacing w:after="80"/>
      </w:pPr>
      <w:r>
        <w:rPr>
          <w:b/>
          <w:sz w:val="24"/>
          <w:color w:val="000000"/>
        </w:rPr>
        <w:t xml:space="preserve">Rule 1081 — General Provision</w:t>
      </w:r>
    </w:p>
    <w:p>
      <w:pPr>
        <w:spacing w:after="80"/>
      </w:pPr>
      <w:r>
        <w:rPr>
          <w:sz w:val="24"/>
          <w:color w:val="000000"/>
        </w:rPr>
        <w:t xml:space="preserve">Employers must furnish, at their own expense, protective equipment for the eyes, face, hands, and feet, as well as shields and barriers when necessary.</w:t>
      </w:r>
    </w:p>
    <w:p>
      <w:pPr>
        <w:spacing w:after="40"/>
      </w:pPr>
    </w:p>
    <w:p>
      <w:pPr>
        <w:spacing w:after="80"/>
      </w:pPr>
      <w:r>
        <w:rPr>
          <w:b/>
          <w:sz w:val="24"/>
          <w:color w:val="000000"/>
        </w:rPr>
        <w:t xml:space="preserve">Rule 1081.01 — Employer's Responsibility</w:t>
      </w:r>
    </w:p>
    <w:p>
      <w:pPr>
        <w:spacing w:after="80"/>
      </w:pPr>
      <w:r>
        <w:rPr>
          <w:sz w:val="24"/>
          <w:color w:val="000000"/>
        </w:rPr>
        <w:t xml:space="preserve">Employers must furnish protective equipment at their own expense. Any deductions for loss or damage of PPE are governed by the Labor Code.</w:t>
      </w:r>
    </w:p>
    <w:p>
      <w:pPr>
        <w:spacing w:after="40"/>
      </w:pPr>
    </w:p>
    <w:p>
      <w:pPr>
        <w:spacing w:after="80"/>
      </w:pPr>
      <w:r>
        <w:rPr>
          <w:b/>
          <w:sz w:val="24"/>
          <w:color w:val="000000"/>
        </w:rPr>
        <w:t xml:space="preserve">Rule 1081.02 — Design and Construction</w:t>
      </w:r>
    </w:p>
    <w:p>
      <w:pPr>
        <w:spacing w:after="80"/>
      </w:pPr>
      <w:r>
        <w:rPr>
          <w:sz w:val="24"/>
          <w:color w:val="000000"/>
        </w:rPr>
        <w:t xml:space="preserve">All PPE must be of approved design and construction, appropriate for the specific exposure and type of work being performed.</w:t>
      </w:r>
    </w:p>
    <w:p>
      <w:pPr>
        <w:spacing w:after="80"/>
      </w:pPr>
      <w:r>
        <w:rPr>
          <w:sz w:val="24"/>
          <w:color w:val="000000"/>
        </w:rPr>
        <w:t xml:space="preserve">Examples of Approved PPE by Exposure/Work Type:</w:t>
      </w:r>
    </w:p>
    <w:p>
      <w:pPr>
        <w:pStyle w:val="ListBullet"/>
        <w:spacing w:after="60"/>
      </w:pPr>
      <w:r>
        <w:rPr>
          <w:sz w:val="24"/>
          <w:color w:val="000000"/>
        </w:rPr>
        <w:t xml:space="preserve">Respiratory Hazards: NIOSH-certified respirators, gas masks, or SCBA</w:t>
      </w:r>
    </w:p>
    <w:p>
      <w:pPr>
        <w:pStyle w:val="ListBullet"/>
        <w:spacing w:after="60"/>
      </w:pPr>
      <w:r>
        <w:rPr>
          <w:sz w:val="24"/>
          <w:color w:val="000000"/>
        </w:rPr>
        <w:t xml:space="preserve">Eye Hazards: Safety goggles, face shields, welding helmets</w:t>
      </w:r>
    </w:p>
    <w:p>
      <w:pPr>
        <w:pStyle w:val="ListBullet"/>
        <w:spacing w:after="60"/>
      </w:pPr>
      <w:r>
        <w:rPr>
          <w:sz w:val="24"/>
          <w:color w:val="000000"/>
        </w:rPr>
        <w:t xml:space="preserve">Hearing Hazards: Earplugs or earmuffs meeting ANSI/OSHA standards</w:t>
      </w:r>
    </w:p>
    <w:p>
      <w:pPr>
        <w:pStyle w:val="ListBullet"/>
        <w:spacing w:after="60"/>
      </w:pPr>
      <w:r>
        <w:rPr>
          <w:sz w:val="24"/>
          <w:color w:val="000000"/>
        </w:rPr>
        <w:t xml:space="preserve">Head Hazards: Hard hats (ANSI Z89.1 compliant), insulated helmets</w:t>
      </w:r>
    </w:p>
    <w:p>
      <w:pPr>
        <w:pStyle w:val="ListBullet"/>
        <w:spacing w:after="60"/>
      </w:pPr>
      <w:r>
        <w:rPr>
          <w:sz w:val="24"/>
          <w:color w:val="000000"/>
        </w:rPr>
        <w:t xml:space="preserve">Hand Hazards: Chemical-resistant gloves, cut-resistant gloves, heat-resistant gloves</w:t>
      </w:r>
    </w:p>
    <w:p>
      <w:pPr>
        <w:pStyle w:val="ListBullet"/>
        <w:spacing w:after="60"/>
      </w:pPr>
      <w:r>
        <w:rPr>
          <w:sz w:val="24"/>
          <w:color w:val="000000"/>
        </w:rPr>
        <w:t xml:space="preserve">Foot Hazards: Steel-toe safety shoes, dielectric boots, slip-resistant footwear</w:t>
      </w:r>
    </w:p>
    <w:p>
      <w:pPr>
        <w:pStyle w:val="ListBullet"/>
        <w:spacing w:after="60"/>
      </w:pPr>
      <w:r>
        <w:rPr>
          <w:sz w:val="24"/>
          <w:color w:val="000000"/>
        </w:rPr>
        <w:t xml:space="preserve">Body Hazards: Aprons, coveralls, chemical-resistant suits, flame-retardant clothing</w:t>
      </w:r>
    </w:p>
    <w:p>
      <w:pPr>
        <w:spacing w:after="40"/>
      </w:pPr>
    </w:p>
    <w:p>
      <w:pPr>
        <w:ind w:left="360"/>
        <w:spacing w:after="60"/>
      </w:pPr>
      <w:r>
        <w:rPr>
          <w:b/>
          <w:i/>
          <w:sz w:val="22"/>
          <w:color w:val="000000"/>
        </w:rPr>
        <w:t xml:space="preserve">📝 Quick review: Key laws = Labor Code (Art. 162, 164, 128) + PD 626 + EO 307 + OSHS Rules (1001, 1005, 1013, 1043, 1050, 1070, 1080). Key agencies = DOLE, OSHC, ECC, BWC.</w:t>
      </w:r>
    </w:p>
    <w:sectPr>
      <w:pgSz w:w="12240" w:h="15840"/>
      <w:pgMar w:top="1080" w:right="1080" w:bottom="1080" w:left="108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4"/>
        <w:color w:val="000000"/>
      </w:rPr>
    </w:rPrDefault>
    <w:pPrDefault>
      <w:pPr>
        <w:spacing w:after="80"/>
      </w:pPr>
    </w:pPrDefault>
  </w:docDefaults>
  <w:style w:type="paragraph" w:styleId="Normal">
    <w:name w:val="Normal"/>
    <w:rPr>
      <w:sz w:val="24"/>
    </w:rPr>
  </w:style>
  <w:style w:type="paragraph" w:styleId="ListBullet">
    <w:name w:val="List Bullet"/>
    <w:pPr>
      <w:numPr>
        <w:ilvl w:val="0"/>
        <w:numId w:val="1"/>
      </w:numPr>
      <w:ind w:left="720" w:hanging="360"/>
    </w:pPr>
    <w:rPr>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