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DB893" w14:textId="77777777" w:rsidR="00984EE3" w:rsidRPr="006E2427" w:rsidRDefault="00000000">
      <w:pPr>
        <w:spacing w:before="120" w:after="40"/>
        <w:jc w:val="center"/>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MODULE 1: OSH AND THE BOSH FRAMEWORK</w:t>
      </w:r>
      <w:r w:rsidRPr="006E2427">
        <w:rPr>
          <w:rFonts w:ascii="Times New Roman" w:hAnsi="Times New Roman" w:cs="Times New Roman"/>
          <w:b/>
          <w:color w:val="000000" w:themeColor="text1"/>
          <w:sz w:val="24"/>
          <w:szCs w:val="24"/>
        </w:rPr>
        <w:br/>
        <w:t>MODULE 2: OSH SITUATION IN THE GLOBAL AND LOCAL LEVELS</w:t>
      </w:r>
    </w:p>
    <w:p w14:paraId="22EEC3E2" w14:textId="77777777" w:rsidR="00984EE3" w:rsidRPr="006E2427" w:rsidRDefault="00000000">
      <w:pPr>
        <w:spacing w:after="240"/>
        <w:jc w:val="center"/>
        <w:rPr>
          <w:rFonts w:ascii="Times New Roman" w:hAnsi="Times New Roman" w:cs="Times New Roman"/>
          <w:color w:val="000000" w:themeColor="text1"/>
          <w:sz w:val="24"/>
          <w:szCs w:val="24"/>
        </w:rPr>
      </w:pPr>
      <w:r w:rsidRPr="006E2427">
        <w:rPr>
          <w:rFonts w:ascii="Times New Roman" w:hAnsi="Times New Roman" w:cs="Times New Roman"/>
          <w:i/>
          <w:color w:val="000000" w:themeColor="text1"/>
          <w:sz w:val="24"/>
          <w:szCs w:val="24"/>
        </w:rPr>
        <w:t>GATCHALIAN, JESSIECA / MANDOCDOC, JHANNA SOFIA / OLERMO, PAUL JABEZ</w:t>
      </w:r>
    </w:p>
    <w:p w14:paraId="3CDD7ED5" w14:textId="77777777" w:rsidR="00984EE3" w:rsidRPr="006E2427" w:rsidRDefault="00000000">
      <w:pPr>
        <w:keepNext/>
        <w:spacing w:before="280" w:after="80"/>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MODULE 1: OSH AND BOSH FRAMEWORK</w:t>
      </w:r>
    </w:p>
    <w:p w14:paraId="18578108" w14:textId="4C981AA9" w:rsidR="00984EE3" w:rsidRPr="006E2427" w:rsidRDefault="00000000">
      <w:pPr>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Module 1 titled "OSH and the BOSH Framework" sets the foundation for forthcoming technical discourse within the Occupational Safety and Health (OSH) domain.</w:t>
      </w:r>
    </w:p>
    <w:p w14:paraId="6FFDC69A" w14:textId="77777777" w:rsidR="00984EE3" w:rsidRPr="006E2427" w:rsidRDefault="00000000">
      <w:pPr>
        <w:keepNext/>
        <w:spacing w:before="200" w:after="80"/>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The main objectives include:</w:t>
      </w:r>
    </w:p>
    <w:p w14:paraId="75B8F2B6" w14:textId="77777777" w:rsidR="00984EE3" w:rsidRPr="006E2427" w:rsidRDefault="00000000">
      <w:pPr>
        <w:pStyle w:val="ListBulle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Gaining an overview of the BOSH Course and recognizing the significance of safety and health in a workplace.</w:t>
      </w:r>
    </w:p>
    <w:p w14:paraId="53441831" w14:textId="77777777" w:rsidR="00984EE3" w:rsidRPr="006E2427" w:rsidRDefault="00000000">
      <w:pPr>
        <w:pStyle w:val="ListBulle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Defining OSH and recognizing its three major fields: Occupational Safety, Occupational Health, and Industrial Hygiene.</w:t>
      </w:r>
    </w:p>
    <w:p w14:paraId="7660F52D" w14:textId="77777777" w:rsidR="00984EE3" w:rsidRPr="006E2427" w:rsidRDefault="00000000">
      <w:pPr>
        <w:pStyle w:val="ListBulle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Identifying work-related hazards and risks, along with proposing control measures to mitigate or eliminate accidents and illnesses in the workplace.</w:t>
      </w:r>
    </w:p>
    <w:p w14:paraId="00AAB657" w14:textId="77777777" w:rsidR="00984EE3" w:rsidRPr="006E2427" w:rsidRDefault="00000000">
      <w:pPr>
        <w:pStyle w:val="ListBulle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Acquiring fundamental knowledge and skills in OSH, including safe work practices, to empower individuals to develop effective Safety and Health programs within their organizations.</w:t>
      </w:r>
    </w:p>
    <w:p w14:paraId="2EA9040D" w14:textId="77777777" w:rsidR="003E0C44" w:rsidRPr="006E2427" w:rsidRDefault="003E0C44">
      <w:pPr>
        <w:keepNext/>
        <w:spacing w:before="200" w:after="80"/>
        <w:rPr>
          <w:rFonts w:ascii="Times New Roman" w:hAnsi="Times New Roman" w:cs="Times New Roman"/>
          <w:b/>
          <w:i/>
          <w:color w:val="000000" w:themeColor="text1"/>
          <w:sz w:val="24"/>
          <w:szCs w:val="24"/>
        </w:rPr>
      </w:pPr>
    </w:p>
    <w:p w14:paraId="1AAE2B08" w14:textId="43F87B8F" w:rsidR="00984EE3" w:rsidRPr="006E2427" w:rsidRDefault="00000000">
      <w:pPr>
        <w:keepNext/>
        <w:spacing w:before="200" w:after="80"/>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OVERVIEW OF THE BOSH COURSE</w:t>
      </w:r>
    </w:p>
    <w:p w14:paraId="26B5A3EB" w14:textId="77777777" w:rsidR="00984EE3" w:rsidRPr="006E2427" w:rsidRDefault="00000000">
      <w:pPr>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The content focuses on understanding and applying Occupational Safety and Health (OSH) principles in the Philippines. It covers national OSH laws and regulations, accident and illness statistics, hazard identification and prevention, and the impacts of workplace hazards on workers and society. It also emphasizes proper control measures, safety audits, the role of supervisors, components and benefits of an OSH program, collaboration with OSH-related institutions, and the development of a personal re-entry plan to promote a safe and healthy work environment.</w:t>
      </w:r>
    </w:p>
    <w:p w14:paraId="0816AA20" w14:textId="77777777" w:rsidR="003E0C44" w:rsidRPr="006E2427" w:rsidRDefault="003E0C44">
      <w:pPr>
        <w:rPr>
          <w:rFonts w:ascii="Times New Roman" w:hAnsi="Times New Roman" w:cs="Times New Roman"/>
          <w:color w:val="000000" w:themeColor="text1"/>
          <w:sz w:val="24"/>
          <w:szCs w:val="24"/>
        </w:rPr>
      </w:pPr>
    </w:p>
    <w:p w14:paraId="215E2D93" w14:textId="77777777" w:rsidR="00984EE3" w:rsidRPr="006E2427" w:rsidRDefault="00000000">
      <w:pPr>
        <w:keepNext/>
        <w:spacing w:before="200" w:after="80"/>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OCCUPATIONAL SAFETY AND HEALTH AIMS TO:</w:t>
      </w:r>
    </w:p>
    <w:p w14:paraId="35072F44" w14:textId="77777777" w:rsidR="00984EE3" w:rsidRPr="006E2427" w:rsidRDefault="00000000">
      <w:pPr>
        <w:pStyle w:val="ListBulle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PROMOTE WORKERS' PHYSICAL, MENTAL, AND SOCIAL WELL-BEING.</w:t>
      </w:r>
    </w:p>
    <w:p w14:paraId="6FAD1124" w14:textId="77777777" w:rsidR="00984EE3" w:rsidRPr="006E2427" w:rsidRDefault="00000000">
      <w:pPr>
        <w:pStyle w:val="ListBulle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PREVENT ADVERSE HEALTH EFFECTS FROM WORKING CONDITIONS.</w:t>
      </w:r>
    </w:p>
    <w:p w14:paraId="5D777492" w14:textId="77777777" w:rsidR="00984EE3" w:rsidRPr="006E2427" w:rsidRDefault="00000000">
      <w:pPr>
        <w:pStyle w:val="ListBulle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PROVIDE AN OCCUPATIONAL ENVIRONMENT SUITABLE FOR WORKERS.</w:t>
      </w:r>
    </w:p>
    <w:p w14:paraId="4ABFE938" w14:textId="77777777" w:rsidR="00984EE3" w:rsidRPr="006E2427" w:rsidRDefault="00000000">
      <w:pPr>
        <w:pStyle w:val="ListBulle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ADAPT WORK TO HUMAN NEEDS.</w:t>
      </w:r>
    </w:p>
    <w:p w14:paraId="7705F7EC" w14:textId="77777777" w:rsidR="003E0C44" w:rsidRPr="006E2427" w:rsidRDefault="003E0C44">
      <w:pPr>
        <w:rPr>
          <w:rFonts w:ascii="Times New Roman" w:hAnsi="Times New Roman" w:cs="Times New Roman"/>
          <w:b/>
          <w:i/>
          <w:color w:val="000000" w:themeColor="text1"/>
          <w:sz w:val="24"/>
          <w:szCs w:val="24"/>
        </w:rPr>
      </w:pPr>
    </w:p>
    <w:p w14:paraId="4EDABD72" w14:textId="6889516F" w:rsidR="00984EE3" w:rsidRPr="006E2427" w:rsidRDefault="00000000">
      <w:pPr>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SUCCESSFUL IMPLEMENTATION OF OSH REQUIRES COLLABORATION BETWEEN EMPLOYERS AND WORKERS, ADDRESSING BOTH HEALTH AND SAFETY CONCERNS. WHILE SAFETY IS SYNONYMOUS WITH HEALTH, A SAFE WORKPLACE MAY NOT NECESSARILY BE HEALTHY.</w:t>
      </w:r>
    </w:p>
    <w:p w14:paraId="38A299FA" w14:textId="77777777" w:rsidR="00984EE3" w:rsidRPr="006E2427" w:rsidRDefault="00000000">
      <w:pPr>
        <w:keepNext/>
        <w:spacing w:before="200" w:after="80"/>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RISK AND HAZARD</w:t>
      </w:r>
    </w:p>
    <w:p w14:paraId="50F9E44F" w14:textId="77777777" w:rsidR="00984EE3" w:rsidRPr="006E2427" w:rsidRDefault="00000000">
      <w:pPr>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HAZARD (A Potential Source of Harm):</w:t>
      </w:r>
      <w:r w:rsidRPr="006E2427">
        <w:rPr>
          <w:rFonts w:ascii="Times New Roman" w:hAnsi="Times New Roman" w:cs="Times New Roman"/>
          <w:color w:val="000000" w:themeColor="text1"/>
          <w:sz w:val="24"/>
          <w:szCs w:val="24"/>
        </w:rPr>
        <w:t xml:space="preserve"> A SOURCE OR SITUATION WITH A POTENTIAL TO CAUSE HARM IN TERMS OF INJURY, ILL HEALTH, DAMAGE TO PROPERTY, DAMAGE TO THE ENVIRONMENT OR A COMBINATION OF THESE.</w:t>
      </w:r>
    </w:p>
    <w:p w14:paraId="4B221D63" w14:textId="77777777" w:rsidR="003E0C44" w:rsidRPr="006E2427" w:rsidRDefault="003E0C44">
      <w:pPr>
        <w:rPr>
          <w:rFonts w:ascii="Times New Roman" w:hAnsi="Times New Roman" w:cs="Times New Roman"/>
          <w:b/>
          <w:i/>
          <w:color w:val="000000" w:themeColor="text1"/>
          <w:sz w:val="24"/>
          <w:szCs w:val="24"/>
        </w:rPr>
      </w:pPr>
    </w:p>
    <w:p w14:paraId="4DBB3188" w14:textId="3B050874" w:rsidR="00984EE3" w:rsidRPr="006E2427" w:rsidRDefault="00000000">
      <w:pPr>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lastRenderedPageBreak/>
        <w:t>RISK (A Likelihood and Severity of Harm):</w:t>
      </w:r>
      <w:r w:rsidRPr="006E2427">
        <w:rPr>
          <w:rFonts w:ascii="Times New Roman" w:hAnsi="Times New Roman" w:cs="Times New Roman"/>
          <w:color w:val="000000" w:themeColor="text1"/>
          <w:sz w:val="24"/>
          <w:szCs w:val="24"/>
        </w:rPr>
        <w:t xml:space="preserve"> A COMBINATION OF THE LIKELIHOOD OF AN OCCURRENCE OF A HAZARDOUS EVENT WITH SPECIFIED PERIOD OR IN SPECIFIED CIRCUMSTANCES AND THE SEVERITY OF INJURY OR DAMAGE TO THE HEALTH OF PEOPLE, PROPERTY, ENVIRONMENT OR ANY COMBINATION OF THESE CAUSED BY THE EVENT.</w:t>
      </w:r>
    </w:p>
    <w:p w14:paraId="5F43B591" w14:textId="77777777" w:rsidR="003E0C44" w:rsidRPr="006E2427" w:rsidRDefault="003E0C44">
      <w:pPr>
        <w:keepNext/>
        <w:spacing w:before="280" w:after="80"/>
        <w:rPr>
          <w:rFonts w:ascii="Times New Roman" w:hAnsi="Times New Roman" w:cs="Times New Roman"/>
          <w:b/>
          <w:i/>
          <w:color w:val="000000" w:themeColor="text1"/>
          <w:sz w:val="24"/>
          <w:szCs w:val="24"/>
        </w:rPr>
      </w:pPr>
    </w:p>
    <w:p w14:paraId="3210A808" w14:textId="76CE313C" w:rsidR="00984EE3" w:rsidRPr="006E2427" w:rsidRDefault="00000000">
      <w:pPr>
        <w:keepNext/>
        <w:spacing w:before="280" w:after="80"/>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MODULE 2: OSH SITUATION IN THE GLOBAL AND LOCAL LEVELS</w:t>
      </w:r>
    </w:p>
    <w:p w14:paraId="440AFA25" w14:textId="77777777" w:rsidR="00984EE3" w:rsidRPr="006E2427" w:rsidRDefault="00000000">
      <w:pPr>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The module explains that many work-related accidents, injuries, and illnesses still occur, showing why Occupational Safety and Health (OSH) awareness is important. It traces OSH back to the industrial revolution, when dangerous machines, chemical exposure, and unsafe conditions led to the need for safety rules and standards. As work evolved-especially with the shift to service jobs-new risks like muscle and joint injuries emerged, highlighting the importance of ergonomics.</w:t>
      </w:r>
    </w:p>
    <w:p w14:paraId="742B42F7" w14:textId="77777777" w:rsidR="00984EE3" w:rsidRPr="006E2427" w:rsidRDefault="00000000">
      <w:pPr>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This module aims to help working individuals:</w:t>
      </w:r>
    </w:p>
    <w:p w14:paraId="3AB502A7" w14:textId="77777777" w:rsidR="00984EE3" w:rsidRPr="006E2427" w:rsidRDefault="00000000">
      <w:pPr>
        <w:pStyle w:val="ListBulle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Articulate a heightened awareness of occupational safety and health (OSH) situations, locally and internationally.</w:t>
      </w:r>
    </w:p>
    <w:p w14:paraId="4D33A37F" w14:textId="77777777" w:rsidR="00984EE3" w:rsidRPr="006E2427" w:rsidRDefault="00000000">
      <w:pPr>
        <w:pStyle w:val="ListBulle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Identify the problems, issues, and challenges linked to OSH conditions in their country.</w:t>
      </w:r>
    </w:p>
    <w:p w14:paraId="51142F61" w14:textId="77777777" w:rsidR="00984EE3" w:rsidRPr="006E2427" w:rsidRDefault="00000000">
      <w:pPr>
        <w:keepNext/>
        <w:spacing w:before="200" w:after="80"/>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GLOBAL OSH FIGURES</w:t>
      </w:r>
    </w:p>
    <w:p w14:paraId="0E6A79D4" w14:textId="77777777" w:rsidR="00984EE3" w:rsidRPr="006E2427" w:rsidRDefault="00000000">
      <w:pPr>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The International Labour Organization (ILO) Safework Introductory Report in 2008 highlighted the following global occupational safety and health (OSH) statistics:</w:t>
      </w:r>
      <w:r w:rsidRPr="006E2427">
        <w:rPr>
          <w:rFonts w:ascii="Times New Roman" w:hAnsi="Times New Roman" w:cs="Times New Roman"/>
          <w:color w:val="000000" w:themeColor="text1"/>
          <w:sz w:val="24"/>
          <w:szCs w:val="24"/>
        </w:rPr>
        <w:br/>
      </w:r>
      <w:r w:rsidRPr="006E2427">
        <w:rPr>
          <w:rFonts w:ascii="Times New Roman" w:hAnsi="Times New Roman" w:cs="Times New Roman"/>
          <w:color w:val="000000" w:themeColor="text1"/>
          <w:sz w:val="24"/>
          <w:szCs w:val="24"/>
        </w:rPr>
        <w:br/>
        <w:t>Approximately 50% of work-related deaths occur in Asia. In developing countries, fatality rates are five to six times higher than in industrialized nations. Annually, around 170,000 agricultural workers and 320,000 individuals die from exposures to various biological risks like viral, bacterial, insect, or animal-related risks.</w:t>
      </w:r>
    </w:p>
    <w:p w14:paraId="71468303" w14:textId="77777777" w:rsidR="003E0C44" w:rsidRPr="006E2427" w:rsidRDefault="003E0C44">
      <w:pPr>
        <w:keepNext/>
        <w:spacing w:before="200" w:after="80"/>
        <w:rPr>
          <w:rFonts w:ascii="Times New Roman" w:hAnsi="Times New Roman" w:cs="Times New Roman"/>
          <w:b/>
          <w:i/>
          <w:color w:val="000000" w:themeColor="text1"/>
          <w:sz w:val="24"/>
          <w:szCs w:val="24"/>
        </w:rPr>
      </w:pPr>
    </w:p>
    <w:p w14:paraId="4744B51C" w14:textId="439975BC" w:rsidR="00984EE3" w:rsidRPr="006E2427" w:rsidRDefault="00000000">
      <w:pPr>
        <w:keepNext/>
        <w:spacing w:before="200" w:after="80"/>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PHILIPPINE LABOR AND OSH STATISTICS</w:t>
      </w:r>
    </w:p>
    <w:p w14:paraId="31E4D421" w14:textId="77777777" w:rsidR="00984EE3" w:rsidRPr="006E2427" w:rsidRDefault="00000000">
      <w:pPr>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Taken in 2007-2008 and released in 2010, the latest Bureau of Labor and Employment Statistics (BLES) Integrated Survey (BITS):</w:t>
      </w:r>
      <w:r w:rsidRPr="006E2427">
        <w:rPr>
          <w:rFonts w:ascii="Times New Roman" w:hAnsi="Times New Roman" w:cs="Times New Roman"/>
          <w:color w:val="000000" w:themeColor="text1"/>
          <w:sz w:val="24"/>
          <w:szCs w:val="24"/>
        </w:rPr>
        <w:br/>
      </w:r>
      <w:r w:rsidRPr="006E2427">
        <w:rPr>
          <w:rFonts w:ascii="Times New Roman" w:hAnsi="Times New Roman" w:cs="Times New Roman"/>
          <w:color w:val="000000" w:themeColor="text1"/>
          <w:sz w:val="24"/>
          <w:szCs w:val="24"/>
        </w:rPr>
        <w:br/>
        <w:t>Contributing factors to occupational accidents and injuries include machines, equipment, hand tools, materials, structures, buildings, and chemical substances.</w:t>
      </w:r>
      <w:r w:rsidRPr="006E2427">
        <w:rPr>
          <w:rFonts w:ascii="Times New Roman" w:hAnsi="Times New Roman" w:cs="Times New Roman"/>
          <w:color w:val="000000" w:themeColor="text1"/>
          <w:sz w:val="24"/>
          <w:szCs w:val="24"/>
        </w:rPr>
        <w:br/>
      </w:r>
      <w:r w:rsidRPr="006E2427">
        <w:rPr>
          <w:rFonts w:ascii="Times New Roman" w:hAnsi="Times New Roman" w:cs="Times New Roman"/>
          <w:color w:val="000000" w:themeColor="text1"/>
          <w:sz w:val="24"/>
          <w:szCs w:val="24"/>
        </w:rPr>
        <w:br/>
        <w:t>Injuries incurring days away from work recorded a Frequency Rate (FR) of 2.79 in 2007. This was 1.28 percentage points lower than the FR of 4.07 in 2003. Expectedly, this was coherent to the 12.4% reduction in the number of cases of occupational injuries to 20,386 in 2007 from 23,265 in 2003.</w:t>
      </w:r>
      <w:r w:rsidRPr="006E2427">
        <w:rPr>
          <w:rFonts w:ascii="Times New Roman" w:hAnsi="Times New Roman" w:cs="Times New Roman"/>
          <w:color w:val="000000" w:themeColor="text1"/>
          <w:sz w:val="24"/>
          <w:szCs w:val="24"/>
        </w:rPr>
        <w:br/>
      </w:r>
      <w:r w:rsidRPr="006E2427">
        <w:rPr>
          <w:rFonts w:ascii="Times New Roman" w:hAnsi="Times New Roman" w:cs="Times New Roman"/>
          <w:color w:val="000000" w:themeColor="text1"/>
          <w:sz w:val="24"/>
          <w:szCs w:val="24"/>
        </w:rPr>
        <w:br/>
        <w:t>Cases of occupational diseases in non-agricultural establishments employing 20 or more workers decreased by 14.8% from 55,413 in 2003 to 47,235 in 2007. Incidences of occupational diseases decreased in almost all types of diseases in 2007 except in bronchial asthma (+29.9%), occupational dermatitis (+18.6%) and essential hypertension (+7.8).</w:t>
      </w:r>
    </w:p>
    <w:p w14:paraId="32AAD17A" w14:textId="77777777" w:rsidR="00984EE3" w:rsidRPr="006E2427" w:rsidRDefault="00000000">
      <w:pPr>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 xml:space="preserve">Work-related musculoskeletal diseases were most prevalent in non-agricultural establishments employing 20 or more workers both in 2003 and 2007. This type of disease accounted for 37.2% </w:t>
      </w:r>
      <w:r w:rsidRPr="006E2427">
        <w:rPr>
          <w:rFonts w:ascii="Times New Roman" w:hAnsi="Times New Roman" w:cs="Times New Roman"/>
          <w:color w:val="000000" w:themeColor="text1"/>
          <w:sz w:val="24"/>
          <w:szCs w:val="24"/>
        </w:rPr>
        <w:lastRenderedPageBreak/>
        <w:t>(2003) and 28.1% (2007) of the totals. Other types which made up more than 10% of the total diseases in 2007 were bronchial asthma (18.5%), infections (13.8%), essential hypertension (13.0%) and occupational dermatitis (12.6%).</w:t>
      </w:r>
      <w:r w:rsidRPr="006E2427">
        <w:rPr>
          <w:rFonts w:ascii="Times New Roman" w:hAnsi="Times New Roman" w:cs="Times New Roman"/>
          <w:color w:val="000000" w:themeColor="text1"/>
          <w:sz w:val="24"/>
          <w:szCs w:val="24"/>
        </w:rPr>
        <w:br/>
      </w:r>
      <w:r w:rsidRPr="006E2427">
        <w:rPr>
          <w:rFonts w:ascii="Times New Roman" w:hAnsi="Times New Roman" w:cs="Times New Roman"/>
          <w:color w:val="000000" w:themeColor="text1"/>
          <w:sz w:val="24"/>
          <w:szCs w:val="24"/>
        </w:rPr>
        <w:br/>
        <w:t>According to the Bureau of Labor and Employment Statistics (BLES) Integrated Survey (2003/2004 and 2007/2008), the Occupational Safety and Health (OSH) situation in the Philippines is not fully reflected because the data covers only a small number of establishments and many work accidents and illnesses are not reported. OSH education and programs are also limited, especially for informal workers who often lack awareness, training, and resources to protect themselves. Weak law enforcement, lack of strict penalties, shortage of trained OSH personnel, and low priority given to OSH by both employers and workers further contribute to ongoing workplace safety and health problems in the country.</w:t>
      </w:r>
    </w:p>
    <w:p w14:paraId="28F5BE72" w14:textId="77777777" w:rsidR="003E0C44" w:rsidRPr="006E2427" w:rsidRDefault="003E0C44">
      <w:pPr>
        <w:keepNext/>
        <w:spacing w:before="200" w:after="80"/>
        <w:rPr>
          <w:rFonts w:ascii="Times New Roman" w:hAnsi="Times New Roman" w:cs="Times New Roman"/>
          <w:b/>
          <w:i/>
          <w:color w:val="000000" w:themeColor="text1"/>
          <w:sz w:val="24"/>
          <w:szCs w:val="24"/>
        </w:rPr>
      </w:pPr>
    </w:p>
    <w:p w14:paraId="669A57EB" w14:textId="391D0280" w:rsidR="00984EE3" w:rsidRPr="006E2427" w:rsidRDefault="00000000">
      <w:pPr>
        <w:keepNext/>
        <w:spacing w:before="200" w:after="80"/>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 xml:space="preserve">Cases of Occupational Injuries </w:t>
      </w:r>
      <w:proofErr w:type="gramStart"/>
      <w:r w:rsidRPr="006E2427">
        <w:rPr>
          <w:rFonts w:ascii="Times New Roman" w:hAnsi="Times New Roman" w:cs="Times New Roman"/>
          <w:b/>
          <w:color w:val="000000" w:themeColor="text1"/>
          <w:sz w:val="24"/>
          <w:szCs w:val="24"/>
        </w:rPr>
        <w:t>With</w:t>
      </w:r>
      <w:proofErr w:type="gramEnd"/>
      <w:r w:rsidRPr="006E2427">
        <w:rPr>
          <w:rFonts w:ascii="Times New Roman" w:hAnsi="Times New Roman" w:cs="Times New Roman"/>
          <w:b/>
          <w:color w:val="000000" w:themeColor="text1"/>
          <w:sz w:val="24"/>
          <w:szCs w:val="24"/>
        </w:rPr>
        <w:t xml:space="preserve"> and Without Workdays Lost by Major Industry Group, Philippines: 2003 and 2007</w:t>
      </w:r>
    </w:p>
    <w:tbl>
      <w:tblPr>
        <w:tblW w:w="0" w:type="auto"/>
        <w:jc w:val="center"/>
        <w:tblLayout w:type="fixed"/>
        <w:tblLook w:val="04A0" w:firstRow="1" w:lastRow="0" w:firstColumn="1" w:lastColumn="0" w:noHBand="0" w:noVBand="1"/>
      </w:tblPr>
      <w:tblGrid>
        <w:gridCol w:w="3135"/>
        <w:gridCol w:w="1134"/>
        <w:gridCol w:w="1059"/>
        <w:gridCol w:w="1067"/>
        <w:gridCol w:w="1134"/>
        <w:gridCol w:w="1134"/>
        <w:gridCol w:w="1134"/>
      </w:tblGrid>
      <w:tr w:rsidR="00984EE3" w:rsidRPr="006E2427" w14:paraId="18426AED" w14:textId="77777777" w:rsidTr="00391668">
        <w:trPr>
          <w:jc w:val="center"/>
        </w:trPr>
        <w:tc>
          <w:tcPr>
            <w:tcW w:w="3135" w:type="dxa"/>
          </w:tcPr>
          <w:p w14:paraId="4A2BCF34" w14:textId="77777777" w:rsidR="00984EE3" w:rsidRPr="006E2427" w:rsidRDefault="00000000">
            <w:pPr>
              <w:jc w:val="center"/>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Major Industry Group</w:t>
            </w:r>
          </w:p>
        </w:tc>
        <w:tc>
          <w:tcPr>
            <w:tcW w:w="1134" w:type="dxa"/>
          </w:tcPr>
          <w:p w14:paraId="0DB8C8E6" w14:textId="77777777" w:rsidR="00984EE3" w:rsidRPr="006E2427" w:rsidRDefault="00000000">
            <w:pPr>
              <w:jc w:val="center"/>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2003 Total</w:t>
            </w:r>
          </w:p>
        </w:tc>
        <w:tc>
          <w:tcPr>
            <w:tcW w:w="1059" w:type="dxa"/>
          </w:tcPr>
          <w:p w14:paraId="04FFCC37" w14:textId="77777777" w:rsidR="00984EE3" w:rsidRPr="006E2427" w:rsidRDefault="00000000">
            <w:pPr>
              <w:jc w:val="center"/>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2003 With Lost</w:t>
            </w:r>
          </w:p>
        </w:tc>
        <w:tc>
          <w:tcPr>
            <w:tcW w:w="1067" w:type="dxa"/>
          </w:tcPr>
          <w:p w14:paraId="644A1758" w14:textId="77777777" w:rsidR="00984EE3" w:rsidRPr="006E2427" w:rsidRDefault="00000000">
            <w:pPr>
              <w:jc w:val="center"/>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2003 Without Lost</w:t>
            </w:r>
          </w:p>
        </w:tc>
        <w:tc>
          <w:tcPr>
            <w:tcW w:w="1134" w:type="dxa"/>
          </w:tcPr>
          <w:p w14:paraId="096E821C" w14:textId="77777777" w:rsidR="00984EE3" w:rsidRPr="006E2427" w:rsidRDefault="00000000">
            <w:pPr>
              <w:jc w:val="center"/>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2007 Total</w:t>
            </w:r>
          </w:p>
        </w:tc>
        <w:tc>
          <w:tcPr>
            <w:tcW w:w="1134" w:type="dxa"/>
          </w:tcPr>
          <w:p w14:paraId="6F82184D" w14:textId="77777777" w:rsidR="00984EE3" w:rsidRPr="006E2427" w:rsidRDefault="00000000">
            <w:pPr>
              <w:jc w:val="center"/>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2007 With Lost</w:t>
            </w:r>
          </w:p>
        </w:tc>
        <w:tc>
          <w:tcPr>
            <w:tcW w:w="1134" w:type="dxa"/>
          </w:tcPr>
          <w:p w14:paraId="6CEB41A6" w14:textId="77777777" w:rsidR="00984EE3" w:rsidRPr="006E2427" w:rsidRDefault="00000000">
            <w:pPr>
              <w:jc w:val="center"/>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2007 Without Lost</w:t>
            </w:r>
          </w:p>
        </w:tc>
      </w:tr>
      <w:tr w:rsidR="00984EE3" w:rsidRPr="006E2427" w14:paraId="5B04723E" w14:textId="77777777" w:rsidTr="00391668">
        <w:trPr>
          <w:jc w:val="center"/>
        </w:trPr>
        <w:tc>
          <w:tcPr>
            <w:tcW w:w="3135" w:type="dxa"/>
          </w:tcPr>
          <w:p w14:paraId="470CD60C" w14:textId="77777777" w:rsidR="00984EE3" w:rsidRPr="006E2427" w:rsidRDefault="00000000">
            <w:pPr>
              <w:spacing w:before="20" w:after="20"/>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Total</w:t>
            </w:r>
          </w:p>
        </w:tc>
        <w:tc>
          <w:tcPr>
            <w:tcW w:w="1134" w:type="dxa"/>
          </w:tcPr>
          <w:p w14:paraId="527C5CEE"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58,720</w:t>
            </w:r>
          </w:p>
        </w:tc>
        <w:tc>
          <w:tcPr>
            <w:tcW w:w="1059" w:type="dxa"/>
          </w:tcPr>
          <w:p w14:paraId="0805F6BF"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23,265</w:t>
            </w:r>
          </w:p>
        </w:tc>
        <w:tc>
          <w:tcPr>
            <w:tcW w:w="1067" w:type="dxa"/>
          </w:tcPr>
          <w:p w14:paraId="67D7C085"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35,454</w:t>
            </w:r>
          </w:p>
        </w:tc>
        <w:tc>
          <w:tcPr>
            <w:tcW w:w="1134" w:type="dxa"/>
          </w:tcPr>
          <w:p w14:paraId="5B01A4ED"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46,570</w:t>
            </w:r>
          </w:p>
        </w:tc>
        <w:tc>
          <w:tcPr>
            <w:tcW w:w="1134" w:type="dxa"/>
          </w:tcPr>
          <w:p w14:paraId="6921068A"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20,386</w:t>
            </w:r>
          </w:p>
        </w:tc>
        <w:tc>
          <w:tcPr>
            <w:tcW w:w="1134" w:type="dxa"/>
          </w:tcPr>
          <w:p w14:paraId="3304D24C"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26,184</w:t>
            </w:r>
          </w:p>
        </w:tc>
      </w:tr>
      <w:tr w:rsidR="00984EE3" w:rsidRPr="006E2427" w14:paraId="1375F2F7" w14:textId="77777777" w:rsidTr="00391668">
        <w:trPr>
          <w:jc w:val="center"/>
        </w:trPr>
        <w:tc>
          <w:tcPr>
            <w:tcW w:w="3135" w:type="dxa"/>
            <w:shd w:val="clear" w:color="auto" w:fill="F3F4F6"/>
          </w:tcPr>
          <w:p w14:paraId="549F9D0C" w14:textId="77777777" w:rsidR="00984EE3" w:rsidRPr="006E2427" w:rsidRDefault="00000000">
            <w:pPr>
              <w:spacing w:before="20" w:after="20"/>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Mining and Quarrying</w:t>
            </w:r>
          </w:p>
        </w:tc>
        <w:tc>
          <w:tcPr>
            <w:tcW w:w="1134" w:type="dxa"/>
            <w:shd w:val="clear" w:color="auto" w:fill="F3F4F6"/>
          </w:tcPr>
          <w:p w14:paraId="0A58BE1D"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156</w:t>
            </w:r>
          </w:p>
        </w:tc>
        <w:tc>
          <w:tcPr>
            <w:tcW w:w="1059" w:type="dxa"/>
            <w:shd w:val="clear" w:color="auto" w:fill="F3F4F6"/>
          </w:tcPr>
          <w:p w14:paraId="09820F78"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60</w:t>
            </w:r>
          </w:p>
        </w:tc>
        <w:tc>
          <w:tcPr>
            <w:tcW w:w="1067" w:type="dxa"/>
            <w:shd w:val="clear" w:color="auto" w:fill="F3F4F6"/>
          </w:tcPr>
          <w:p w14:paraId="5D981328"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96</w:t>
            </w:r>
          </w:p>
        </w:tc>
        <w:tc>
          <w:tcPr>
            <w:tcW w:w="1134" w:type="dxa"/>
            <w:shd w:val="clear" w:color="auto" w:fill="F3F4F6"/>
          </w:tcPr>
          <w:p w14:paraId="2E23D7F3"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181</w:t>
            </w:r>
          </w:p>
        </w:tc>
        <w:tc>
          <w:tcPr>
            <w:tcW w:w="1134" w:type="dxa"/>
            <w:shd w:val="clear" w:color="auto" w:fill="F3F4F6"/>
          </w:tcPr>
          <w:p w14:paraId="302046C4"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95</w:t>
            </w:r>
          </w:p>
        </w:tc>
        <w:tc>
          <w:tcPr>
            <w:tcW w:w="1134" w:type="dxa"/>
            <w:shd w:val="clear" w:color="auto" w:fill="F3F4F6"/>
          </w:tcPr>
          <w:p w14:paraId="61479D99"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85</w:t>
            </w:r>
          </w:p>
        </w:tc>
      </w:tr>
      <w:tr w:rsidR="00984EE3" w:rsidRPr="006E2427" w14:paraId="7BD3C924" w14:textId="77777777" w:rsidTr="00391668">
        <w:trPr>
          <w:jc w:val="center"/>
        </w:trPr>
        <w:tc>
          <w:tcPr>
            <w:tcW w:w="3135" w:type="dxa"/>
          </w:tcPr>
          <w:p w14:paraId="2EF6B54A" w14:textId="77777777" w:rsidR="00984EE3" w:rsidRPr="006E2427" w:rsidRDefault="00000000">
            <w:pPr>
              <w:spacing w:before="20" w:after="20"/>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Manufacturing</w:t>
            </w:r>
          </w:p>
        </w:tc>
        <w:tc>
          <w:tcPr>
            <w:tcW w:w="1134" w:type="dxa"/>
          </w:tcPr>
          <w:p w14:paraId="49959D44"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40,498</w:t>
            </w:r>
          </w:p>
        </w:tc>
        <w:tc>
          <w:tcPr>
            <w:tcW w:w="1059" w:type="dxa"/>
          </w:tcPr>
          <w:p w14:paraId="0BBF1B30"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14,403</w:t>
            </w:r>
          </w:p>
        </w:tc>
        <w:tc>
          <w:tcPr>
            <w:tcW w:w="1067" w:type="dxa"/>
          </w:tcPr>
          <w:p w14:paraId="3D82BFFA"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26,094</w:t>
            </w:r>
          </w:p>
        </w:tc>
        <w:tc>
          <w:tcPr>
            <w:tcW w:w="1134" w:type="dxa"/>
          </w:tcPr>
          <w:p w14:paraId="5C0BB4DB"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30,790</w:t>
            </w:r>
          </w:p>
        </w:tc>
        <w:tc>
          <w:tcPr>
            <w:tcW w:w="1134" w:type="dxa"/>
          </w:tcPr>
          <w:p w14:paraId="482629FF"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12,427</w:t>
            </w:r>
          </w:p>
        </w:tc>
        <w:tc>
          <w:tcPr>
            <w:tcW w:w="1134" w:type="dxa"/>
          </w:tcPr>
          <w:p w14:paraId="7B25FFD0"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18,364</w:t>
            </w:r>
          </w:p>
        </w:tc>
      </w:tr>
      <w:tr w:rsidR="00984EE3" w:rsidRPr="006E2427" w14:paraId="7AB69B27" w14:textId="77777777" w:rsidTr="00391668">
        <w:trPr>
          <w:jc w:val="center"/>
        </w:trPr>
        <w:tc>
          <w:tcPr>
            <w:tcW w:w="3135" w:type="dxa"/>
            <w:shd w:val="clear" w:color="auto" w:fill="F3F4F6"/>
          </w:tcPr>
          <w:p w14:paraId="06D87094" w14:textId="77777777" w:rsidR="00984EE3" w:rsidRPr="006E2427" w:rsidRDefault="00000000">
            <w:pPr>
              <w:spacing w:before="20" w:after="20"/>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Electricity, Gas and Water Supply</w:t>
            </w:r>
          </w:p>
        </w:tc>
        <w:tc>
          <w:tcPr>
            <w:tcW w:w="1134" w:type="dxa"/>
            <w:shd w:val="clear" w:color="auto" w:fill="F3F4F6"/>
          </w:tcPr>
          <w:p w14:paraId="3863930A"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1,329</w:t>
            </w:r>
          </w:p>
        </w:tc>
        <w:tc>
          <w:tcPr>
            <w:tcW w:w="1059" w:type="dxa"/>
            <w:shd w:val="clear" w:color="auto" w:fill="F3F4F6"/>
          </w:tcPr>
          <w:p w14:paraId="5F0CC617"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805</w:t>
            </w:r>
          </w:p>
        </w:tc>
        <w:tc>
          <w:tcPr>
            <w:tcW w:w="1067" w:type="dxa"/>
            <w:shd w:val="clear" w:color="auto" w:fill="F3F4F6"/>
          </w:tcPr>
          <w:p w14:paraId="081849EF"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524</w:t>
            </w:r>
          </w:p>
        </w:tc>
        <w:tc>
          <w:tcPr>
            <w:tcW w:w="1134" w:type="dxa"/>
            <w:shd w:val="clear" w:color="auto" w:fill="F3F4F6"/>
          </w:tcPr>
          <w:p w14:paraId="26D906AE"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1,078</w:t>
            </w:r>
          </w:p>
        </w:tc>
        <w:tc>
          <w:tcPr>
            <w:tcW w:w="1134" w:type="dxa"/>
            <w:shd w:val="clear" w:color="auto" w:fill="F3F4F6"/>
          </w:tcPr>
          <w:p w14:paraId="6EE2052B"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731</w:t>
            </w:r>
          </w:p>
        </w:tc>
        <w:tc>
          <w:tcPr>
            <w:tcW w:w="1134" w:type="dxa"/>
            <w:shd w:val="clear" w:color="auto" w:fill="F3F4F6"/>
          </w:tcPr>
          <w:p w14:paraId="6FED3928"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347</w:t>
            </w:r>
          </w:p>
        </w:tc>
      </w:tr>
      <w:tr w:rsidR="00984EE3" w:rsidRPr="006E2427" w14:paraId="12126D0D" w14:textId="77777777" w:rsidTr="00391668">
        <w:trPr>
          <w:jc w:val="center"/>
        </w:trPr>
        <w:tc>
          <w:tcPr>
            <w:tcW w:w="3135" w:type="dxa"/>
          </w:tcPr>
          <w:p w14:paraId="4A6B2F76" w14:textId="77777777" w:rsidR="00984EE3" w:rsidRPr="006E2427" w:rsidRDefault="00000000">
            <w:pPr>
              <w:spacing w:before="20" w:after="20"/>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Construction</w:t>
            </w:r>
          </w:p>
        </w:tc>
        <w:tc>
          <w:tcPr>
            <w:tcW w:w="1134" w:type="dxa"/>
          </w:tcPr>
          <w:p w14:paraId="0D08AB4B"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1,768</w:t>
            </w:r>
          </w:p>
        </w:tc>
        <w:tc>
          <w:tcPr>
            <w:tcW w:w="1059" w:type="dxa"/>
          </w:tcPr>
          <w:p w14:paraId="20A02587"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1,114</w:t>
            </w:r>
          </w:p>
        </w:tc>
        <w:tc>
          <w:tcPr>
            <w:tcW w:w="1067" w:type="dxa"/>
          </w:tcPr>
          <w:p w14:paraId="3ACC783F"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654</w:t>
            </w:r>
          </w:p>
        </w:tc>
        <w:tc>
          <w:tcPr>
            <w:tcW w:w="1134" w:type="dxa"/>
          </w:tcPr>
          <w:p w14:paraId="512DD84F"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2,076</w:t>
            </w:r>
          </w:p>
        </w:tc>
        <w:tc>
          <w:tcPr>
            <w:tcW w:w="1134" w:type="dxa"/>
          </w:tcPr>
          <w:p w14:paraId="66D03D37"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837</w:t>
            </w:r>
          </w:p>
        </w:tc>
        <w:tc>
          <w:tcPr>
            <w:tcW w:w="1134" w:type="dxa"/>
          </w:tcPr>
          <w:p w14:paraId="5DC9641C"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1,238</w:t>
            </w:r>
          </w:p>
        </w:tc>
      </w:tr>
      <w:tr w:rsidR="00984EE3" w:rsidRPr="006E2427" w14:paraId="19CADF23" w14:textId="77777777" w:rsidTr="00391668">
        <w:trPr>
          <w:jc w:val="center"/>
        </w:trPr>
        <w:tc>
          <w:tcPr>
            <w:tcW w:w="3135" w:type="dxa"/>
            <w:shd w:val="clear" w:color="auto" w:fill="F3F4F6"/>
          </w:tcPr>
          <w:p w14:paraId="67EE4E42" w14:textId="77777777" w:rsidR="00984EE3" w:rsidRPr="006E2427" w:rsidRDefault="00000000">
            <w:pPr>
              <w:spacing w:before="20" w:after="20"/>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Wholesale and Retail Trade; Repair of Motor Vehicles...</w:t>
            </w:r>
          </w:p>
        </w:tc>
        <w:tc>
          <w:tcPr>
            <w:tcW w:w="1134" w:type="dxa"/>
            <w:shd w:val="clear" w:color="auto" w:fill="F3F4F6"/>
          </w:tcPr>
          <w:p w14:paraId="3C3D1F35"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6,637</w:t>
            </w:r>
          </w:p>
        </w:tc>
        <w:tc>
          <w:tcPr>
            <w:tcW w:w="1059" w:type="dxa"/>
            <w:shd w:val="clear" w:color="auto" w:fill="F3F4F6"/>
          </w:tcPr>
          <w:p w14:paraId="0FE2F6F1"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2,690</w:t>
            </w:r>
          </w:p>
        </w:tc>
        <w:tc>
          <w:tcPr>
            <w:tcW w:w="1067" w:type="dxa"/>
            <w:shd w:val="clear" w:color="auto" w:fill="F3F4F6"/>
          </w:tcPr>
          <w:p w14:paraId="1128485B"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3,948</w:t>
            </w:r>
          </w:p>
        </w:tc>
        <w:tc>
          <w:tcPr>
            <w:tcW w:w="1134" w:type="dxa"/>
            <w:shd w:val="clear" w:color="auto" w:fill="F3F4F6"/>
          </w:tcPr>
          <w:p w14:paraId="516C8580"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3,785</w:t>
            </w:r>
          </w:p>
        </w:tc>
        <w:tc>
          <w:tcPr>
            <w:tcW w:w="1134" w:type="dxa"/>
            <w:shd w:val="clear" w:color="auto" w:fill="F3F4F6"/>
          </w:tcPr>
          <w:p w14:paraId="4B4A736A"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1,658</w:t>
            </w:r>
          </w:p>
        </w:tc>
        <w:tc>
          <w:tcPr>
            <w:tcW w:w="1134" w:type="dxa"/>
            <w:shd w:val="clear" w:color="auto" w:fill="F3F4F6"/>
          </w:tcPr>
          <w:p w14:paraId="023A8347"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2,127</w:t>
            </w:r>
          </w:p>
        </w:tc>
      </w:tr>
      <w:tr w:rsidR="00984EE3" w:rsidRPr="006E2427" w14:paraId="65CB2053" w14:textId="77777777" w:rsidTr="00391668">
        <w:trPr>
          <w:jc w:val="center"/>
        </w:trPr>
        <w:tc>
          <w:tcPr>
            <w:tcW w:w="3135" w:type="dxa"/>
          </w:tcPr>
          <w:p w14:paraId="16DEF8DE" w14:textId="77777777" w:rsidR="00984EE3" w:rsidRPr="006E2427" w:rsidRDefault="00000000">
            <w:pPr>
              <w:spacing w:before="20" w:after="20"/>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Hotels and Restaurants</w:t>
            </w:r>
          </w:p>
        </w:tc>
        <w:tc>
          <w:tcPr>
            <w:tcW w:w="1134" w:type="dxa"/>
          </w:tcPr>
          <w:p w14:paraId="02FE1B25"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2,757</w:t>
            </w:r>
          </w:p>
        </w:tc>
        <w:tc>
          <w:tcPr>
            <w:tcW w:w="1059" w:type="dxa"/>
          </w:tcPr>
          <w:p w14:paraId="6963FA49"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1,195</w:t>
            </w:r>
          </w:p>
        </w:tc>
        <w:tc>
          <w:tcPr>
            <w:tcW w:w="1067" w:type="dxa"/>
          </w:tcPr>
          <w:p w14:paraId="3B85A3EE"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1,562</w:t>
            </w:r>
          </w:p>
        </w:tc>
        <w:tc>
          <w:tcPr>
            <w:tcW w:w="1134" w:type="dxa"/>
          </w:tcPr>
          <w:p w14:paraId="10EEB10A"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3,458</w:t>
            </w:r>
          </w:p>
        </w:tc>
        <w:tc>
          <w:tcPr>
            <w:tcW w:w="1134" w:type="dxa"/>
          </w:tcPr>
          <w:p w14:paraId="300A7C5D"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1,877</w:t>
            </w:r>
          </w:p>
        </w:tc>
        <w:tc>
          <w:tcPr>
            <w:tcW w:w="1134" w:type="dxa"/>
          </w:tcPr>
          <w:p w14:paraId="1D51CA50"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1,581</w:t>
            </w:r>
          </w:p>
        </w:tc>
      </w:tr>
      <w:tr w:rsidR="00984EE3" w:rsidRPr="006E2427" w14:paraId="75250803" w14:textId="77777777" w:rsidTr="00391668">
        <w:trPr>
          <w:jc w:val="center"/>
        </w:trPr>
        <w:tc>
          <w:tcPr>
            <w:tcW w:w="3135" w:type="dxa"/>
            <w:shd w:val="clear" w:color="auto" w:fill="F3F4F6"/>
          </w:tcPr>
          <w:p w14:paraId="3CA3F202" w14:textId="77777777" w:rsidR="00984EE3" w:rsidRPr="006E2427" w:rsidRDefault="00000000">
            <w:pPr>
              <w:spacing w:before="20" w:after="20"/>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Transport, Storage and Communications</w:t>
            </w:r>
          </w:p>
        </w:tc>
        <w:tc>
          <w:tcPr>
            <w:tcW w:w="1134" w:type="dxa"/>
            <w:shd w:val="clear" w:color="auto" w:fill="F3F4F6"/>
          </w:tcPr>
          <w:p w14:paraId="7888191B"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2,335</w:t>
            </w:r>
          </w:p>
        </w:tc>
        <w:tc>
          <w:tcPr>
            <w:tcW w:w="1059" w:type="dxa"/>
            <w:shd w:val="clear" w:color="auto" w:fill="F3F4F6"/>
          </w:tcPr>
          <w:p w14:paraId="18380D9B"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1,558</w:t>
            </w:r>
          </w:p>
        </w:tc>
        <w:tc>
          <w:tcPr>
            <w:tcW w:w="1067" w:type="dxa"/>
            <w:shd w:val="clear" w:color="auto" w:fill="F3F4F6"/>
          </w:tcPr>
          <w:p w14:paraId="396EC342"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776</w:t>
            </w:r>
          </w:p>
        </w:tc>
        <w:tc>
          <w:tcPr>
            <w:tcW w:w="1134" w:type="dxa"/>
            <w:shd w:val="clear" w:color="auto" w:fill="F3F4F6"/>
          </w:tcPr>
          <w:p w14:paraId="69458D8C"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2,220</w:t>
            </w:r>
          </w:p>
        </w:tc>
        <w:tc>
          <w:tcPr>
            <w:tcW w:w="1134" w:type="dxa"/>
            <w:shd w:val="clear" w:color="auto" w:fill="F3F4F6"/>
          </w:tcPr>
          <w:p w14:paraId="2C541425"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1,701</w:t>
            </w:r>
          </w:p>
        </w:tc>
        <w:tc>
          <w:tcPr>
            <w:tcW w:w="1134" w:type="dxa"/>
            <w:shd w:val="clear" w:color="auto" w:fill="F3F4F6"/>
          </w:tcPr>
          <w:p w14:paraId="30959294"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519</w:t>
            </w:r>
          </w:p>
        </w:tc>
      </w:tr>
      <w:tr w:rsidR="00984EE3" w:rsidRPr="006E2427" w14:paraId="0CCF3918" w14:textId="77777777" w:rsidTr="00391668">
        <w:trPr>
          <w:jc w:val="center"/>
        </w:trPr>
        <w:tc>
          <w:tcPr>
            <w:tcW w:w="3135" w:type="dxa"/>
          </w:tcPr>
          <w:p w14:paraId="28B14989" w14:textId="77777777" w:rsidR="00984EE3" w:rsidRPr="006E2427" w:rsidRDefault="00000000">
            <w:pPr>
              <w:spacing w:before="20" w:after="20"/>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Financial Intermediation</w:t>
            </w:r>
          </w:p>
        </w:tc>
        <w:tc>
          <w:tcPr>
            <w:tcW w:w="1134" w:type="dxa"/>
          </w:tcPr>
          <w:p w14:paraId="345EDCB8"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109</w:t>
            </w:r>
          </w:p>
        </w:tc>
        <w:tc>
          <w:tcPr>
            <w:tcW w:w="1059" w:type="dxa"/>
          </w:tcPr>
          <w:p w14:paraId="3646516A"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100</w:t>
            </w:r>
          </w:p>
        </w:tc>
        <w:tc>
          <w:tcPr>
            <w:tcW w:w="1067" w:type="dxa"/>
          </w:tcPr>
          <w:p w14:paraId="42AE2FCA"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9</w:t>
            </w:r>
          </w:p>
        </w:tc>
        <w:tc>
          <w:tcPr>
            <w:tcW w:w="1134" w:type="dxa"/>
          </w:tcPr>
          <w:p w14:paraId="2F6C41E2"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131</w:t>
            </w:r>
          </w:p>
        </w:tc>
        <w:tc>
          <w:tcPr>
            <w:tcW w:w="1134" w:type="dxa"/>
          </w:tcPr>
          <w:p w14:paraId="67284B59"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48</w:t>
            </w:r>
          </w:p>
        </w:tc>
        <w:tc>
          <w:tcPr>
            <w:tcW w:w="1134" w:type="dxa"/>
          </w:tcPr>
          <w:p w14:paraId="0FDF83C8"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84</w:t>
            </w:r>
          </w:p>
        </w:tc>
      </w:tr>
      <w:tr w:rsidR="00984EE3" w:rsidRPr="006E2427" w14:paraId="1E7C12A3" w14:textId="77777777" w:rsidTr="00391668">
        <w:trPr>
          <w:jc w:val="center"/>
        </w:trPr>
        <w:tc>
          <w:tcPr>
            <w:tcW w:w="3135" w:type="dxa"/>
            <w:shd w:val="clear" w:color="auto" w:fill="F3F4F6"/>
          </w:tcPr>
          <w:p w14:paraId="04CE125B" w14:textId="77777777" w:rsidR="00984EE3" w:rsidRPr="006E2427" w:rsidRDefault="00000000">
            <w:pPr>
              <w:spacing w:before="20" w:after="20"/>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Real Estate, Renting and Business Activities</w:t>
            </w:r>
          </w:p>
        </w:tc>
        <w:tc>
          <w:tcPr>
            <w:tcW w:w="1134" w:type="dxa"/>
            <w:shd w:val="clear" w:color="auto" w:fill="F3F4F6"/>
          </w:tcPr>
          <w:p w14:paraId="70A2EF38"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1,022</w:t>
            </w:r>
          </w:p>
        </w:tc>
        <w:tc>
          <w:tcPr>
            <w:tcW w:w="1059" w:type="dxa"/>
            <w:shd w:val="clear" w:color="auto" w:fill="F3F4F6"/>
          </w:tcPr>
          <w:p w14:paraId="35C02018"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566</w:t>
            </w:r>
          </w:p>
        </w:tc>
        <w:tc>
          <w:tcPr>
            <w:tcW w:w="1067" w:type="dxa"/>
            <w:shd w:val="clear" w:color="auto" w:fill="F3F4F6"/>
          </w:tcPr>
          <w:p w14:paraId="269C1029"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456</w:t>
            </w:r>
          </w:p>
        </w:tc>
        <w:tc>
          <w:tcPr>
            <w:tcW w:w="1134" w:type="dxa"/>
            <w:shd w:val="clear" w:color="auto" w:fill="F3F4F6"/>
          </w:tcPr>
          <w:p w14:paraId="4C24CDC2"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403</w:t>
            </w:r>
          </w:p>
        </w:tc>
        <w:tc>
          <w:tcPr>
            <w:tcW w:w="1134" w:type="dxa"/>
            <w:shd w:val="clear" w:color="auto" w:fill="F3F4F6"/>
          </w:tcPr>
          <w:p w14:paraId="3AF675A7"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325</w:t>
            </w:r>
          </w:p>
        </w:tc>
        <w:tc>
          <w:tcPr>
            <w:tcW w:w="1134" w:type="dxa"/>
            <w:shd w:val="clear" w:color="auto" w:fill="F3F4F6"/>
          </w:tcPr>
          <w:p w14:paraId="1C0C49E8"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77</w:t>
            </w:r>
          </w:p>
        </w:tc>
      </w:tr>
      <w:tr w:rsidR="00984EE3" w:rsidRPr="006E2427" w14:paraId="61FCD799" w14:textId="77777777" w:rsidTr="00391668">
        <w:trPr>
          <w:jc w:val="center"/>
        </w:trPr>
        <w:tc>
          <w:tcPr>
            <w:tcW w:w="3135" w:type="dxa"/>
          </w:tcPr>
          <w:p w14:paraId="18E3CA63" w14:textId="77777777" w:rsidR="00984EE3" w:rsidRPr="006E2427" w:rsidRDefault="00000000">
            <w:pPr>
              <w:spacing w:before="20" w:after="20"/>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Private Education Services</w:t>
            </w:r>
          </w:p>
        </w:tc>
        <w:tc>
          <w:tcPr>
            <w:tcW w:w="1134" w:type="dxa"/>
          </w:tcPr>
          <w:p w14:paraId="75D80344"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699</w:t>
            </w:r>
          </w:p>
        </w:tc>
        <w:tc>
          <w:tcPr>
            <w:tcW w:w="1059" w:type="dxa"/>
          </w:tcPr>
          <w:p w14:paraId="7B023698"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132</w:t>
            </w:r>
          </w:p>
        </w:tc>
        <w:tc>
          <w:tcPr>
            <w:tcW w:w="1067" w:type="dxa"/>
          </w:tcPr>
          <w:p w14:paraId="1EF55ED4"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567</w:t>
            </w:r>
          </w:p>
        </w:tc>
        <w:tc>
          <w:tcPr>
            <w:tcW w:w="1134" w:type="dxa"/>
          </w:tcPr>
          <w:p w14:paraId="4643BD5D"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1,234</w:t>
            </w:r>
          </w:p>
        </w:tc>
        <w:tc>
          <w:tcPr>
            <w:tcW w:w="1134" w:type="dxa"/>
          </w:tcPr>
          <w:p w14:paraId="2FC4642A"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436</w:t>
            </w:r>
          </w:p>
        </w:tc>
        <w:tc>
          <w:tcPr>
            <w:tcW w:w="1134" w:type="dxa"/>
          </w:tcPr>
          <w:p w14:paraId="1C436EC2"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798</w:t>
            </w:r>
          </w:p>
        </w:tc>
      </w:tr>
      <w:tr w:rsidR="00984EE3" w:rsidRPr="006E2427" w14:paraId="4E4E1447" w14:textId="77777777" w:rsidTr="00391668">
        <w:trPr>
          <w:jc w:val="center"/>
        </w:trPr>
        <w:tc>
          <w:tcPr>
            <w:tcW w:w="3135" w:type="dxa"/>
            <w:shd w:val="clear" w:color="auto" w:fill="F3F4F6"/>
          </w:tcPr>
          <w:p w14:paraId="3BE80197" w14:textId="77777777" w:rsidR="00984EE3" w:rsidRPr="006E2427" w:rsidRDefault="00000000">
            <w:pPr>
              <w:spacing w:before="20" w:after="20"/>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Health and Social Work except Public Medical...</w:t>
            </w:r>
          </w:p>
        </w:tc>
        <w:tc>
          <w:tcPr>
            <w:tcW w:w="1134" w:type="dxa"/>
            <w:shd w:val="clear" w:color="auto" w:fill="F3F4F6"/>
          </w:tcPr>
          <w:p w14:paraId="4E91E51B"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169</w:t>
            </w:r>
          </w:p>
        </w:tc>
        <w:tc>
          <w:tcPr>
            <w:tcW w:w="1059" w:type="dxa"/>
            <w:shd w:val="clear" w:color="auto" w:fill="F3F4F6"/>
          </w:tcPr>
          <w:p w14:paraId="4E0F2230"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96</w:t>
            </w:r>
          </w:p>
        </w:tc>
        <w:tc>
          <w:tcPr>
            <w:tcW w:w="1067" w:type="dxa"/>
            <w:shd w:val="clear" w:color="auto" w:fill="F3F4F6"/>
          </w:tcPr>
          <w:p w14:paraId="359F5C10"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72</w:t>
            </w:r>
          </w:p>
        </w:tc>
        <w:tc>
          <w:tcPr>
            <w:tcW w:w="1134" w:type="dxa"/>
            <w:shd w:val="clear" w:color="auto" w:fill="F3F4F6"/>
          </w:tcPr>
          <w:p w14:paraId="3D9B965F"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197</w:t>
            </w:r>
          </w:p>
        </w:tc>
        <w:tc>
          <w:tcPr>
            <w:tcW w:w="1134" w:type="dxa"/>
            <w:shd w:val="clear" w:color="auto" w:fill="F3F4F6"/>
          </w:tcPr>
          <w:p w14:paraId="14E49C12"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67</w:t>
            </w:r>
          </w:p>
        </w:tc>
        <w:tc>
          <w:tcPr>
            <w:tcW w:w="1134" w:type="dxa"/>
            <w:shd w:val="clear" w:color="auto" w:fill="F3F4F6"/>
          </w:tcPr>
          <w:p w14:paraId="2144250C"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130</w:t>
            </w:r>
          </w:p>
        </w:tc>
      </w:tr>
      <w:tr w:rsidR="00984EE3" w:rsidRPr="006E2427" w14:paraId="1EEF38C1" w14:textId="77777777" w:rsidTr="00391668">
        <w:trPr>
          <w:jc w:val="center"/>
        </w:trPr>
        <w:tc>
          <w:tcPr>
            <w:tcW w:w="3135" w:type="dxa"/>
          </w:tcPr>
          <w:p w14:paraId="246CB63F" w14:textId="77777777" w:rsidR="00984EE3" w:rsidRPr="006E2427" w:rsidRDefault="00000000">
            <w:pPr>
              <w:spacing w:before="20" w:after="20"/>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Other Community, Social and Personal Service Activities</w:t>
            </w:r>
          </w:p>
        </w:tc>
        <w:tc>
          <w:tcPr>
            <w:tcW w:w="1134" w:type="dxa"/>
          </w:tcPr>
          <w:p w14:paraId="7998492E"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1,243</w:t>
            </w:r>
          </w:p>
        </w:tc>
        <w:tc>
          <w:tcPr>
            <w:tcW w:w="1059" w:type="dxa"/>
          </w:tcPr>
          <w:p w14:paraId="623C4FB0"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546</w:t>
            </w:r>
          </w:p>
        </w:tc>
        <w:tc>
          <w:tcPr>
            <w:tcW w:w="1067" w:type="dxa"/>
          </w:tcPr>
          <w:p w14:paraId="3EC9F505"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697</w:t>
            </w:r>
          </w:p>
        </w:tc>
        <w:tc>
          <w:tcPr>
            <w:tcW w:w="1134" w:type="dxa"/>
          </w:tcPr>
          <w:p w14:paraId="64C991BD"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1,018</w:t>
            </w:r>
          </w:p>
        </w:tc>
        <w:tc>
          <w:tcPr>
            <w:tcW w:w="1134" w:type="dxa"/>
          </w:tcPr>
          <w:p w14:paraId="23E8E018"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185</w:t>
            </w:r>
          </w:p>
        </w:tc>
        <w:tc>
          <w:tcPr>
            <w:tcW w:w="1134" w:type="dxa"/>
          </w:tcPr>
          <w:p w14:paraId="37E9C9CB" w14:textId="77777777" w:rsidR="00984EE3" w:rsidRPr="006E2427" w:rsidRDefault="00000000">
            <w:pPr>
              <w:spacing w:before="20" w:after="20"/>
              <w:jc w:val="righ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833</w:t>
            </w:r>
          </w:p>
        </w:tc>
      </w:tr>
    </w:tbl>
    <w:p w14:paraId="5A610CF1" w14:textId="77777777" w:rsidR="00984EE3" w:rsidRPr="006E2427" w:rsidRDefault="00000000">
      <w:pPr>
        <w:spacing w:before="60"/>
        <w:rPr>
          <w:rFonts w:ascii="Times New Roman" w:hAnsi="Times New Roman" w:cs="Times New Roman"/>
          <w:color w:val="000000" w:themeColor="text1"/>
          <w:sz w:val="24"/>
          <w:szCs w:val="24"/>
        </w:rPr>
      </w:pPr>
      <w:r w:rsidRPr="006E2427">
        <w:rPr>
          <w:rFonts w:ascii="Times New Roman" w:hAnsi="Times New Roman" w:cs="Times New Roman"/>
          <w:i/>
          <w:color w:val="000000" w:themeColor="text1"/>
          <w:sz w:val="24"/>
          <w:szCs w:val="24"/>
        </w:rPr>
        <w:t>Note: Details may not add up to totals due to rounding of figures.</w:t>
      </w:r>
      <w:r w:rsidRPr="006E2427">
        <w:rPr>
          <w:rFonts w:ascii="Times New Roman" w:hAnsi="Times New Roman" w:cs="Times New Roman"/>
          <w:i/>
          <w:color w:val="000000" w:themeColor="text1"/>
          <w:sz w:val="24"/>
          <w:szCs w:val="24"/>
        </w:rPr>
        <w:br/>
        <w:t>Sources of data: Bureau of Labor and Employment Statistics, BLES Integrated Survey (2003/2004 and 2007/2008).</w:t>
      </w:r>
    </w:p>
    <w:p w14:paraId="3ADFDBDE" w14:textId="77777777" w:rsidR="003E0C44" w:rsidRPr="006E2427" w:rsidRDefault="003E0C44">
      <w:pPr>
        <w:keepNext/>
        <w:spacing w:before="200" w:after="80"/>
        <w:rPr>
          <w:rFonts w:ascii="Times New Roman" w:hAnsi="Times New Roman" w:cs="Times New Roman"/>
          <w:b/>
          <w:i/>
          <w:color w:val="000000" w:themeColor="text1"/>
          <w:sz w:val="24"/>
          <w:szCs w:val="24"/>
        </w:rPr>
      </w:pPr>
    </w:p>
    <w:p w14:paraId="53CE5045" w14:textId="7697DC00" w:rsidR="00984EE3" w:rsidRPr="006E2427" w:rsidRDefault="00000000">
      <w:pPr>
        <w:keepNext/>
        <w:spacing w:before="200" w:after="80"/>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DEFINITION OF TERMS</w:t>
      </w:r>
    </w:p>
    <w:p w14:paraId="2CEA5357" w14:textId="77777777" w:rsidR="00984EE3" w:rsidRPr="006E2427" w:rsidRDefault="00000000">
      <w:pPr>
        <w:pStyle w:val="ListBulle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OCCUPATIONAL ACCIDENT: An unexpected event at work causing injury, disease, or death, even outside the usual workplace.</w:t>
      </w:r>
    </w:p>
    <w:p w14:paraId="348BF624" w14:textId="77777777" w:rsidR="00984EE3" w:rsidRPr="006E2427" w:rsidRDefault="00000000">
      <w:pPr>
        <w:pStyle w:val="ListBulle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lastRenderedPageBreak/>
        <w:t>OCCUPATIONAL INJURY: Resulting from work-related events or exposures, each case counted separately in multiple injury situations.</w:t>
      </w:r>
    </w:p>
    <w:p w14:paraId="786E8C21" w14:textId="77777777" w:rsidR="00984EE3" w:rsidRPr="006E2427" w:rsidRDefault="00000000">
      <w:pPr>
        <w:pStyle w:val="ListBulle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PERMANENT INCAPACITY: Absence from work lasting at least one day, where the person is unable to perform their previous job long-term.</w:t>
      </w:r>
    </w:p>
    <w:p w14:paraId="4402D203" w14:textId="77777777" w:rsidR="00984EE3" w:rsidRPr="006E2427" w:rsidRDefault="00000000">
      <w:pPr>
        <w:pStyle w:val="ListBulle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TEMPORARY INCAPACITY: Absence from work due to injury lasting at least one day, with the expectation to return to work within a year.</w:t>
      </w:r>
    </w:p>
    <w:p w14:paraId="3B3F9907" w14:textId="77777777" w:rsidR="00984EE3" w:rsidRPr="006E2427" w:rsidRDefault="00000000">
      <w:pPr>
        <w:pStyle w:val="ListBulle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FATAL CASE: A person fatally injured due to a work-related accident, whether immediate or within the year of the incident.</w:t>
      </w:r>
    </w:p>
    <w:p w14:paraId="11DE7684" w14:textId="77777777" w:rsidR="00984EE3" w:rsidRPr="006E2427" w:rsidRDefault="00000000">
      <w:pPr>
        <w:pStyle w:val="ListBulle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FREQUENCY RATE (FR): refers to cases of occupational injuries with workdays lost per 1,000,000 employee-hours of exposure.</w:t>
      </w:r>
    </w:p>
    <w:p w14:paraId="1E7558AF" w14:textId="77777777" w:rsidR="00984EE3" w:rsidRPr="006E2427" w:rsidRDefault="00000000">
      <w:pPr>
        <w:pStyle w:val="ListBulle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INCIDENCE RATE (IR): refers to cases of occupational injuries with workdays lost per 1,000 workers.</w:t>
      </w:r>
    </w:p>
    <w:p w14:paraId="16D7E3EE" w14:textId="77777777" w:rsidR="00984EE3" w:rsidRPr="006E2427" w:rsidRDefault="00000000">
      <w:pPr>
        <w:pStyle w:val="ListBulle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SEVERITY RATE (SR): refers to workdays lost of cases of occupational injuries resulting to temporary incapacity per 1,000,000 employee-hours of exposure.</w:t>
      </w:r>
    </w:p>
    <w:p w14:paraId="734FD755" w14:textId="77777777" w:rsidR="00984EE3" w:rsidRPr="006E2427" w:rsidRDefault="00000000">
      <w:pPr>
        <w:pStyle w:val="ListBulle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AVERAGE WORKDAYS LOST: refer to workdays lost for every case of occupational injury resulting to temporary incapacity.</w:t>
      </w:r>
    </w:p>
    <w:p w14:paraId="37E01969" w14:textId="77777777" w:rsidR="003E0C44" w:rsidRPr="006E2427" w:rsidRDefault="003E0C44">
      <w:pPr>
        <w:keepNext/>
        <w:spacing w:before="200" w:after="80"/>
        <w:rPr>
          <w:rFonts w:ascii="Times New Roman" w:hAnsi="Times New Roman" w:cs="Times New Roman"/>
          <w:b/>
          <w:i/>
          <w:color w:val="000000" w:themeColor="text1"/>
          <w:sz w:val="24"/>
          <w:szCs w:val="24"/>
        </w:rPr>
      </w:pPr>
    </w:p>
    <w:p w14:paraId="279529F7" w14:textId="3902B4D5" w:rsidR="00984EE3" w:rsidRPr="006E2427" w:rsidRDefault="00000000">
      <w:pPr>
        <w:keepNext/>
        <w:spacing w:before="200" w:after="80"/>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EMERGING ISSUES IN OSH</w:t>
      </w:r>
    </w:p>
    <w:p w14:paraId="2077AA85" w14:textId="77777777" w:rsidR="00984EE3" w:rsidRPr="006E2427" w:rsidRDefault="00000000">
      <w:pPr>
        <w:pStyle w:val="ListBulle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There are emerging OSH issues involving women workers, child labor, the informal sector, agriculture, schools, and lifestyle diseases such as AIDS and diabetes.</w:t>
      </w:r>
    </w:p>
    <w:p w14:paraId="29D5763A" w14:textId="77777777" w:rsidR="00984EE3" w:rsidRPr="006E2427" w:rsidRDefault="00000000">
      <w:pPr>
        <w:pStyle w:val="ListBulle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Women workers face multiple burdens from work and family roles, increasing stress and exposing them to hazards that may affect their reproductive health and unborn children.</w:t>
      </w:r>
    </w:p>
    <w:p w14:paraId="7D25549A" w14:textId="77777777" w:rsidR="00984EE3" w:rsidRPr="006E2427" w:rsidRDefault="00000000">
      <w:pPr>
        <w:pStyle w:val="ListBulle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Child labor remains a serious concern, with millions of children-many in hazardous jobs-facing risks that can lead to injury, disability, or death.</w:t>
      </w:r>
    </w:p>
    <w:p w14:paraId="1C2B875E" w14:textId="77777777" w:rsidR="00984EE3" w:rsidRPr="006E2427" w:rsidRDefault="00000000">
      <w:pPr>
        <w:pStyle w:val="ListBulle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Agricultural workers are exposed to pesticides, often without proper awareness, which can harm their health and also affect their families and communities.</w:t>
      </w:r>
    </w:p>
    <w:p w14:paraId="4CF4D885" w14:textId="77777777" w:rsidR="00984EE3" w:rsidRPr="006E2427" w:rsidRDefault="00000000">
      <w:pPr>
        <w:pStyle w:val="ListBulle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The informal sector, which makes up more than half of the workforce, has limited OSH protection and often prioritizes income over safety.</w:t>
      </w:r>
    </w:p>
    <w:p w14:paraId="68234912" w14:textId="77777777" w:rsidR="00984EE3" w:rsidRPr="006E2427" w:rsidRDefault="00000000">
      <w:pPr>
        <w:pStyle w:val="ListBullet"/>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In schools, students face physical, chemical, electrical, and psychosocial hazards, while unsafe buildings also pose significant risks.</w:t>
      </w:r>
    </w:p>
    <w:p w14:paraId="2801FAEA" w14:textId="77777777" w:rsidR="003E0C44" w:rsidRPr="006E2427" w:rsidRDefault="003E0C44" w:rsidP="003E0C44">
      <w:pPr>
        <w:pStyle w:val="ListBullet"/>
        <w:numPr>
          <w:ilvl w:val="0"/>
          <w:numId w:val="0"/>
        </w:numPr>
        <w:ind w:left="360"/>
        <w:rPr>
          <w:rFonts w:ascii="Times New Roman" w:hAnsi="Times New Roman" w:cs="Times New Roman"/>
          <w:color w:val="000000" w:themeColor="text1"/>
          <w:sz w:val="24"/>
          <w:szCs w:val="24"/>
        </w:rPr>
      </w:pPr>
    </w:p>
    <w:p w14:paraId="2CB720D1" w14:textId="77777777" w:rsidR="00984EE3" w:rsidRPr="006E2427" w:rsidRDefault="00000000">
      <w:pPr>
        <w:keepNext/>
        <w:spacing w:before="280" w:after="80"/>
        <w:rPr>
          <w:rFonts w:ascii="Times New Roman" w:hAnsi="Times New Roman" w:cs="Times New Roman"/>
          <w:color w:val="000000" w:themeColor="text1"/>
          <w:sz w:val="24"/>
          <w:szCs w:val="24"/>
        </w:rPr>
      </w:pPr>
      <w:r w:rsidRPr="006E2427">
        <w:rPr>
          <w:rFonts w:ascii="Times New Roman" w:hAnsi="Times New Roman" w:cs="Times New Roman"/>
          <w:b/>
          <w:color w:val="000000" w:themeColor="text1"/>
          <w:sz w:val="24"/>
          <w:szCs w:val="24"/>
        </w:rPr>
        <w:t>SUMMARY</w:t>
      </w:r>
    </w:p>
    <w:p w14:paraId="0872AD46" w14:textId="77777777" w:rsidR="00984EE3" w:rsidRPr="006E2427" w:rsidRDefault="00000000">
      <w:pPr>
        <w:rPr>
          <w:rFonts w:ascii="Times New Roman" w:hAnsi="Times New Roman" w:cs="Times New Roman"/>
          <w:color w:val="000000" w:themeColor="text1"/>
          <w:sz w:val="24"/>
          <w:szCs w:val="24"/>
        </w:rPr>
      </w:pPr>
      <w:r w:rsidRPr="006E2427">
        <w:rPr>
          <w:rFonts w:ascii="Times New Roman" w:hAnsi="Times New Roman" w:cs="Times New Roman"/>
          <w:color w:val="000000" w:themeColor="text1"/>
          <w:sz w:val="24"/>
          <w:szCs w:val="24"/>
        </w:rPr>
        <w:t xml:space="preserve">ALTHOUGH THE NUMBER OF WORK-RELATED ACCIDENTS AND ILLNESSES HAS DECREASED IN THE RECENT YEARS HERE IN THE PHILIPPINES, CASES OF OCCUPATIONAL INJURIES AND DISEASES CONTINUE TO OCCUR. WE AT THE OSHC SUBSCRIBE TO THE PRINCIPLE THAT "ONE LIFE LOST IS ONE TOO MANY." EVERYONE MUST THEREFORE BE INVOLVED IN THE EFFORT TO CONTAIN OSH CONCERNS TO ENHANCE ONE'S WORKING LIFE. AFTER ALL, MOST OF US WORK MAINLY FOR ECONOMIC PURPOSES - </w:t>
      </w:r>
      <w:r w:rsidRPr="006E2427">
        <w:rPr>
          <w:rFonts w:ascii="Times New Roman" w:hAnsi="Times New Roman" w:cs="Times New Roman"/>
          <w:b/>
          <w:color w:val="000000" w:themeColor="text1"/>
          <w:sz w:val="24"/>
          <w:szCs w:val="24"/>
        </w:rPr>
        <w:t>"ANG HANAP-BUHAY AY PARA IKABUHAY, HINDI PARA IKAMATAY."</w:t>
      </w:r>
    </w:p>
    <w:p w14:paraId="326E0483" w14:textId="6F03AEE8" w:rsidR="00984EE3" w:rsidRPr="006E2427" w:rsidRDefault="00984EE3">
      <w:pPr>
        <w:spacing w:before="80" w:after="80"/>
        <w:ind w:left="720"/>
        <w:rPr>
          <w:rFonts w:ascii="Times New Roman" w:hAnsi="Times New Roman" w:cs="Times New Roman"/>
          <w:color w:val="000000" w:themeColor="text1"/>
          <w:sz w:val="24"/>
          <w:szCs w:val="24"/>
        </w:rPr>
      </w:pPr>
    </w:p>
    <w:sectPr w:rsidR="00984EE3" w:rsidRPr="006E2427" w:rsidSect="006E2427">
      <w:pgSz w:w="12240" w:h="18720" w:code="14"/>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1325130">
    <w:abstractNumId w:val="8"/>
  </w:num>
  <w:num w:numId="2" w16cid:durableId="213540395">
    <w:abstractNumId w:val="6"/>
  </w:num>
  <w:num w:numId="3" w16cid:durableId="1694726657">
    <w:abstractNumId w:val="5"/>
  </w:num>
  <w:num w:numId="4" w16cid:durableId="1322583568">
    <w:abstractNumId w:val="4"/>
  </w:num>
  <w:num w:numId="5" w16cid:durableId="374233255">
    <w:abstractNumId w:val="7"/>
  </w:num>
  <w:num w:numId="6" w16cid:durableId="467356418">
    <w:abstractNumId w:val="3"/>
  </w:num>
  <w:num w:numId="7" w16cid:durableId="1073116981">
    <w:abstractNumId w:val="2"/>
  </w:num>
  <w:num w:numId="8" w16cid:durableId="2096247575">
    <w:abstractNumId w:val="1"/>
  </w:num>
  <w:num w:numId="9" w16cid:durableId="1428620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1668"/>
    <w:rsid w:val="003E0C44"/>
    <w:rsid w:val="006E2427"/>
    <w:rsid w:val="00984EE3"/>
    <w:rsid w:val="00AA1D8D"/>
    <w:rsid w:val="00B47730"/>
    <w:rsid w:val="00CB0664"/>
    <w:rsid w:val="00DD29CB"/>
    <w:rsid w:val="00E67E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EA2A8A"/>
  <w14:defaultImageDpi w14:val="300"/>
  <w15:docId w15:val="{2588C43C-8358-4D0B-A2D1-0E8287116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88" w:lineRule="auto"/>
    </w:pPr>
    <w:rPr>
      <w:rFonts w:ascii="Arial" w:hAnsi="Arial"/>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1443</Words>
  <Characters>8227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Oliver Comilang</cp:lastModifiedBy>
  <cp:revision>4</cp:revision>
  <dcterms:created xsi:type="dcterms:W3CDTF">2013-12-23T23:15:00Z</dcterms:created>
  <dcterms:modified xsi:type="dcterms:W3CDTF">2026-05-23T17:19:00Z</dcterms:modified>
  <cp:category/>
</cp:coreProperties>
</file>