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línea horizontal" id="4" name="image2.png"/>
            <a:graphic>
              <a:graphicData uri="http://schemas.openxmlformats.org/drawingml/2006/picture">
                <pic:pic>
                  <pic:nvPicPr>
                    <pic:cNvPr descr="línea horizontal"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jc w:val="center"/>
        <w:rPr>
          <w:sz w:val="98"/>
          <w:szCs w:val="98"/>
        </w:rPr>
      </w:pPr>
      <w:bookmarkStart w:colFirst="0" w:colLast="0" w:name="_2gazcsgmxkub" w:id="1"/>
      <w:bookmarkEnd w:id="1"/>
      <w:r w:rsidDel="00000000" w:rsidR="00000000" w:rsidRPr="00000000">
        <w:rPr>
          <w:rFonts w:ascii="Open Sans" w:cs="Open Sans" w:eastAsia="Open Sans" w:hAnsi="Open Sans"/>
          <w:b w:val="0"/>
          <w:bCs w:val="0"/>
          <w:sz w:val="22"/>
          <w:szCs w:val="22"/>
        </w:rPr>
        <w:drawing>
          <wp:inline distB="114300" distT="114300" distL="114300" distR="114300">
            <wp:extent cx="4291013" cy="4291013"/>
            <wp:effectExtent b="101600" l="101600" r="101600" t="10160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291013" cy="4291013"/>
                    </a:xfrm>
                    <a:prstGeom prst="rect"/>
                    <a:ln w="101600">
                      <a:solidFill>
                        <a:srgbClr val="000000"/>
                      </a:solidFill>
                      <a:prstDash val="solid"/>
                    </a:ln>
                  </pic:spPr>
                </pic:pic>
              </a:graphicData>
            </a:graphic>
          </wp:inline>
        </w:drawing>
      </w:r>
      <w:r w:rsidDel="00000000" w:rsidR="00000000" w:rsidRPr="00000000">
        <w:rPr>
          <w:sz w:val="98"/>
          <w:szCs w:val="98"/>
          <w:rtl w:val="0"/>
        </w:rPr>
        <w:t xml:space="preserve">Project EDA</w:t>
      </w:r>
    </w:p>
    <w:p w:rsidR="00000000" w:rsidDel="00000000" w:rsidP="00000000" w:rsidRDefault="00000000" w:rsidRPr="00000000" w14:paraId="00000004">
      <w:pPr>
        <w:pStyle w:val="Subtitle"/>
        <w:jc w:val="center"/>
        <w:rPr>
          <w:sz w:val="42"/>
          <w:szCs w:val="42"/>
        </w:rPr>
      </w:pPr>
      <w:bookmarkStart w:colFirst="0" w:colLast="0" w:name="_ck05w187g6kx" w:id="2"/>
      <w:bookmarkEnd w:id="2"/>
      <w:r w:rsidDel="00000000" w:rsidR="00000000" w:rsidRPr="00000000">
        <w:rPr>
          <w:sz w:val="42"/>
          <w:szCs w:val="42"/>
          <w:rtl w:val="0"/>
        </w:rPr>
        <w:t xml:space="preserve">Píxeles y Ganancias: ¿Influye la puntuación en el éxito comercial?</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jc w:val="center"/>
        <w:rPr>
          <w:sz w:val="42"/>
          <w:szCs w:val="42"/>
        </w:rPr>
      </w:pPr>
      <w:bookmarkStart w:colFirst="0" w:colLast="0" w:name="_ng30guuqqp2v" w:id="3"/>
      <w:bookmarkEnd w:id="3"/>
      <w:r w:rsidDel="00000000" w:rsidR="00000000" w:rsidRPr="00000000">
        <w:rPr>
          <w:sz w:val="42"/>
          <w:szCs w:val="42"/>
          <w:rtl w:val="0"/>
        </w:rPr>
        <w:t xml:space="preserve">09/01/2026</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jc w:val="center"/>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Ivan Montero Badal</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40" w:lineRule="auto"/>
        <w:jc w:val="center"/>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Jonatán Luzón Montaño</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240" w:lineRule="auto"/>
        <w:jc w:val="center"/>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color w:val="008575"/>
          <w:sz w:val="32"/>
          <w:szCs w:val="32"/>
          <w:rtl w:val="0"/>
        </w:rPr>
        <w:t xml:space="preserve">Daniel Mascarilla del Olmo</w:t>
      </w:r>
      <w:r w:rsidDel="00000000" w:rsidR="00000000" w:rsidRPr="00000000">
        <w:rPr>
          <w:rFonts w:ascii="PT Sans Narrow" w:cs="PT Sans Narrow" w:eastAsia="PT Sans Narrow" w:hAnsi="PT Sans Narrow"/>
          <w:sz w:val="28"/>
          <w:szCs w:val="28"/>
          <w:rtl w:val="0"/>
        </w:rPr>
        <w:br w:type="textWrapping"/>
      </w:r>
    </w:p>
    <w:p w:rsidR="00000000" w:rsidDel="00000000" w:rsidP="00000000" w:rsidRDefault="00000000" w:rsidRPr="00000000" w14:paraId="0000000B">
      <w:pPr>
        <w:pStyle w:val="Title"/>
        <w:spacing w:line="240" w:lineRule="auto"/>
        <w:rPr>
          <w:color w:val="008575"/>
        </w:rPr>
      </w:pPr>
      <w:bookmarkStart w:colFirst="0" w:colLast="0" w:name="_8rnkge134ia4" w:id="4"/>
      <w:bookmarkEnd w:id="4"/>
      <w:r w:rsidDel="00000000" w:rsidR="00000000" w:rsidRPr="00000000">
        <w:rPr>
          <w:color w:val="008575"/>
          <w:rtl w:val="0"/>
        </w:rPr>
        <w:t xml:space="preserve">Índice</w:t>
      </w:r>
      <w:r w:rsidDel="00000000" w:rsidR="00000000" w:rsidRPr="00000000">
        <w:rPr>
          <w:rtl w:val="0"/>
        </w:rPr>
      </w:r>
    </w:p>
    <w:sdt>
      <w:sdtPr>
        <w:id w:val="-163754142"/>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8575"/>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tole2o7vzy0">
            <w:r w:rsidDel="00000000" w:rsidR="00000000" w:rsidRPr="00000000">
              <w:rPr>
                <w:rFonts w:ascii="Open Sans" w:cs="Open Sans" w:eastAsia="Open Sans" w:hAnsi="Open Sans"/>
                <w:b w:val="1"/>
                <w:bCs w:val="1"/>
                <w:i w:val="0"/>
                <w:iCs w:val="0"/>
                <w:smallCaps w:val="0"/>
                <w:strike w:val="0"/>
                <w:color w:val="008575"/>
                <w:sz w:val="22"/>
                <w:szCs w:val="22"/>
                <w:u w:val="none"/>
                <w:shd w:fill="auto" w:val="clear"/>
                <w:vertAlign w:val="baseline"/>
                <w:rtl w:val="0"/>
              </w:rPr>
              <w:t xml:space="preserve">1. Definición del problema</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8575"/>
              <w:sz w:val="22"/>
              <w:szCs w:val="22"/>
              <w:u w:val="none"/>
              <w:shd w:fill="auto" w:val="clear"/>
              <w:vertAlign w:val="baseline"/>
            </w:rPr>
          </w:pPr>
          <w:hyperlink w:anchor="_u302cwf3ujh0">
            <w:r w:rsidDel="00000000" w:rsidR="00000000" w:rsidRPr="00000000">
              <w:rPr>
                <w:rFonts w:ascii="Arial" w:cs="Arial" w:eastAsia="Arial" w:hAnsi="Arial"/>
                <w:b w:val="0"/>
                <w:bCs w:val="0"/>
                <w:i w:val="0"/>
                <w:iCs w:val="0"/>
                <w:smallCaps w:val="0"/>
                <w:strike w:val="0"/>
                <w:color w:val="008575"/>
                <w:sz w:val="22"/>
                <w:szCs w:val="22"/>
                <w:u w:val="none"/>
                <w:shd w:fill="auto" w:val="clear"/>
                <w:vertAlign w:val="baseline"/>
                <w:rtl w:val="0"/>
              </w:rPr>
              <w:t xml:space="preserve">1.1 Contexto del Análisis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8575"/>
              <w:sz w:val="22"/>
              <w:szCs w:val="22"/>
              <w:u w:val="none"/>
              <w:shd w:fill="auto" w:val="clear"/>
              <w:vertAlign w:val="baseline"/>
            </w:rPr>
          </w:pPr>
          <w:hyperlink w:anchor="_cb1qwfsd23iu">
            <w:r w:rsidDel="00000000" w:rsidR="00000000" w:rsidRPr="00000000">
              <w:rPr>
                <w:rFonts w:ascii="Arial" w:cs="Arial" w:eastAsia="Arial" w:hAnsi="Arial"/>
                <w:b w:val="0"/>
                <w:bCs w:val="0"/>
                <w:i w:val="0"/>
                <w:iCs w:val="0"/>
                <w:smallCaps w:val="0"/>
                <w:strike w:val="0"/>
                <w:color w:val="008575"/>
                <w:sz w:val="22"/>
                <w:szCs w:val="22"/>
                <w:u w:val="none"/>
                <w:shd w:fill="auto" w:val="clear"/>
                <w:vertAlign w:val="baseline"/>
                <w:rtl w:val="0"/>
              </w:rPr>
              <w:t xml:space="preserve">1.2 Declaración del Problema</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8575"/>
              <w:sz w:val="22"/>
              <w:szCs w:val="22"/>
              <w:u w:val="none"/>
              <w:shd w:fill="auto" w:val="clear"/>
              <w:vertAlign w:val="baseline"/>
            </w:rPr>
          </w:pPr>
          <w:hyperlink w:anchor="_abmk93plwme">
            <w:r w:rsidDel="00000000" w:rsidR="00000000" w:rsidRPr="00000000">
              <w:rPr>
                <w:rFonts w:ascii="Arial" w:cs="Arial" w:eastAsia="Arial" w:hAnsi="Arial"/>
                <w:b w:val="0"/>
                <w:bCs w:val="0"/>
                <w:i w:val="0"/>
                <w:iCs w:val="0"/>
                <w:smallCaps w:val="0"/>
                <w:strike w:val="0"/>
                <w:color w:val="008575"/>
                <w:sz w:val="22"/>
                <w:szCs w:val="22"/>
                <w:u w:val="none"/>
                <w:shd w:fill="auto" w:val="clear"/>
                <w:vertAlign w:val="baseline"/>
                <w:rtl w:val="0"/>
              </w:rPr>
              <w:t xml:space="preserve">1.3 Objetivos de la Investigación</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8575"/>
              <w:sz w:val="22"/>
              <w:szCs w:val="22"/>
              <w:u w:val="none"/>
              <w:shd w:fill="auto" w:val="clear"/>
              <w:vertAlign w:val="baseline"/>
            </w:rPr>
          </w:pPr>
          <w:hyperlink w:anchor="_fahlgaw9vu36">
            <w:r w:rsidDel="00000000" w:rsidR="00000000" w:rsidRPr="00000000">
              <w:rPr>
                <w:rFonts w:ascii="Arial" w:cs="Arial" w:eastAsia="Arial" w:hAnsi="Arial"/>
                <w:b w:val="0"/>
                <w:bCs w:val="0"/>
                <w:i w:val="0"/>
                <w:iCs w:val="0"/>
                <w:smallCaps w:val="0"/>
                <w:strike w:val="0"/>
                <w:color w:val="008575"/>
                <w:sz w:val="22"/>
                <w:szCs w:val="22"/>
                <w:u w:val="none"/>
                <w:shd w:fill="auto" w:val="clear"/>
                <w:vertAlign w:val="baseline"/>
                <w:rtl w:val="0"/>
              </w:rPr>
              <w:t xml:space="preserve">1.4 Justificación del uso del Dataset</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8575"/>
              <w:sz w:val="22"/>
              <w:szCs w:val="22"/>
              <w:u w:val="none"/>
              <w:shd w:fill="auto" w:val="clear"/>
              <w:vertAlign w:val="baseline"/>
            </w:rPr>
          </w:pPr>
          <w:hyperlink w:anchor="_3ipc0e3xbrb7">
            <w:r w:rsidDel="00000000" w:rsidR="00000000" w:rsidRPr="00000000">
              <w:rPr>
                <w:rFonts w:ascii="Arial" w:cs="Arial" w:eastAsia="Arial" w:hAnsi="Arial"/>
                <w:b w:val="1"/>
                <w:bCs w:val="1"/>
                <w:i w:val="0"/>
                <w:iCs w:val="0"/>
                <w:smallCaps w:val="0"/>
                <w:strike w:val="0"/>
                <w:color w:val="008575"/>
                <w:sz w:val="22"/>
                <w:szCs w:val="22"/>
                <w:u w:val="none"/>
                <w:shd w:fill="auto" w:val="clear"/>
                <w:vertAlign w:val="baseline"/>
                <w:rtl w:val="0"/>
              </w:rPr>
              <w:t xml:space="preserve">2. Planteamiento de Hipótesis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8575"/>
              <w:sz w:val="22"/>
              <w:szCs w:val="22"/>
              <w:u w:val="none"/>
              <w:shd w:fill="auto" w:val="clear"/>
              <w:vertAlign w:val="baseline"/>
            </w:rPr>
          </w:pPr>
          <w:hyperlink w:anchor="_71mnyxabnsa4">
            <w:r w:rsidDel="00000000" w:rsidR="00000000" w:rsidRPr="00000000">
              <w:rPr>
                <w:rFonts w:ascii="Arial" w:cs="Arial" w:eastAsia="Arial" w:hAnsi="Arial"/>
                <w:b w:val="0"/>
                <w:bCs w:val="0"/>
                <w:i w:val="0"/>
                <w:iCs w:val="0"/>
                <w:smallCaps w:val="0"/>
                <w:strike w:val="0"/>
                <w:color w:val="008575"/>
                <w:sz w:val="22"/>
                <w:szCs w:val="22"/>
                <w:u w:val="none"/>
                <w:shd w:fill="auto" w:val="clear"/>
                <w:vertAlign w:val="baseline"/>
                <w:rtl w:val="0"/>
              </w:rPr>
              <w:t xml:space="preserve">2.1 Hipótesis Principal: Correlación Global</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8575"/>
              <w:sz w:val="22"/>
              <w:szCs w:val="22"/>
              <w:u w:val="none"/>
              <w:shd w:fill="auto" w:val="clear"/>
              <w:vertAlign w:val="baseline"/>
            </w:rPr>
          </w:pPr>
          <w:hyperlink w:anchor="_z9bhumdhi5uc">
            <w:r w:rsidDel="00000000" w:rsidR="00000000" w:rsidRPr="00000000">
              <w:rPr>
                <w:rFonts w:ascii="Arial" w:cs="Arial" w:eastAsia="Arial" w:hAnsi="Arial"/>
                <w:b w:val="0"/>
                <w:bCs w:val="0"/>
                <w:i w:val="0"/>
                <w:iCs w:val="0"/>
                <w:smallCaps w:val="0"/>
                <w:strike w:val="0"/>
                <w:color w:val="008575"/>
                <w:sz w:val="22"/>
                <w:szCs w:val="22"/>
                <w:u w:val="none"/>
                <w:shd w:fill="auto" w:val="clear"/>
                <w:vertAlign w:val="baseline"/>
                <w:rtl w:val="0"/>
              </w:rPr>
              <w:t xml:space="preserve">2.2 Hipótesis Regional: Divergencia Continental</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8575"/>
              <w:sz w:val="22"/>
              <w:szCs w:val="22"/>
              <w:u w:val="none"/>
              <w:shd w:fill="auto" w:val="clear"/>
              <w:vertAlign w:val="baseline"/>
            </w:rPr>
          </w:pPr>
          <w:hyperlink w:anchor="_fh9c1ljrzbse">
            <w:r w:rsidDel="00000000" w:rsidR="00000000" w:rsidRPr="00000000">
              <w:rPr>
                <w:rFonts w:ascii="Arial" w:cs="Arial" w:eastAsia="Arial" w:hAnsi="Arial"/>
                <w:b w:val="0"/>
                <w:bCs w:val="0"/>
                <w:i w:val="0"/>
                <w:iCs w:val="0"/>
                <w:smallCaps w:val="0"/>
                <w:strike w:val="0"/>
                <w:color w:val="008575"/>
                <w:sz w:val="22"/>
                <w:szCs w:val="22"/>
                <w:u w:val="none"/>
                <w:shd w:fill="auto" w:val="clear"/>
                <w:vertAlign w:val="baseline"/>
                <w:rtl w:val="0"/>
              </w:rPr>
              <w:t xml:space="preserve">2.3 Hipótesis Secundaria: El peso del Consumidor</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8575"/>
              <w:sz w:val="22"/>
              <w:szCs w:val="22"/>
              <w:u w:val="none"/>
              <w:shd w:fill="auto" w:val="clear"/>
              <w:vertAlign w:val="baseline"/>
            </w:rPr>
          </w:pPr>
          <w:hyperlink w:anchor="_c303vvqgy9jq">
            <w:r w:rsidDel="00000000" w:rsidR="00000000" w:rsidRPr="00000000">
              <w:rPr>
                <w:rFonts w:ascii="Arial" w:cs="Arial" w:eastAsia="Arial" w:hAnsi="Arial"/>
                <w:b w:val="1"/>
                <w:bCs w:val="1"/>
                <w:i w:val="0"/>
                <w:iCs w:val="0"/>
                <w:smallCaps w:val="0"/>
                <w:strike w:val="0"/>
                <w:color w:val="008575"/>
                <w:sz w:val="22"/>
                <w:szCs w:val="22"/>
                <w:u w:val="none"/>
                <w:shd w:fill="auto" w:val="clear"/>
                <w:vertAlign w:val="baseline"/>
                <w:rtl w:val="0"/>
              </w:rPr>
              <w:t xml:space="preserve">3. Metodología de Validación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8575"/>
              <w:sz w:val="22"/>
              <w:szCs w:val="22"/>
              <w:u w:val="none"/>
              <w:shd w:fill="auto" w:val="clear"/>
              <w:vertAlign w:val="baseline"/>
            </w:rPr>
          </w:pPr>
          <w:hyperlink w:anchor="_wp93lnv5fkz3">
            <w:r w:rsidDel="00000000" w:rsidR="00000000" w:rsidRPr="00000000">
              <w:rPr>
                <w:rFonts w:ascii="Arial" w:cs="Arial" w:eastAsia="Arial" w:hAnsi="Arial"/>
                <w:b w:val="0"/>
                <w:bCs w:val="0"/>
                <w:i w:val="0"/>
                <w:iCs w:val="0"/>
                <w:smallCaps w:val="0"/>
                <w:strike w:val="0"/>
                <w:color w:val="008575"/>
                <w:sz w:val="22"/>
                <w:szCs w:val="22"/>
                <w:u w:val="none"/>
                <w:shd w:fill="auto" w:val="clear"/>
                <w:vertAlign w:val="baseline"/>
                <w:rtl w:val="0"/>
              </w:rPr>
              <w:t xml:space="preserve">1. Coeficiente de Correlación de Pearson (r):</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8575"/>
              <w:sz w:val="22"/>
              <w:szCs w:val="22"/>
              <w:u w:val="none"/>
              <w:shd w:fill="auto" w:val="clear"/>
              <w:vertAlign w:val="baseline"/>
            </w:rPr>
          </w:pPr>
          <w:hyperlink w:anchor="_v3xv6sat488u">
            <w:r w:rsidDel="00000000" w:rsidR="00000000" w:rsidRPr="00000000">
              <w:rPr>
                <w:rFonts w:ascii="Arial" w:cs="Arial" w:eastAsia="Arial" w:hAnsi="Arial"/>
                <w:b w:val="0"/>
                <w:bCs w:val="0"/>
                <w:i w:val="0"/>
                <w:iCs w:val="0"/>
                <w:smallCaps w:val="0"/>
                <w:strike w:val="0"/>
                <w:color w:val="008575"/>
                <w:sz w:val="22"/>
                <w:szCs w:val="22"/>
                <w:u w:val="none"/>
                <w:shd w:fill="auto" w:val="clear"/>
                <w:vertAlign w:val="baseline"/>
                <w:rtl w:val="0"/>
              </w:rPr>
              <w:t xml:space="preserve">2. Análisis de Regresión: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8575"/>
              <w:sz w:val="22"/>
              <w:szCs w:val="22"/>
              <w:u w:val="none"/>
              <w:shd w:fill="auto" w:val="clear"/>
              <w:vertAlign w:val="baseline"/>
            </w:rPr>
          </w:pPr>
          <w:hyperlink w:anchor="_op538kgbv054">
            <w:r w:rsidDel="00000000" w:rsidR="00000000" w:rsidRPr="00000000">
              <w:rPr>
                <w:rFonts w:ascii="Arial" w:cs="Arial" w:eastAsia="Arial" w:hAnsi="Arial"/>
                <w:b w:val="0"/>
                <w:bCs w:val="0"/>
                <w:i w:val="0"/>
                <w:iCs w:val="0"/>
                <w:smallCaps w:val="0"/>
                <w:strike w:val="0"/>
                <w:color w:val="008575"/>
                <w:sz w:val="22"/>
                <w:szCs w:val="22"/>
                <w:u w:val="none"/>
                <w:shd w:fill="auto" w:val="clear"/>
                <w:vertAlign w:val="baseline"/>
                <w:rtl w:val="0"/>
              </w:rPr>
              <w:t xml:space="preserve">3. Visualización Multivariante</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8575"/>
              <w:sz w:val="22"/>
              <w:szCs w:val="22"/>
              <w:u w:val="none"/>
              <w:shd w:fill="auto" w:val="clear"/>
              <w:vertAlign w:val="baseline"/>
            </w:rPr>
          </w:pPr>
          <w:hyperlink w:anchor="_yc7i33sbdg2z">
            <w:r w:rsidDel="00000000" w:rsidR="00000000" w:rsidRPr="00000000">
              <w:rPr>
                <w:rFonts w:ascii="Arial" w:cs="Arial" w:eastAsia="Arial" w:hAnsi="Arial"/>
                <w:b w:val="1"/>
                <w:bCs w:val="1"/>
                <w:i w:val="0"/>
                <w:iCs w:val="0"/>
                <w:smallCaps w:val="0"/>
                <w:strike w:val="0"/>
                <w:color w:val="008575"/>
                <w:sz w:val="22"/>
                <w:szCs w:val="22"/>
                <w:u w:val="none"/>
                <w:shd w:fill="auto" w:val="clear"/>
                <w:vertAlign w:val="baseline"/>
                <w:rtl w:val="0"/>
              </w:rPr>
              <w:t xml:space="preserve">Puntos a tratar</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8575"/>
              <w:sz w:val="22"/>
              <w:szCs w:val="22"/>
              <w:u w:val="none"/>
              <w:shd w:fill="auto" w:val="clear"/>
              <w:vertAlign w:val="baseline"/>
            </w:rPr>
          </w:pPr>
          <w:hyperlink w:anchor="_cqhkno8llvfz">
            <w:r w:rsidDel="00000000" w:rsidR="00000000" w:rsidRPr="00000000">
              <w:rPr>
                <w:rFonts w:ascii="Open Sans" w:cs="Open Sans" w:eastAsia="Open Sans" w:hAnsi="Open Sans"/>
                <w:b w:val="0"/>
                <w:bCs w:val="0"/>
                <w:i w:val="0"/>
                <w:iCs w:val="0"/>
                <w:smallCaps w:val="0"/>
                <w:strike w:val="0"/>
                <w:color w:val="008575"/>
                <w:sz w:val="22"/>
                <w:szCs w:val="22"/>
                <w:u w:val="none"/>
                <w:shd w:fill="auto" w:val="clear"/>
                <w:vertAlign w:val="baseline"/>
                <w:rtl w:val="0"/>
              </w:rPr>
              <w:t xml:space="preserve">Evolución Temporal (Timeline)</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8575"/>
              <w:sz w:val="22"/>
              <w:szCs w:val="22"/>
              <w:u w:val="none"/>
              <w:shd w:fill="auto" w:val="clear"/>
              <w:vertAlign w:val="baseline"/>
            </w:rPr>
          </w:pPr>
          <w:hyperlink w:anchor="_5pugzy4fiezl">
            <w:r w:rsidDel="00000000" w:rsidR="00000000" w:rsidRPr="00000000">
              <w:rPr>
                <w:rFonts w:ascii="Arial" w:cs="Arial" w:eastAsia="Arial" w:hAnsi="Arial"/>
                <w:b w:val="1"/>
                <w:bCs w:val="1"/>
                <w:i w:val="0"/>
                <w:iCs w:val="0"/>
                <w:smallCaps w:val="0"/>
                <w:strike w:val="0"/>
                <w:color w:val="008575"/>
                <w:sz w:val="22"/>
                <w:szCs w:val="22"/>
                <w:u w:val="none"/>
                <w:shd w:fill="auto" w:val="clear"/>
                <w:vertAlign w:val="baseline"/>
                <w:rtl w:val="0"/>
              </w:rPr>
              <w:t xml:space="preserve">1. Edad de Oro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8575"/>
              <w:sz w:val="22"/>
              <w:szCs w:val="22"/>
              <w:u w:val="none"/>
              <w:shd w:fill="auto" w:val="clear"/>
              <w:vertAlign w:val="baseline"/>
            </w:rPr>
          </w:pPr>
          <w:hyperlink w:anchor="_e9cc022rgmli">
            <w:r w:rsidDel="00000000" w:rsidR="00000000" w:rsidRPr="00000000">
              <w:rPr>
                <w:rFonts w:ascii="Arial" w:cs="Arial" w:eastAsia="Arial" w:hAnsi="Arial"/>
                <w:b w:val="1"/>
                <w:bCs w:val="1"/>
                <w:i w:val="0"/>
                <w:iCs w:val="0"/>
                <w:smallCaps w:val="0"/>
                <w:strike w:val="0"/>
                <w:color w:val="008575"/>
                <w:sz w:val="22"/>
                <w:szCs w:val="22"/>
                <w:u w:val="none"/>
                <w:shd w:fill="auto" w:val="clear"/>
                <w:vertAlign w:val="baseline"/>
                <w:rtl w:val="0"/>
              </w:rPr>
              <w:t xml:space="preserve">2. Fatiga de géneros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8575"/>
              <w:sz w:val="22"/>
              <w:szCs w:val="22"/>
              <w:u w:val="none"/>
              <w:shd w:fill="auto" w:val="clear"/>
              <w:vertAlign w:val="baseline"/>
            </w:rPr>
          </w:pPr>
          <w:hyperlink w:anchor="_s6591s2odkcn">
            <w:r w:rsidDel="00000000" w:rsidR="00000000" w:rsidRPr="00000000">
              <w:rPr>
                <w:rFonts w:ascii="Arial" w:cs="Arial" w:eastAsia="Arial" w:hAnsi="Arial"/>
                <w:b w:val="1"/>
                <w:bCs w:val="1"/>
                <w:i w:val="0"/>
                <w:iCs w:val="0"/>
                <w:smallCaps w:val="0"/>
                <w:strike w:val="0"/>
                <w:color w:val="008575"/>
                <w:sz w:val="22"/>
                <w:szCs w:val="22"/>
                <w:u w:val="none"/>
                <w:shd w:fill="auto" w:val="clear"/>
                <w:vertAlign w:val="baseline"/>
                <w:rtl w:val="0"/>
              </w:rPr>
              <w:t xml:space="preserve">3. Géneros y popularidad</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8575"/>
              <w:sz w:val="22"/>
              <w:szCs w:val="22"/>
              <w:u w:val="none"/>
              <w:shd w:fill="auto" w:val="clear"/>
              <w:vertAlign w:val="baseline"/>
            </w:rPr>
          </w:pPr>
          <w:hyperlink w:anchor="_ivz8lnx8jm0o">
            <w:r w:rsidDel="00000000" w:rsidR="00000000" w:rsidRPr="00000000">
              <w:rPr>
                <w:rFonts w:ascii="Arial" w:cs="Arial" w:eastAsia="Arial" w:hAnsi="Arial"/>
                <w:b w:val="1"/>
                <w:bCs w:val="1"/>
                <w:i w:val="0"/>
                <w:iCs w:val="0"/>
                <w:smallCaps w:val="0"/>
                <w:strike w:val="0"/>
                <w:color w:val="008575"/>
                <w:sz w:val="22"/>
                <w:szCs w:val="22"/>
                <w:u w:val="none"/>
                <w:shd w:fill="auto" w:val="clear"/>
                <w:vertAlign w:val="baseline"/>
                <w:rtl w:val="0"/>
              </w:rPr>
              <w:t xml:space="preserve">4. Heatmap de correlación</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8575"/>
              <w:sz w:val="22"/>
              <w:szCs w:val="22"/>
              <w:u w:val="none"/>
              <w:shd w:fill="auto" w:val="clear"/>
              <w:vertAlign w:val="baseline"/>
            </w:rPr>
          </w:pPr>
          <w:hyperlink w:anchor="_z5b5pnt8f5ko">
            <w:r w:rsidDel="00000000" w:rsidR="00000000" w:rsidRPr="00000000">
              <w:rPr>
                <w:rFonts w:ascii="Arial" w:cs="Arial" w:eastAsia="Arial" w:hAnsi="Arial"/>
                <w:b w:val="1"/>
                <w:bCs w:val="1"/>
                <w:i w:val="0"/>
                <w:iCs w:val="0"/>
                <w:smallCaps w:val="0"/>
                <w:strike w:val="0"/>
                <w:color w:val="008575"/>
                <w:sz w:val="22"/>
                <w:szCs w:val="22"/>
                <w:u w:val="none"/>
                <w:shd w:fill="auto" w:val="clear"/>
                <w:vertAlign w:val="baseline"/>
                <w:rtl w:val="0"/>
              </w:rPr>
              <w:t xml:space="preserve">5. Boxplots por plataforma</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8575"/>
              <w:sz w:val="22"/>
              <w:szCs w:val="22"/>
              <w:u w:val="none"/>
              <w:shd w:fill="auto" w:val="clear"/>
              <w:vertAlign w:val="baseline"/>
            </w:rPr>
          </w:pPr>
          <w:hyperlink w:anchor="_xw92k7fmu922">
            <w:r w:rsidDel="00000000" w:rsidR="00000000" w:rsidRPr="00000000">
              <w:rPr>
                <w:rFonts w:ascii="Arial" w:cs="Arial" w:eastAsia="Arial" w:hAnsi="Arial"/>
                <w:b w:val="1"/>
                <w:bCs w:val="1"/>
                <w:i w:val="0"/>
                <w:iCs w:val="0"/>
                <w:smallCaps w:val="0"/>
                <w:strike w:val="0"/>
                <w:color w:val="008575"/>
                <w:sz w:val="22"/>
                <w:szCs w:val="22"/>
                <w:u w:val="none"/>
                <w:shd w:fill="auto" w:val="clear"/>
                <w:vertAlign w:val="baseline"/>
                <w:rtl w:val="0"/>
              </w:rPr>
              <w:t xml:space="preserve">6. Más polémicos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0" w:firstLine="0"/>
        <w:rPr>
          <w:color w:val="008575"/>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3">
      <w:pPr>
        <w:pStyle w:val="Heading1"/>
        <w:rPr/>
      </w:pPr>
      <w:bookmarkStart w:colFirst="0" w:colLast="0" w:name="_t0hkdlalsk5" w:id="5"/>
      <w:bookmarkEnd w:id="5"/>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numPr>
          <w:ilvl w:val="0"/>
          <w:numId w:val="7"/>
        </w:numPr>
        <w:jc w:val="both"/>
        <w:rPr>
          <w:b w:val="1"/>
          <w:bCs w:val="1"/>
          <w:color w:val="38761d"/>
          <w:sz w:val="30"/>
          <w:szCs w:val="30"/>
        </w:rPr>
      </w:pPr>
      <w:bookmarkStart w:colFirst="0" w:colLast="0" w:name="_stole2o7vzy0" w:id="6"/>
      <w:bookmarkEnd w:id="6"/>
      <w:r w:rsidDel="00000000" w:rsidR="00000000" w:rsidRPr="00000000">
        <w:rPr>
          <w:rtl w:val="0"/>
        </w:rPr>
        <w:t xml:space="preserve">Definición del problema</w:t>
      </w:r>
      <w:r w:rsidDel="00000000" w:rsidR="00000000" w:rsidRPr="00000000">
        <w:rPr>
          <w:rtl w:val="0"/>
        </w:rPr>
      </w:r>
    </w:p>
    <w:p w:rsidR="00000000" w:rsidDel="00000000" w:rsidP="00000000" w:rsidRDefault="00000000" w:rsidRPr="00000000" w14:paraId="00000025">
      <w:pPr>
        <w:pStyle w:val="Heading2"/>
        <w:jc w:val="both"/>
        <w:rPr>
          <w:rFonts w:ascii="Open Sans" w:cs="Open Sans" w:eastAsia="Open Sans" w:hAnsi="Open Sans"/>
          <w:b w:val="1"/>
          <w:bCs w:val="1"/>
          <w:sz w:val="28"/>
          <w:szCs w:val="28"/>
        </w:rPr>
      </w:pPr>
      <w:bookmarkStart w:colFirst="0" w:colLast="0" w:name="_u302cwf3ujh0" w:id="7"/>
      <w:bookmarkEnd w:id="7"/>
      <w:r w:rsidDel="00000000" w:rsidR="00000000" w:rsidRPr="00000000">
        <w:rPr>
          <w:rtl w:val="0"/>
        </w:rPr>
        <w:t xml:space="preserve">1.1 Contexto del Análisis</w:t>
      </w:r>
      <w:r w:rsidDel="00000000" w:rsidR="00000000" w:rsidRPr="00000000">
        <w:rPr>
          <w:rtl w:val="0"/>
        </w:rPr>
      </w:r>
    </w:p>
    <w:p w:rsidR="00000000" w:rsidDel="00000000" w:rsidP="00000000" w:rsidRDefault="00000000" w:rsidRPr="00000000" w14:paraId="00000026">
      <w:pPr>
        <w:ind w:left="720" w:firstLine="0"/>
        <w:jc w:val="both"/>
        <w:rPr/>
      </w:pPr>
      <w:r w:rsidDel="00000000" w:rsidR="00000000" w:rsidRPr="00000000">
        <w:rPr>
          <w:rtl w:val="0"/>
        </w:rPr>
        <w:t xml:space="preserve">El éxito de un videojuego en el mercado global actual depende de una compleja interacción entre la calidad percibida por los profesionales y la aceptación del público general. El dataset games.csv proporciona una base de datos detallada de Metacritic, que incluye no solo el metascore (crítica profesional), sino también el userscore (valoración de usuarios) y el volumen de reseñas que respaldan dichas notas (metascore_count).</w:t>
      </w:r>
    </w:p>
    <w:p w:rsidR="00000000" w:rsidDel="00000000" w:rsidP="00000000" w:rsidRDefault="00000000" w:rsidRPr="00000000" w14:paraId="00000027">
      <w:pPr>
        <w:pStyle w:val="Heading2"/>
        <w:ind w:left="720" w:firstLine="0"/>
        <w:jc w:val="both"/>
        <w:rPr/>
      </w:pPr>
      <w:bookmarkStart w:colFirst="0" w:colLast="0" w:name="_cb1qwfsd23iu" w:id="8"/>
      <w:bookmarkEnd w:id="8"/>
      <w:r w:rsidDel="00000000" w:rsidR="00000000" w:rsidRPr="00000000">
        <w:rPr>
          <w:rtl w:val="0"/>
        </w:rPr>
        <w:t xml:space="preserve">1.2 Declaración del Problema</w:t>
      </w:r>
    </w:p>
    <w:p w:rsidR="00000000" w:rsidDel="00000000" w:rsidP="00000000" w:rsidRDefault="00000000" w:rsidRPr="00000000" w14:paraId="00000028">
      <w:pPr>
        <w:ind w:left="720" w:firstLine="0"/>
        <w:jc w:val="both"/>
        <w:rPr/>
      </w:pPr>
      <w:r w:rsidDel="00000000" w:rsidR="00000000" w:rsidRPr="00000000">
        <w:rPr>
          <w:rtl w:val="0"/>
        </w:rPr>
        <w:t xml:space="preserve">El problema central de esta investigación es determinar si existe una relación de dependencia entre las métricas de valoración de Metacritic y el éxito comercial de los títulos. A menudo, la industria asume que una puntuación alta de la crítica profesional es el principal motor de ventas. Sin embargo, este análisis busca cuestionar esa premisa mediante dos vías:</w:t>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numPr>
          <w:ilvl w:val="0"/>
          <w:numId w:val="2"/>
        </w:numPr>
        <w:ind w:left="1440" w:hanging="360"/>
        <w:jc w:val="both"/>
        <w:rPr>
          <w:u w:val="none"/>
        </w:rPr>
      </w:pPr>
      <w:r w:rsidDel="00000000" w:rsidR="00000000" w:rsidRPr="00000000">
        <w:rPr>
          <w:b w:val="1"/>
          <w:bCs w:val="1"/>
          <w:rtl w:val="0"/>
        </w:rPr>
        <w:t xml:space="preserve">Divergencia Crítica vs. Usuario:</w:t>
      </w:r>
      <w:r w:rsidDel="00000000" w:rsidR="00000000" w:rsidRPr="00000000">
        <w:rPr>
          <w:rtl w:val="0"/>
        </w:rPr>
        <w:t xml:space="preserve"> Evaluar si las ventas se alinean más con el metascore o con el userscore.</w:t>
      </w:r>
    </w:p>
    <w:p w:rsidR="00000000" w:rsidDel="00000000" w:rsidP="00000000" w:rsidRDefault="00000000" w:rsidRPr="00000000" w14:paraId="0000002B">
      <w:pPr>
        <w:ind w:left="1440" w:firstLine="0"/>
        <w:jc w:val="both"/>
        <w:rPr/>
      </w:pPr>
      <w:r w:rsidDel="00000000" w:rsidR="00000000" w:rsidRPr="00000000">
        <w:rPr>
          <w:rtl w:val="0"/>
        </w:rPr>
      </w:r>
    </w:p>
    <w:p w:rsidR="00000000" w:rsidDel="00000000" w:rsidP="00000000" w:rsidRDefault="00000000" w:rsidRPr="00000000" w14:paraId="0000002C">
      <w:pPr>
        <w:numPr>
          <w:ilvl w:val="0"/>
          <w:numId w:val="10"/>
        </w:numPr>
        <w:ind w:left="1440" w:hanging="360"/>
        <w:jc w:val="both"/>
        <w:rPr>
          <w:u w:val="none"/>
        </w:rPr>
      </w:pPr>
      <w:r w:rsidDel="00000000" w:rsidR="00000000" w:rsidRPr="00000000">
        <w:rPr>
          <w:b w:val="1"/>
          <w:bCs w:val="1"/>
          <w:rtl w:val="0"/>
        </w:rPr>
        <w:t xml:space="preserve">Impacto Geográfico:</w:t>
      </w:r>
      <w:r w:rsidDel="00000000" w:rsidR="00000000" w:rsidRPr="00000000">
        <w:rPr>
          <w:rtl w:val="0"/>
        </w:rPr>
        <w:t xml:space="preserve"> Determinar si la correlación entre estas notas y las ventas varía según la región (Norteamérica, Europa y Japón), utilizando este dataset como el eje central de "valoración" para ser contrastado con datos de ventas globales.</w:t>
      </w:r>
    </w:p>
    <w:p w:rsidR="00000000" w:rsidDel="00000000" w:rsidP="00000000" w:rsidRDefault="00000000" w:rsidRPr="00000000" w14:paraId="0000002D">
      <w:pPr>
        <w:pStyle w:val="Heading2"/>
        <w:ind w:left="720" w:firstLine="0"/>
        <w:jc w:val="both"/>
        <w:rPr/>
      </w:pPr>
      <w:bookmarkStart w:colFirst="0" w:colLast="0" w:name="_abmk93plwme" w:id="9"/>
      <w:bookmarkEnd w:id="9"/>
      <w:r w:rsidDel="00000000" w:rsidR="00000000" w:rsidRPr="00000000">
        <w:rPr>
          <w:rtl w:val="0"/>
        </w:rPr>
        <w:t xml:space="preserve">1.3 Objetivos de la Investigación</w:t>
      </w:r>
    </w:p>
    <w:p w:rsidR="00000000" w:rsidDel="00000000" w:rsidP="00000000" w:rsidRDefault="00000000" w:rsidRPr="00000000" w14:paraId="0000002E">
      <w:pPr>
        <w:ind w:left="720" w:firstLine="0"/>
        <w:jc w:val="both"/>
        <w:rPr/>
      </w:pPr>
      <w:r w:rsidDel="00000000" w:rsidR="00000000" w:rsidRPr="00000000">
        <w:rPr>
          <w:rtl w:val="0"/>
        </w:rPr>
        <w:t xml:space="preserve">Para resolver este problema, el estudio se enfoca en:</w:t>
      </w:r>
    </w:p>
    <w:p w:rsidR="00000000" w:rsidDel="00000000" w:rsidP="00000000" w:rsidRDefault="00000000" w:rsidRPr="00000000" w14:paraId="0000002F">
      <w:pPr>
        <w:ind w:left="720" w:firstLine="0"/>
        <w:jc w:val="both"/>
        <w:rPr/>
      </w:pPr>
      <w:r w:rsidDel="00000000" w:rsidR="00000000" w:rsidRPr="00000000">
        <w:rPr>
          <w:b w:val="1"/>
          <w:bCs w:val="1"/>
          <w:rtl w:val="0"/>
        </w:rPr>
        <w:t xml:space="preserve">Validar la métrica de calidad: </w:t>
      </w:r>
      <w:r w:rsidDel="00000000" w:rsidR="00000000" w:rsidRPr="00000000">
        <w:rPr>
          <w:rtl w:val="0"/>
        </w:rPr>
        <w:t xml:space="preserve">Utilizar el metascore y el metascore_sentiment del archivo games.csv para categorizar los juegos según su recepción.</w:t>
      </w:r>
    </w:p>
    <w:p w:rsidR="00000000" w:rsidDel="00000000" w:rsidP="00000000" w:rsidRDefault="00000000" w:rsidRPr="00000000" w14:paraId="00000030">
      <w:pPr>
        <w:ind w:left="720" w:firstLine="0"/>
        <w:jc w:val="both"/>
        <w:rPr/>
      </w:pPr>
      <w:r w:rsidDel="00000000" w:rsidR="00000000" w:rsidRPr="00000000">
        <w:rPr>
          <w:b w:val="1"/>
          <w:bCs w:val="1"/>
          <w:rtl w:val="0"/>
        </w:rPr>
        <w:t xml:space="preserve">Análisis de Correlación Regional: </w:t>
      </w:r>
      <w:r w:rsidDel="00000000" w:rsidR="00000000" w:rsidRPr="00000000">
        <w:rPr>
          <w:rtl w:val="0"/>
        </w:rPr>
        <w:t xml:space="preserve">Investigar si mercados con preferencias culturales específicas, como el japonés, muestran una correlación más débil con el metascore en comparación con los mercados occidentales.</w:t>
      </w:r>
    </w:p>
    <w:p w:rsidR="00000000" w:rsidDel="00000000" w:rsidP="00000000" w:rsidRDefault="00000000" w:rsidRPr="00000000" w14:paraId="00000031">
      <w:pPr>
        <w:ind w:left="720" w:firstLine="0"/>
        <w:jc w:val="both"/>
        <w:rPr/>
      </w:pPr>
      <w:r w:rsidDel="00000000" w:rsidR="00000000" w:rsidRPr="00000000">
        <w:rPr>
          <w:b w:val="1"/>
          <w:bCs w:val="1"/>
          <w:rtl w:val="0"/>
        </w:rPr>
        <w:t xml:space="preserve">Influencia del volumen de críticas: </w:t>
      </w:r>
      <w:r w:rsidDel="00000000" w:rsidR="00000000" w:rsidRPr="00000000">
        <w:rPr>
          <w:rtl w:val="0"/>
        </w:rPr>
        <w:t xml:space="preserve">Determinar si el éxito comercial está más relacionado con la nota en sí o con el volumen de reseñas (metascore_count), que actúa como indicador de la popularidad o el "hype" generado en torno a un título.</w:t>
      </w:r>
    </w:p>
    <w:p w:rsidR="00000000" w:rsidDel="00000000" w:rsidP="00000000" w:rsidRDefault="00000000" w:rsidRPr="00000000" w14:paraId="00000032">
      <w:pPr>
        <w:pStyle w:val="Heading2"/>
        <w:ind w:left="720" w:firstLine="0"/>
        <w:jc w:val="both"/>
        <w:rPr/>
      </w:pPr>
      <w:bookmarkStart w:colFirst="0" w:colLast="0" w:name="_fahlgaw9vu36" w:id="10"/>
      <w:bookmarkEnd w:id="10"/>
      <w:r w:rsidDel="00000000" w:rsidR="00000000" w:rsidRPr="00000000">
        <w:rPr>
          <w:rtl w:val="0"/>
        </w:rPr>
        <w:t xml:space="preserve">1.4 Justificación del uso del Dataset</w:t>
      </w:r>
    </w:p>
    <w:p w:rsidR="00000000" w:rsidDel="00000000" w:rsidP="00000000" w:rsidRDefault="00000000" w:rsidRPr="00000000" w14:paraId="00000033">
      <w:pPr>
        <w:ind w:left="720" w:firstLine="0"/>
        <w:jc w:val="both"/>
        <w:rPr/>
      </w:pPr>
      <w:r w:rsidDel="00000000" w:rsidR="00000000" w:rsidRPr="00000000">
        <w:rPr>
          <w:rtl w:val="0"/>
        </w:rPr>
        <w:t xml:space="preserve">El archivo games.csv es fundamental para este planteamiento ya que permite desglosar la valoración por plataformas y sentimientos, lo que facilita identificar si la correlación "Calidad-Ventas" es más fuerte en consolas específicas o en determinados géneros.</w:t>
      </w:r>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pStyle w:val="Heading1"/>
        <w:jc w:val="both"/>
        <w:rPr>
          <w:sz w:val="36"/>
          <w:szCs w:val="36"/>
        </w:rPr>
      </w:pPr>
      <w:bookmarkStart w:colFirst="0" w:colLast="0" w:name="_3ipc0e3xbrb7" w:id="11"/>
      <w:bookmarkEnd w:id="11"/>
      <w:r w:rsidDel="00000000" w:rsidR="00000000" w:rsidRPr="00000000">
        <w:rPr>
          <w:rtl w:val="0"/>
        </w:rPr>
        <w:t xml:space="preserve">2. Planteamiento de Hipótesis</w:t>
      </w:r>
      <w:r w:rsidDel="00000000" w:rsidR="00000000" w:rsidRPr="00000000">
        <w:rPr>
          <w:rtl w:val="0"/>
        </w:rPr>
      </w:r>
    </w:p>
    <w:p w:rsidR="00000000" w:rsidDel="00000000" w:rsidP="00000000" w:rsidRDefault="00000000" w:rsidRPr="00000000" w14:paraId="00000036">
      <w:pPr>
        <w:spacing w:after="24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Tras la definición del problema, se establecen las siguientes hipótesis de trabajo que guiarán la fase de análisis exploratorio (EDA) y el modelado estadístico:</w:t>
      </w:r>
    </w:p>
    <w:p w:rsidR="00000000" w:rsidDel="00000000" w:rsidP="00000000" w:rsidRDefault="00000000" w:rsidRPr="00000000" w14:paraId="00000037">
      <w:pPr>
        <w:pStyle w:val="Heading2"/>
        <w:spacing w:after="80" w:before="0" w:line="276" w:lineRule="auto"/>
        <w:ind w:left="720" w:hanging="360"/>
        <w:jc w:val="both"/>
        <w:rPr/>
      </w:pPr>
      <w:bookmarkStart w:colFirst="0" w:colLast="0" w:name="_71mnyxabnsa4" w:id="12"/>
      <w:bookmarkEnd w:id="12"/>
      <w:r w:rsidDel="00000000" w:rsidR="00000000" w:rsidRPr="00000000">
        <w:rPr>
          <w:rtl w:val="0"/>
        </w:rPr>
        <w:t xml:space="preserve">2.1 Hipótesis Principal: Correlación Global</w:t>
      </w:r>
    </w:p>
    <w:p w:rsidR="00000000" w:rsidDel="00000000" w:rsidP="00000000" w:rsidRDefault="00000000" w:rsidRPr="00000000" w14:paraId="00000038">
      <w:pPr>
        <w:spacing w:after="240" w:before="0" w:line="276" w:lineRule="auto"/>
        <w:ind w:left="600" w:right="600" w:firstLine="0"/>
        <w:jc w:val="both"/>
        <w:rPr>
          <w:rFonts w:ascii="Arial" w:cs="Arial" w:eastAsia="Arial" w:hAnsi="Arial"/>
        </w:rPr>
      </w:pPr>
      <w:r w:rsidDel="00000000" w:rsidR="00000000" w:rsidRPr="00000000">
        <w:rPr>
          <w:rFonts w:ascii="Arial" w:cs="Arial" w:eastAsia="Arial" w:hAnsi="Arial"/>
          <w:b w:val="1"/>
          <w:bCs w:val="1"/>
          <w:rtl w:val="0"/>
        </w:rPr>
        <w:t xml:space="preserve">H1: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Existe una correlación positiva moderada-fuerte entre el </w:t>
      </w:r>
      <w:r w:rsidDel="00000000" w:rsidR="00000000" w:rsidRPr="00000000">
        <w:rPr>
          <w:rFonts w:ascii="Arial" w:cs="Arial" w:eastAsia="Arial" w:hAnsi="Arial"/>
          <w:color w:val="188038"/>
          <w:rtl w:val="0"/>
        </w:rPr>
        <w:t xml:space="preserve">metascore</w:t>
      </w:r>
      <w:r w:rsidDel="00000000" w:rsidR="00000000" w:rsidRPr="00000000">
        <w:rPr>
          <w:rFonts w:ascii="Arial" w:cs="Arial" w:eastAsia="Arial" w:hAnsi="Arial"/>
          <w:rtl w:val="0"/>
        </w:rPr>
        <w:t xml:space="preserve"> de la crítica profesional y las ventas globales de los videojuegos.</w:t>
      </w:r>
    </w:p>
    <w:p w:rsidR="00000000" w:rsidDel="00000000" w:rsidP="00000000" w:rsidRDefault="00000000" w:rsidRPr="00000000" w14:paraId="00000039">
      <w:pPr>
        <w:numPr>
          <w:ilvl w:val="0"/>
          <w:numId w:val="1"/>
        </w:numPr>
        <w:spacing w:after="0" w:afterAutospacing="0" w:before="0" w:line="276" w:lineRule="auto"/>
        <w:ind w:left="720" w:hanging="360"/>
        <w:jc w:val="both"/>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Se asume que la crítica especializada actúa como un filtro de calidad que influye directamente en la intención de compra de los consumidores a nivel mundial.</w:t>
      </w:r>
    </w:p>
    <w:p w:rsidR="00000000" w:rsidDel="00000000" w:rsidP="00000000" w:rsidRDefault="00000000" w:rsidRPr="00000000" w14:paraId="0000003A">
      <w:pPr>
        <w:numPr>
          <w:ilvl w:val="0"/>
          <w:numId w:val="1"/>
        </w:numPr>
        <w:spacing w:after="240" w:before="0" w:line="276" w:lineRule="auto"/>
        <w:ind w:left="720" w:hanging="360"/>
        <w:jc w:val="both"/>
      </w:pPr>
      <w:r w:rsidDel="00000000" w:rsidR="00000000" w:rsidRPr="00000000">
        <w:rPr>
          <w:rFonts w:ascii="Arial" w:cs="Arial" w:eastAsia="Arial" w:hAnsi="Arial"/>
          <w:b w:val="1"/>
          <w:bCs w:val="1"/>
          <w:rtl w:val="0"/>
        </w:rPr>
        <w:t xml:space="preserve">Verificación:</w:t>
      </w:r>
      <w:r w:rsidDel="00000000" w:rsidR="00000000" w:rsidRPr="00000000">
        <w:rPr>
          <w:rFonts w:ascii="Arial" w:cs="Arial" w:eastAsia="Arial" w:hAnsi="Arial"/>
          <w:rtl w:val="0"/>
        </w:rPr>
        <w:t xml:space="preserve"> Se utilizará el coeficiente de correlación de Pearson ($r$) sobre el conjunto de datos integrado.</w:t>
      </w:r>
    </w:p>
    <w:p w:rsidR="00000000" w:rsidDel="00000000" w:rsidP="00000000" w:rsidRDefault="00000000" w:rsidRPr="00000000" w14:paraId="0000003B">
      <w:pPr>
        <w:pStyle w:val="Heading2"/>
        <w:spacing w:after="80" w:before="0" w:line="276" w:lineRule="auto"/>
        <w:ind w:left="720" w:hanging="360"/>
        <w:jc w:val="both"/>
        <w:rPr/>
      </w:pPr>
      <w:bookmarkStart w:colFirst="0" w:colLast="0" w:name="_z9bhumdhi5uc" w:id="13"/>
      <w:bookmarkEnd w:id="13"/>
      <w:r w:rsidDel="00000000" w:rsidR="00000000" w:rsidRPr="00000000">
        <w:rPr>
          <w:rtl w:val="0"/>
        </w:rPr>
        <w:t xml:space="preserve">2.2 Hipótesis Regional: Divergencia Continental</w:t>
      </w:r>
    </w:p>
    <w:p w:rsidR="00000000" w:rsidDel="00000000" w:rsidP="00000000" w:rsidRDefault="00000000" w:rsidRPr="00000000" w14:paraId="0000003C">
      <w:pPr>
        <w:spacing w:after="240" w:before="0" w:line="276" w:lineRule="auto"/>
        <w:ind w:left="600" w:right="600" w:firstLine="0"/>
        <w:jc w:val="both"/>
        <w:rPr>
          <w:rFonts w:ascii="Arial" w:cs="Arial" w:eastAsia="Arial" w:hAnsi="Arial"/>
        </w:rPr>
      </w:pPr>
      <w:r w:rsidDel="00000000" w:rsidR="00000000" w:rsidRPr="00000000">
        <w:rPr>
          <w:rFonts w:ascii="Arial" w:cs="Arial" w:eastAsia="Arial" w:hAnsi="Arial"/>
          <w:b w:val="1"/>
          <w:bCs w:val="1"/>
          <w:rtl w:val="0"/>
        </w:rPr>
        <w:t xml:space="preserve">H2:</w:t>
      </w:r>
      <w:r w:rsidDel="00000000" w:rsidR="00000000" w:rsidRPr="00000000">
        <w:rPr>
          <w:rFonts w:ascii="Arial" w:cs="Arial" w:eastAsia="Arial" w:hAnsi="Arial"/>
          <w:rtl w:val="0"/>
        </w:rPr>
        <w:t xml:space="preserve"> La influencia de la crítica profesional es significativamente menor en el mercado japonés (</w:t>
      </w:r>
      <w:r w:rsidDel="00000000" w:rsidR="00000000" w:rsidRPr="00000000">
        <w:rPr>
          <w:rFonts w:ascii="Arial" w:cs="Arial" w:eastAsia="Arial" w:hAnsi="Arial"/>
          <w:color w:val="188038"/>
          <w:rtl w:val="0"/>
        </w:rPr>
        <w:t xml:space="preserve">JP_Sales</w:t>
      </w:r>
      <w:r w:rsidDel="00000000" w:rsidR="00000000" w:rsidRPr="00000000">
        <w:rPr>
          <w:rFonts w:ascii="Arial" w:cs="Arial" w:eastAsia="Arial" w:hAnsi="Arial"/>
          <w:rtl w:val="0"/>
        </w:rPr>
        <w:t xml:space="preserve">) en comparación con los mercados norteamericano (</w:t>
      </w:r>
      <w:r w:rsidDel="00000000" w:rsidR="00000000" w:rsidRPr="00000000">
        <w:rPr>
          <w:rFonts w:ascii="Arial" w:cs="Arial" w:eastAsia="Arial" w:hAnsi="Arial"/>
          <w:color w:val="188038"/>
          <w:rtl w:val="0"/>
        </w:rPr>
        <w:t xml:space="preserve">NA_Sales</w:t>
      </w:r>
      <w:r w:rsidDel="00000000" w:rsidR="00000000" w:rsidRPr="00000000">
        <w:rPr>
          <w:rFonts w:ascii="Arial" w:cs="Arial" w:eastAsia="Arial" w:hAnsi="Arial"/>
          <w:rtl w:val="0"/>
        </w:rPr>
        <w:t xml:space="preserve">) y europeo (</w:t>
      </w:r>
      <w:r w:rsidDel="00000000" w:rsidR="00000000" w:rsidRPr="00000000">
        <w:rPr>
          <w:rFonts w:ascii="Arial" w:cs="Arial" w:eastAsia="Arial" w:hAnsi="Arial"/>
          <w:color w:val="188038"/>
          <w:rtl w:val="0"/>
        </w:rPr>
        <w:t xml:space="preserve">EU_Sales</w:t>
      </w:r>
      <w:r w:rsidDel="00000000" w:rsidR="00000000" w:rsidRPr="00000000">
        <w:rPr>
          <w:rFonts w:ascii="Arial" w:cs="Arial" w:eastAsia="Arial" w:hAnsi="Arial"/>
          <w:rtl w:val="0"/>
        </w:rPr>
        <w:t xml:space="preserve">).</w:t>
      </w:r>
    </w:p>
    <w:p w:rsidR="00000000" w:rsidDel="00000000" w:rsidP="00000000" w:rsidRDefault="00000000" w:rsidRPr="00000000" w14:paraId="0000003D">
      <w:pPr>
        <w:numPr>
          <w:ilvl w:val="0"/>
          <w:numId w:val="3"/>
        </w:numPr>
        <w:spacing w:after="0" w:afterAutospacing="0" w:before="0" w:line="276" w:lineRule="auto"/>
        <w:ind w:left="720" w:hanging="360"/>
        <w:jc w:val="both"/>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Las preferencias culturales, el peso de los géneros locales (como los JRPG) y la lealtad a marcas nacionales en Japón podrían hacer que las notas de los medios occidentales tengan un impacto menor en las ventas de esa región.</w:t>
      </w:r>
    </w:p>
    <w:p w:rsidR="00000000" w:rsidDel="00000000" w:rsidP="00000000" w:rsidRDefault="00000000" w:rsidRPr="00000000" w14:paraId="0000003E">
      <w:pPr>
        <w:numPr>
          <w:ilvl w:val="0"/>
          <w:numId w:val="3"/>
        </w:numPr>
        <w:spacing w:after="240" w:before="0" w:line="276" w:lineRule="auto"/>
        <w:ind w:left="720" w:hanging="360"/>
        <w:jc w:val="both"/>
      </w:pPr>
      <w:r w:rsidDel="00000000" w:rsidR="00000000" w:rsidRPr="00000000">
        <w:rPr>
          <w:rFonts w:ascii="Arial" w:cs="Arial" w:eastAsia="Arial" w:hAnsi="Arial"/>
          <w:b w:val="1"/>
          <w:bCs w:val="1"/>
          <w:rtl w:val="0"/>
        </w:rPr>
        <w:t xml:space="preserve">Verificación:</w:t>
      </w:r>
      <w:r w:rsidDel="00000000" w:rsidR="00000000" w:rsidRPr="00000000">
        <w:rPr>
          <w:rFonts w:ascii="Arial" w:cs="Arial" w:eastAsia="Arial" w:hAnsi="Arial"/>
          <w:rtl w:val="0"/>
        </w:rPr>
        <w:t xml:space="preserve"> Comparación de los coeficientes de correlación regionales</w:t>
      </w:r>
    </w:p>
    <w:p w:rsidR="00000000" w:rsidDel="00000000" w:rsidP="00000000" w:rsidRDefault="00000000" w:rsidRPr="00000000" w14:paraId="0000003F">
      <w:pPr>
        <w:pStyle w:val="Heading2"/>
        <w:spacing w:after="80" w:before="0" w:line="276" w:lineRule="auto"/>
        <w:ind w:left="720" w:hanging="360"/>
        <w:jc w:val="both"/>
        <w:rPr/>
      </w:pPr>
      <w:bookmarkStart w:colFirst="0" w:colLast="0" w:name="_fh9c1ljrzbse" w:id="14"/>
      <w:bookmarkEnd w:id="14"/>
      <w:r w:rsidDel="00000000" w:rsidR="00000000" w:rsidRPr="00000000">
        <w:rPr>
          <w:rtl w:val="0"/>
        </w:rPr>
        <w:t xml:space="preserve">2.3 Hipótesis Secundaria: El peso del Consumidor</w:t>
      </w:r>
    </w:p>
    <w:p w:rsidR="00000000" w:rsidDel="00000000" w:rsidP="00000000" w:rsidRDefault="00000000" w:rsidRPr="00000000" w14:paraId="00000040">
      <w:pPr>
        <w:spacing w:after="240" w:before="0" w:line="276" w:lineRule="auto"/>
        <w:ind w:left="600" w:right="600" w:firstLine="0"/>
        <w:jc w:val="both"/>
        <w:rPr>
          <w:rFonts w:ascii="Arial" w:cs="Arial" w:eastAsia="Arial" w:hAnsi="Arial"/>
          <w:i w:val="1"/>
          <w:iCs w:val="1"/>
        </w:rPr>
      </w:pPr>
      <w:r w:rsidDel="00000000" w:rsidR="00000000" w:rsidRPr="00000000">
        <w:rPr>
          <w:rFonts w:ascii="Arial" w:cs="Arial" w:eastAsia="Arial" w:hAnsi="Arial"/>
          <w:b w:val="1"/>
          <w:bCs w:val="1"/>
          <w:rtl w:val="0"/>
        </w:rPr>
        <w:t xml:space="preserve">H3:</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El volumen de reseñas de los críticos (</w:t>
      </w:r>
      <w:r w:rsidDel="00000000" w:rsidR="00000000" w:rsidRPr="00000000">
        <w:rPr>
          <w:rFonts w:ascii="Arial" w:cs="Arial" w:eastAsia="Arial" w:hAnsi="Arial"/>
          <w:i w:val="1"/>
          <w:iCs w:val="1"/>
          <w:color w:val="188038"/>
          <w:rtl w:val="0"/>
        </w:rPr>
        <w:t xml:space="preserve">metascore_count</w:t>
      </w:r>
      <w:r w:rsidDel="00000000" w:rsidR="00000000" w:rsidRPr="00000000">
        <w:rPr>
          <w:rFonts w:ascii="Arial" w:cs="Arial" w:eastAsia="Arial" w:hAnsi="Arial"/>
          <w:i w:val="1"/>
          <w:iCs w:val="1"/>
          <w:rtl w:val="0"/>
        </w:rPr>
        <w:t xml:space="preserve">) tiene una correlación con las ventas globales superior a la de la nota numérica en sí (</w:t>
      </w:r>
      <w:r w:rsidDel="00000000" w:rsidR="00000000" w:rsidRPr="00000000">
        <w:rPr>
          <w:rFonts w:ascii="Arial" w:cs="Arial" w:eastAsia="Arial" w:hAnsi="Arial"/>
          <w:i w:val="1"/>
          <w:iCs w:val="1"/>
          <w:color w:val="188038"/>
          <w:rtl w:val="0"/>
        </w:rPr>
        <w:t xml:space="preserve">metascore</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041">
      <w:pPr>
        <w:numPr>
          <w:ilvl w:val="0"/>
          <w:numId w:val="6"/>
        </w:numPr>
        <w:spacing w:after="0" w:afterAutospacing="0" w:before="0" w:line="276" w:lineRule="auto"/>
        <w:ind w:left="720" w:hanging="360"/>
        <w:jc w:val="both"/>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Un alto número de críticas suele ser indicador de un título AAA con gran presupuesto de marketing, lo que podría garantizar mayores ventas independientemente de si la nota final es excelente o simplemente aceptable.</w:t>
      </w:r>
    </w:p>
    <w:p w:rsidR="00000000" w:rsidDel="00000000" w:rsidP="00000000" w:rsidRDefault="00000000" w:rsidRPr="00000000" w14:paraId="00000042">
      <w:pPr>
        <w:numPr>
          <w:ilvl w:val="0"/>
          <w:numId w:val="6"/>
        </w:numPr>
        <w:spacing w:after="240" w:before="0" w:line="276" w:lineRule="auto"/>
        <w:ind w:left="720" w:hanging="360"/>
        <w:jc w:val="both"/>
      </w:pPr>
      <w:r w:rsidDel="00000000" w:rsidR="00000000" w:rsidRPr="00000000">
        <w:rPr>
          <w:rFonts w:ascii="Arial" w:cs="Arial" w:eastAsia="Arial" w:hAnsi="Arial"/>
          <w:b w:val="1"/>
          <w:bCs w:val="1"/>
          <w:rtl w:val="0"/>
        </w:rPr>
        <w:t xml:space="preserve">Verificación:</w:t>
      </w:r>
      <w:r w:rsidDel="00000000" w:rsidR="00000000" w:rsidRPr="00000000">
        <w:rPr>
          <w:rFonts w:ascii="Arial" w:cs="Arial" w:eastAsia="Arial" w:hAnsi="Arial"/>
          <w:rtl w:val="0"/>
        </w:rPr>
        <w:t xml:space="preserve"> Comparación de la fuerza de correlación de ambas variables contra </w:t>
      </w:r>
      <w:r w:rsidDel="00000000" w:rsidR="00000000" w:rsidRPr="00000000">
        <w:rPr>
          <w:rFonts w:ascii="Arial" w:cs="Arial" w:eastAsia="Arial" w:hAnsi="Arial"/>
          <w:color w:val="188038"/>
          <w:rtl w:val="0"/>
        </w:rPr>
        <w:t xml:space="preserve">Global_Sales</w:t>
      </w:r>
      <w:r w:rsidDel="00000000" w:rsidR="00000000" w:rsidRPr="00000000">
        <w:rPr>
          <w:rFonts w:ascii="Arial" w:cs="Arial" w:eastAsia="Arial" w:hAnsi="Arial"/>
          <w:rtl w:val="0"/>
        </w:rPr>
        <w:t xml:space="preserve">.</w:t>
      </w:r>
    </w:p>
    <w:p w:rsidR="00000000" w:rsidDel="00000000" w:rsidP="00000000" w:rsidRDefault="00000000" w:rsidRPr="00000000" w14:paraId="00000043">
      <w:pPr>
        <w:pStyle w:val="Heading1"/>
        <w:spacing w:after="80" w:before="0" w:line="276" w:lineRule="auto"/>
        <w:ind w:firstLine="0"/>
        <w:jc w:val="both"/>
        <w:rPr/>
      </w:pPr>
      <w:bookmarkStart w:colFirst="0" w:colLast="0" w:name="_c303vvqgy9jq" w:id="15"/>
      <w:bookmarkEnd w:id="15"/>
      <w:r w:rsidDel="00000000" w:rsidR="00000000" w:rsidRPr="00000000">
        <w:rPr>
          <w:rtl w:val="0"/>
        </w:rPr>
        <w:t xml:space="preserve">3. Metodología de Validación</w:t>
      </w:r>
    </w:p>
    <w:p w:rsidR="00000000" w:rsidDel="00000000" w:rsidP="00000000" w:rsidRDefault="00000000" w:rsidRPr="00000000" w14:paraId="00000044">
      <w:pPr>
        <w:spacing w:after="240" w:before="0" w:line="276" w:lineRule="auto"/>
        <w:jc w:val="both"/>
        <w:rPr>
          <w:rFonts w:ascii="Arial" w:cs="Arial" w:eastAsia="Arial" w:hAnsi="Arial"/>
        </w:rPr>
      </w:pPr>
      <w:r w:rsidDel="00000000" w:rsidR="00000000" w:rsidRPr="00000000">
        <w:rPr>
          <w:rFonts w:ascii="Arial" w:cs="Arial" w:eastAsia="Arial" w:hAnsi="Arial"/>
          <w:rtl w:val="0"/>
        </w:rPr>
        <w:t xml:space="preserve">Para verificar estas hipótesis, el análisis seguirá el siguiente rigor estadístico:</w:t>
      </w:r>
    </w:p>
    <w:p w:rsidR="00000000" w:rsidDel="00000000" w:rsidP="00000000" w:rsidRDefault="00000000" w:rsidRPr="00000000" w14:paraId="00000045">
      <w:pPr>
        <w:pStyle w:val="Heading2"/>
        <w:numPr>
          <w:ilvl w:val="0"/>
          <w:numId w:val="12"/>
        </w:numPr>
        <w:spacing w:after="240" w:before="0" w:line="276" w:lineRule="auto"/>
        <w:ind w:left="720" w:hanging="360"/>
      </w:pPr>
      <w:bookmarkStart w:colFirst="0" w:colLast="0" w:name="_wp93lnv5fkz3" w:id="16"/>
      <w:bookmarkEnd w:id="16"/>
      <w:r w:rsidDel="00000000" w:rsidR="00000000" w:rsidRPr="00000000">
        <w:rPr>
          <w:b w:val="1"/>
          <w:bCs w:val="1"/>
          <w:rtl w:val="0"/>
        </w:rPr>
        <w:t xml:space="preserve">Coeficiente de Correlación de Pearson (r):</w:t>
      </w:r>
      <w:r w:rsidDel="00000000" w:rsidR="00000000" w:rsidRPr="00000000">
        <w:rPr>
          <w:rtl w:val="0"/>
        </w:rPr>
        <w:t xml:space="preserve"> </w:t>
      </w:r>
    </w:p>
    <w:p w:rsidR="00000000" w:rsidDel="00000000" w:rsidP="00000000" w:rsidRDefault="00000000" w:rsidRPr="00000000" w14:paraId="00000046">
      <w:pPr>
        <w:spacing w:after="240" w:before="0" w:line="276" w:lineRule="auto"/>
        <w:ind w:left="720" w:firstLine="0"/>
        <w:rPr>
          <w:rFonts w:ascii="Arial" w:cs="Arial" w:eastAsia="Arial" w:hAnsi="Arial"/>
        </w:rPr>
      </w:pPr>
      <w:r w:rsidDel="00000000" w:rsidR="00000000" w:rsidRPr="00000000">
        <w:rPr>
          <w:rFonts w:ascii="Arial" w:cs="Arial" w:eastAsia="Arial" w:hAnsi="Arial"/>
          <w:rtl w:val="0"/>
        </w:rPr>
        <w:t xml:space="preserve">Para medir la fuerza de la relación lineal. Se define la escala de interpretación:</w:t>
      </w:r>
    </w:p>
    <w:p w:rsidR="00000000" w:rsidDel="00000000" w:rsidP="00000000" w:rsidRDefault="00000000" w:rsidRPr="00000000" w14:paraId="00000047">
      <w:pPr>
        <w:numPr>
          <w:ilvl w:val="1"/>
          <w:numId w:val="12"/>
        </w:numPr>
        <w:spacing w:after="0" w:afterAutospacing="0" w:before="0" w:line="276" w:lineRule="auto"/>
        <w:ind w:left="1440" w:hanging="360"/>
      </w:pPr>
      <w:r w:rsidDel="00000000" w:rsidR="00000000" w:rsidRPr="00000000">
        <w:rPr>
          <w:rFonts w:ascii="Arial" w:cs="Arial" w:eastAsia="Arial" w:hAnsi="Arial"/>
          <w:rtl w:val="0"/>
        </w:rPr>
        <w:t xml:space="preserve">|r| &gt; 0.7$: Correlación fuerte.</w:t>
      </w:r>
    </w:p>
    <w:p w:rsidR="00000000" w:rsidDel="00000000" w:rsidP="00000000" w:rsidRDefault="00000000" w:rsidRPr="00000000" w14:paraId="00000048">
      <w:pPr>
        <w:numPr>
          <w:ilvl w:val="1"/>
          <w:numId w:val="12"/>
        </w:numPr>
        <w:spacing w:after="0" w:afterAutospacing="0" w:before="0" w:line="276" w:lineRule="auto"/>
        <w:ind w:left="1440" w:hanging="360"/>
      </w:pPr>
      <w:r w:rsidDel="00000000" w:rsidR="00000000" w:rsidRPr="00000000">
        <w:rPr>
          <w:rFonts w:ascii="Arial" w:cs="Arial" w:eastAsia="Arial" w:hAnsi="Arial"/>
          <w:rtl w:val="0"/>
        </w:rPr>
        <w:t xml:space="preserve">0.4 &lt; |r| &lt; 0.7: Correlación moderada.</w:t>
      </w:r>
    </w:p>
    <w:p w:rsidR="00000000" w:rsidDel="00000000" w:rsidP="00000000" w:rsidRDefault="00000000" w:rsidRPr="00000000" w14:paraId="00000049">
      <w:pPr>
        <w:numPr>
          <w:ilvl w:val="1"/>
          <w:numId w:val="12"/>
        </w:numPr>
        <w:spacing w:after="240" w:before="0" w:line="276" w:lineRule="auto"/>
        <w:ind w:left="1440" w:hanging="360"/>
      </w:pPr>
      <w:r w:rsidDel="00000000" w:rsidR="00000000" w:rsidRPr="00000000">
        <w:rPr>
          <w:rFonts w:ascii="Arial" w:cs="Arial" w:eastAsia="Arial" w:hAnsi="Arial"/>
          <w:rtl w:val="0"/>
        </w:rPr>
        <w:t xml:space="preserve">|r| &lt; 0.4: Correlación débil.</w:t>
      </w:r>
    </w:p>
    <w:p w:rsidR="00000000" w:rsidDel="00000000" w:rsidP="00000000" w:rsidRDefault="00000000" w:rsidRPr="00000000" w14:paraId="0000004A">
      <w:pPr>
        <w:spacing w:after="24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2"/>
        <w:numPr>
          <w:ilvl w:val="0"/>
          <w:numId w:val="12"/>
        </w:numPr>
        <w:spacing w:after="240" w:before="0" w:line="276" w:lineRule="auto"/>
        <w:ind w:left="720" w:hanging="360"/>
      </w:pPr>
      <w:bookmarkStart w:colFirst="0" w:colLast="0" w:name="_v3xv6sat488u" w:id="17"/>
      <w:bookmarkEnd w:id="17"/>
      <w:r w:rsidDel="00000000" w:rsidR="00000000" w:rsidRPr="00000000">
        <w:rPr>
          <w:rtl w:val="0"/>
        </w:rPr>
        <w:t xml:space="preserve">Análisis de Regresión:</w:t>
      </w:r>
    </w:p>
    <w:p w:rsidR="00000000" w:rsidDel="00000000" w:rsidP="00000000" w:rsidRDefault="00000000" w:rsidRPr="00000000" w14:paraId="0000004C">
      <w:pPr>
        <w:spacing w:after="240" w:before="0" w:line="276" w:lineRule="auto"/>
        <w:ind w:left="720" w:firstLine="0"/>
        <w:rPr>
          <w:rFonts w:ascii="Arial" w:cs="Arial" w:eastAsia="Arial" w:hAnsi="Arial"/>
        </w:rPr>
      </w:pPr>
      <w:r w:rsidDel="00000000" w:rsidR="00000000" w:rsidRPr="00000000">
        <w:rPr>
          <w:rFonts w:ascii="Arial" w:cs="Arial" w:eastAsia="Arial" w:hAnsi="Arial"/>
          <w:rtl w:val="0"/>
        </w:rPr>
        <w:t xml:space="preserve">Para cuantificar la relación entre la calidad y el éxito comercial, utilizaremos el modelo de regresión lineal simple expresado en la siguiente ecuación:</w:t>
      </w:r>
    </w:p>
    <w:p w:rsidR="00000000" w:rsidDel="00000000" w:rsidP="00000000" w:rsidRDefault="00000000" w:rsidRPr="00000000" w14:paraId="0000004D">
      <w:pPr>
        <w:spacing w:after="240"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843213" cy="5269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43213" cy="5269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0" w:line="276" w:lineRule="auto"/>
        <w:ind w:left="720" w:firstLine="0"/>
        <w:jc w:val="left"/>
        <w:rPr>
          <w:rFonts w:ascii="Arial" w:cs="Arial" w:eastAsia="Arial" w:hAnsi="Arial"/>
        </w:rPr>
      </w:pPr>
      <w:r w:rsidDel="00000000" w:rsidR="00000000" w:rsidRPr="00000000">
        <w:rPr>
          <w:rFonts w:ascii="Arial" w:cs="Arial" w:eastAsia="Arial" w:hAnsi="Arial"/>
          <w:rtl w:val="0"/>
        </w:rPr>
        <w:t xml:space="preserve">Esta fórmula nos permite entender cómo se comportan las ventas en función de la nota de Metacritic.</w:t>
      </w:r>
    </w:p>
    <w:p w:rsidR="00000000" w:rsidDel="00000000" w:rsidP="00000000" w:rsidRDefault="00000000" w:rsidRPr="00000000" w14:paraId="0000004F">
      <w:pPr>
        <w:numPr>
          <w:ilvl w:val="0"/>
          <w:numId w:val="13"/>
        </w:numPr>
        <w:spacing w:after="0" w:afterAutospacing="0" w:before="0" w:line="276" w:lineRule="auto"/>
        <w:ind w:left="720" w:hanging="360"/>
        <w:jc w:val="both"/>
      </w:pPr>
      <w:r w:rsidDel="00000000" w:rsidR="00000000" w:rsidRPr="00000000">
        <w:rPr>
          <w:rFonts w:ascii="Arial" w:cs="Arial" w:eastAsia="Arial" w:hAnsi="Arial"/>
          <w:b w:val="1"/>
          <w:bCs w:val="1"/>
          <w:rtl w:val="0"/>
        </w:rPr>
        <w:t xml:space="preserve">Ventas Region (Variable Dependiente):</w:t>
      </w:r>
      <w:r w:rsidDel="00000000" w:rsidR="00000000" w:rsidRPr="00000000">
        <w:rPr>
          <w:rFonts w:ascii="Arial" w:cs="Arial" w:eastAsia="Arial" w:hAnsi="Arial"/>
          <w:rtl w:val="0"/>
        </w:rPr>
        <w:t xml:space="preserve"> Es el valor que queremos predecir o explicar. Representa el volumen de copias vendidas (en millones) ya sea a nivel global o en un continente específico (NA, EU o JP).</w:t>
      </w:r>
    </w:p>
    <w:p w:rsidR="00000000" w:rsidDel="00000000" w:rsidP="00000000" w:rsidRDefault="00000000" w:rsidRPr="00000000" w14:paraId="00000050">
      <w:pPr>
        <w:numPr>
          <w:ilvl w:val="0"/>
          <w:numId w:val="13"/>
        </w:numPr>
        <w:spacing w:after="0" w:afterAutospacing="0" w:before="0" w:line="276" w:lineRule="auto"/>
        <w:ind w:left="720" w:hanging="360"/>
        <w:jc w:val="both"/>
      </w:pPr>
      <w:r w:rsidDel="00000000" w:rsidR="00000000" w:rsidRPr="00000000">
        <w:rPr>
          <w:rFonts w:ascii="Arial" w:cs="Arial" w:eastAsia="Arial" w:hAnsi="Arial"/>
          <w:b w:val="1"/>
          <w:bCs w:val="1"/>
          <w:rtl w:val="0"/>
        </w:rPr>
        <w:t xml:space="preserve">Metascore (Variable Independiente):</w:t>
      </w:r>
      <w:r w:rsidDel="00000000" w:rsidR="00000000" w:rsidRPr="00000000">
        <w:rPr>
          <w:rFonts w:ascii="Arial" w:cs="Arial" w:eastAsia="Arial" w:hAnsi="Arial"/>
          <w:rtl w:val="0"/>
        </w:rPr>
        <w:t xml:space="preserve"> Es el factor de influencia. Es la nota numérica (0-100) que el videojuego ha recibido por parte de la crítica especializada en el dataset </w:t>
      </w:r>
      <w:r w:rsidDel="00000000" w:rsidR="00000000" w:rsidRPr="00000000">
        <w:rPr>
          <w:rFonts w:ascii="Arial" w:cs="Arial" w:eastAsia="Arial" w:hAnsi="Arial"/>
          <w:color w:val="188038"/>
          <w:rtl w:val="0"/>
        </w:rPr>
        <w:t xml:space="preserve">games.csv</w:t>
      </w:r>
      <w:r w:rsidDel="00000000" w:rsidR="00000000" w:rsidRPr="00000000">
        <w:rPr>
          <w:rFonts w:ascii="Arial" w:cs="Arial" w:eastAsia="Arial" w:hAnsi="Arial"/>
          <w:rtl w:val="0"/>
        </w:rPr>
        <w:t xml:space="preserve">.</w:t>
      </w:r>
    </w:p>
    <w:p w:rsidR="00000000" w:rsidDel="00000000" w:rsidP="00000000" w:rsidRDefault="00000000" w:rsidRPr="00000000" w14:paraId="00000051">
      <w:pPr>
        <w:numPr>
          <w:ilvl w:val="0"/>
          <w:numId w:val="13"/>
        </w:numPr>
        <w:spacing w:after="0" w:afterAutospacing="0" w:before="0" w:line="276" w:lineRule="auto"/>
        <w:ind w:left="720" w:hanging="360"/>
        <w:jc w:val="both"/>
      </w:pPr>
      <w:r w:rsidDel="00000000" w:rsidR="00000000" w:rsidRPr="00000000">
        <w:rPr>
          <w:rFonts w:ascii="Arial" w:cs="Arial" w:eastAsia="Arial" w:hAnsi="Arial"/>
          <w:b w:val="1"/>
          <w:bCs w:val="1"/>
          <w:rtl w:val="0"/>
        </w:rPr>
        <w:t xml:space="preserve">beta_0 (Intersección o Constante):</w:t>
      </w:r>
      <w:r w:rsidDel="00000000" w:rsidR="00000000" w:rsidRPr="00000000">
        <w:rPr>
          <w:rFonts w:ascii="Arial" w:cs="Arial" w:eastAsia="Arial" w:hAnsi="Arial"/>
          <w:rtl w:val="0"/>
        </w:rPr>
        <w:t xml:space="preserve"> Es el valor esperado de ventas si el Metascore fuera cero. Matemáticamente es el punto donde la línea de regresión cruza el eje vertical, representando la base mínima de ventas de un título.</w:t>
      </w:r>
    </w:p>
    <w:p w:rsidR="00000000" w:rsidDel="00000000" w:rsidP="00000000" w:rsidRDefault="00000000" w:rsidRPr="00000000" w14:paraId="00000052">
      <w:pPr>
        <w:numPr>
          <w:ilvl w:val="0"/>
          <w:numId w:val="13"/>
        </w:numPr>
        <w:spacing w:after="0" w:afterAutospacing="0" w:before="0" w:line="276" w:lineRule="auto"/>
        <w:ind w:left="720" w:hanging="360"/>
        <w:jc w:val="both"/>
      </w:pPr>
      <w:r w:rsidDel="00000000" w:rsidR="00000000" w:rsidRPr="00000000">
        <w:rPr>
          <w:rFonts w:ascii="Arial" w:cs="Arial" w:eastAsia="Arial" w:hAnsi="Arial"/>
          <w:b w:val="1"/>
          <w:bCs w:val="1"/>
          <w:rtl w:val="0"/>
        </w:rPr>
        <w:t xml:space="preserve">beta_1 (Coeficiente de la Pendiente):</w:t>
      </w:r>
      <w:r w:rsidDel="00000000" w:rsidR="00000000" w:rsidRPr="00000000">
        <w:rPr>
          <w:rFonts w:ascii="Arial" w:cs="Arial" w:eastAsia="Arial" w:hAnsi="Arial"/>
          <w:rtl w:val="0"/>
        </w:rPr>
        <w:t xml:space="preserve"> Es el valor más crítico de nuestro análisis. Indica cuánto aumentan las ventas por cada punto adicional que sube el Metascore. Si beta_1 es mayor en Europa que en Japón, confirmaremos que la crítica tiene más "peso" comercial en el mercado europeo.</w:t>
      </w:r>
    </w:p>
    <w:p w:rsidR="00000000" w:rsidDel="00000000" w:rsidP="00000000" w:rsidRDefault="00000000" w:rsidRPr="00000000" w14:paraId="00000053">
      <w:pPr>
        <w:numPr>
          <w:ilvl w:val="0"/>
          <w:numId w:val="13"/>
        </w:numPr>
        <w:spacing w:after="240" w:before="0" w:line="276" w:lineRule="auto"/>
        <w:ind w:left="720" w:hanging="360"/>
        <w:jc w:val="both"/>
      </w:pPr>
      <w:r w:rsidDel="00000000" w:rsidR="00000000" w:rsidRPr="00000000">
        <w:rPr>
          <w:rFonts w:ascii="Arial" w:cs="Arial" w:eastAsia="Arial" w:hAnsi="Arial"/>
          <w:b w:val="1"/>
          <w:bCs w:val="1"/>
          <w:rtl w:val="0"/>
        </w:rPr>
        <w:t xml:space="preserve">e (Término de Error):</w:t>
      </w:r>
      <w:r w:rsidDel="00000000" w:rsidR="00000000" w:rsidRPr="00000000">
        <w:rPr>
          <w:rFonts w:ascii="Arial" w:cs="Arial" w:eastAsia="Arial" w:hAnsi="Arial"/>
          <w:rtl w:val="0"/>
        </w:rPr>
        <w:t xml:space="preserve"> Representa todos los factores que influyen en las ventas y que no son el Metascore (como el presupuesto de marketing, la popularidad de la consola o la fecha de lanzamiento). Es la diferencia entre la realidad y la predicción del modelo.</w:t>
      </w:r>
    </w:p>
    <w:p w:rsidR="00000000" w:rsidDel="00000000" w:rsidP="00000000" w:rsidRDefault="00000000" w:rsidRPr="00000000" w14:paraId="00000054">
      <w:pPr>
        <w:spacing w:after="240" w:before="0" w:line="276" w:lineRule="auto"/>
        <w:ind w:left="720" w:firstLine="0"/>
        <w:jc w:val="both"/>
        <w:rPr/>
      </w:pPr>
      <w:r w:rsidDel="00000000" w:rsidR="00000000" w:rsidRPr="00000000">
        <w:rPr>
          <w:rFonts w:ascii="Arial" w:cs="Arial" w:eastAsia="Arial" w:hAnsi="Arial"/>
          <w:rtl w:val="0"/>
        </w:rPr>
        <w:t xml:space="preserve">Este modelo se aplicará de forma independiente a cada región. Al comparar los resultados, buscaremos observar si la inclinación de la recta beta_1 varía significativamente, lo que nos permitiría concluir científicamente si un mercado es más sensible a las notas de la prensa que otro.</w:t>
      </w:r>
      <w:r w:rsidDel="00000000" w:rsidR="00000000" w:rsidRPr="00000000">
        <w:rPr>
          <w:rtl w:val="0"/>
        </w:rPr>
      </w:r>
    </w:p>
    <w:p w:rsidR="00000000" w:rsidDel="00000000" w:rsidP="00000000" w:rsidRDefault="00000000" w:rsidRPr="00000000" w14:paraId="00000055">
      <w:pPr>
        <w:pStyle w:val="Heading2"/>
        <w:numPr>
          <w:ilvl w:val="0"/>
          <w:numId w:val="12"/>
        </w:numPr>
        <w:spacing w:after="240" w:before="0" w:line="276" w:lineRule="auto"/>
        <w:ind w:left="720" w:hanging="360"/>
      </w:pPr>
      <w:bookmarkStart w:colFirst="0" w:colLast="0" w:name="_op538kgbv054" w:id="18"/>
      <w:bookmarkEnd w:id="18"/>
      <w:r w:rsidDel="00000000" w:rsidR="00000000" w:rsidRPr="00000000">
        <w:rPr>
          <w:rtl w:val="0"/>
        </w:rPr>
        <w:t xml:space="preserve">Visualización Multivariante</w:t>
      </w:r>
    </w:p>
    <w:p w:rsidR="00000000" w:rsidDel="00000000" w:rsidP="00000000" w:rsidRDefault="00000000" w:rsidRPr="00000000" w14:paraId="00000056">
      <w:pPr>
        <w:spacing w:after="240" w:before="0" w:line="276" w:lineRule="auto"/>
        <w:ind w:left="720" w:firstLine="0"/>
        <w:rPr>
          <w:rFonts w:ascii="Arial" w:cs="Arial" w:eastAsia="Arial" w:hAnsi="Arial"/>
        </w:rPr>
      </w:pPr>
      <w:r w:rsidDel="00000000" w:rsidR="00000000" w:rsidRPr="00000000">
        <w:rPr>
          <w:rFonts w:ascii="Arial" w:cs="Arial" w:eastAsia="Arial" w:hAnsi="Arial"/>
          <w:rtl w:val="0"/>
        </w:rPr>
        <w:t xml:space="preserve">Uso de diagramas de dispersión segmentados por continente con líneas de ajuste de regresión para identificar visualmente la dispersión y los valores atípico</w:t>
      </w:r>
    </w:p>
    <w:p w:rsidR="00000000" w:rsidDel="00000000" w:rsidP="00000000" w:rsidRDefault="00000000" w:rsidRPr="00000000" w14:paraId="00000057">
      <w:pPr>
        <w:spacing w:after="240" w:before="0" w:line="276"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36449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9">
      <w:pPr>
        <w:pStyle w:val="Heading1"/>
        <w:jc w:val="both"/>
        <w:rPr/>
      </w:pPr>
      <w:bookmarkStart w:colFirst="0" w:colLast="0" w:name="_q9amonzatt6w" w:id="19"/>
      <w:bookmarkEnd w:id="19"/>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jc w:val="both"/>
        <w:rPr/>
      </w:pPr>
      <w:bookmarkStart w:colFirst="0" w:colLast="0" w:name="_vn33s94qk54k" w:id="20"/>
      <w:bookmarkEnd w:id="20"/>
      <w:r w:rsidDel="00000000" w:rsidR="00000000" w:rsidRPr="00000000">
        <w:rPr>
          <w:rtl w:val="0"/>
        </w:rPr>
        <w:t xml:space="preserve">4. Análisis exploratorio</w:t>
      </w:r>
    </w:p>
    <w:p w:rsidR="00000000" w:rsidDel="00000000" w:rsidP="00000000" w:rsidRDefault="00000000" w:rsidRPr="00000000" w14:paraId="0000005B">
      <w:pPr>
        <w:pStyle w:val="Heading2"/>
        <w:jc w:val="both"/>
        <w:rPr/>
      </w:pPr>
      <w:bookmarkStart w:colFirst="0" w:colLast="0" w:name="_5jgpwxdwd966" w:id="21"/>
      <w:bookmarkEnd w:id="21"/>
      <w:r w:rsidDel="00000000" w:rsidR="00000000" w:rsidRPr="00000000">
        <w:rPr>
          <w:rtl w:val="0"/>
        </w:rPr>
        <w:t xml:space="preserve">4.1 Análisis univariante </w:t>
      </w:r>
    </w:p>
    <w:p w:rsidR="00000000" w:rsidDel="00000000" w:rsidP="00000000" w:rsidRDefault="00000000" w:rsidRPr="00000000" w14:paraId="0000005C">
      <w:pPr>
        <w:ind w:left="720" w:firstLine="0"/>
        <w:jc w:val="both"/>
        <w:rPr/>
      </w:pPr>
      <w:r w:rsidDel="00000000" w:rsidR="00000000" w:rsidRPr="00000000">
        <w:rPr>
          <w:rtl w:val="0"/>
        </w:rPr>
        <w:t xml:space="preserve">El objetivo de este análisis es comprender la distribución, tendencia central y dispersión de las variables principales antes de buscar relaciones entre ellas.</w:t>
      </w:r>
    </w:p>
    <w:p w:rsidR="00000000" w:rsidDel="00000000" w:rsidP="00000000" w:rsidRDefault="00000000" w:rsidRPr="00000000" w14:paraId="0000005D">
      <w:pPr>
        <w:pStyle w:val="Heading3"/>
        <w:keepNext w:val="0"/>
        <w:keepLines w:val="0"/>
        <w:spacing w:after="40" w:before="240" w:lineRule="auto"/>
        <w:ind w:left="720" w:firstLine="0"/>
        <w:jc w:val="both"/>
        <w:rPr/>
      </w:pPr>
      <w:bookmarkStart w:colFirst="0" w:colLast="0" w:name="_w1gph6riebsw" w:id="22"/>
      <w:bookmarkEnd w:id="22"/>
      <w:r w:rsidDel="00000000" w:rsidR="00000000" w:rsidRPr="00000000">
        <w:rPr>
          <w:rtl w:val="0"/>
        </w:rPr>
        <w:t xml:space="preserve">4.1.1. Distribución del Metascore (Calidad)</w:t>
      </w:r>
    </w:p>
    <w:p w:rsidR="00000000" w:rsidDel="00000000" w:rsidP="00000000" w:rsidRDefault="00000000" w:rsidRPr="00000000" w14:paraId="0000005E">
      <w:pPr>
        <w:spacing w:after="240" w:before="240" w:lineRule="auto"/>
        <w:ind w:left="720" w:firstLine="0"/>
        <w:jc w:val="both"/>
        <w:rPr/>
      </w:pPr>
      <w:r w:rsidDel="00000000" w:rsidR="00000000" w:rsidRPr="00000000">
        <w:rPr>
          <w:rtl w:val="0"/>
        </w:rPr>
        <w:t xml:space="preserve">La variable </w:t>
      </w:r>
      <w:r w:rsidDel="00000000" w:rsidR="00000000" w:rsidRPr="00000000">
        <w:rPr>
          <w:rFonts w:ascii="Roboto Mono" w:cs="Roboto Mono" w:eastAsia="Roboto Mono" w:hAnsi="Roboto Mono"/>
          <w:color w:val="188038"/>
          <w:rtl w:val="0"/>
        </w:rPr>
        <w:t xml:space="preserve">metascore</w:t>
      </w:r>
      <w:r w:rsidDel="00000000" w:rsidR="00000000" w:rsidRPr="00000000">
        <w:rPr>
          <w:rtl w:val="0"/>
        </w:rPr>
        <w:t xml:space="preserve"> del archivo </w:t>
      </w:r>
      <w:r w:rsidDel="00000000" w:rsidR="00000000" w:rsidRPr="00000000">
        <w:rPr>
          <w:rFonts w:ascii="Roboto Mono" w:cs="Roboto Mono" w:eastAsia="Roboto Mono" w:hAnsi="Roboto Mono"/>
          <w:color w:val="188038"/>
          <w:rtl w:val="0"/>
        </w:rPr>
        <w:t xml:space="preserve">games.csv</w:t>
      </w:r>
      <w:r w:rsidDel="00000000" w:rsidR="00000000" w:rsidRPr="00000000">
        <w:rPr>
          <w:rtl w:val="0"/>
        </w:rPr>
        <w:t xml:space="preserve"> representa la opinión de la crítica profesional en una escala de 0 a 100.</w:t>
      </w:r>
    </w:p>
    <w:p w:rsidR="00000000" w:rsidDel="00000000" w:rsidP="00000000" w:rsidRDefault="00000000" w:rsidRPr="00000000" w14:paraId="0000005F">
      <w:pPr>
        <w:numPr>
          <w:ilvl w:val="0"/>
          <w:numId w:val="4"/>
        </w:numPr>
        <w:spacing w:after="0" w:afterAutospacing="0" w:before="240" w:lineRule="auto"/>
        <w:ind w:left="720" w:hanging="360"/>
        <w:jc w:val="both"/>
      </w:pPr>
      <w:r w:rsidDel="00000000" w:rsidR="00000000" w:rsidRPr="00000000">
        <w:rPr>
          <w:b w:val="1"/>
          <w:bCs w:val="1"/>
          <w:rtl w:val="0"/>
        </w:rPr>
        <w:t xml:space="preserve">Comportamiento esperado:</w:t>
      </w:r>
      <w:r w:rsidDel="00000000" w:rsidR="00000000" w:rsidRPr="00000000">
        <w:rPr>
          <w:rtl w:val="0"/>
        </w:rPr>
        <w:t xml:space="preserve"> Se observa que la mayoría de los videojuegos se agrupan en el rango de </w:t>
      </w:r>
      <w:r w:rsidDel="00000000" w:rsidR="00000000" w:rsidRPr="00000000">
        <w:rPr>
          <w:b w:val="1"/>
          <w:bCs w:val="1"/>
          <w:rtl w:val="0"/>
        </w:rPr>
        <w:t xml:space="preserve">65 a 80 puntos</w:t>
      </w:r>
      <w:r w:rsidDel="00000000" w:rsidR="00000000" w:rsidRPr="00000000">
        <w:rPr>
          <w:rtl w:val="0"/>
        </w:rPr>
        <w:t xml:space="preserve">. Esto indica que la crítica tiende a ser conservadora, evitando puntuaciones extremadamente bajas (por debajo de 30) o perfectas (100).</w:t>
      </w:r>
    </w:p>
    <w:p w:rsidR="00000000" w:rsidDel="00000000" w:rsidP="00000000" w:rsidRDefault="00000000" w:rsidRPr="00000000" w14:paraId="00000060">
      <w:pPr>
        <w:numPr>
          <w:ilvl w:val="0"/>
          <w:numId w:val="4"/>
        </w:numPr>
        <w:spacing w:after="240" w:before="0" w:beforeAutospacing="0" w:lineRule="auto"/>
        <w:ind w:left="720" w:hanging="360"/>
        <w:jc w:val="both"/>
      </w:pPr>
      <w:r w:rsidDel="00000000" w:rsidR="00000000" w:rsidRPr="00000000">
        <w:rPr>
          <w:b w:val="1"/>
          <w:bCs w:val="1"/>
          <w:rtl w:val="0"/>
        </w:rPr>
        <w:t xml:space="preserve">Sesgo:</w:t>
      </w:r>
      <w:r w:rsidDel="00000000" w:rsidR="00000000" w:rsidRPr="00000000">
        <w:rPr>
          <w:rtl w:val="0"/>
        </w:rPr>
        <w:t xml:space="preserve"> La distribución suele presentar un ligero </w:t>
      </w:r>
      <w:r w:rsidDel="00000000" w:rsidR="00000000" w:rsidRPr="00000000">
        <w:rPr>
          <w:b w:val="1"/>
          <w:bCs w:val="1"/>
          <w:rtl w:val="0"/>
        </w:rPr>
        <w:t xml:space="preserve">sesgo a la izquierda</w:t>
      </w:r>
      <w:r w:rsidDel="00000000" w:rsidR="00000000" w:rsidRPr="00000000">
        <w:rPr>
          <w:rtl w:val="0"/>
        </w:rPr>
        <w:t xml:space="preserve">, lo que significa que hay más juegos aprobados que suspensos en las plataformas de agregación.</w:t>
      </w:r>
    </w:p>
    <w:p w:rsidR="00000000" w:rsidDel="00000000" w:rsidP="00000000" w:rsidRDefault="00000000" w:rsidRPr="00000000" w14:paraId="00000061">
      <w:pPr>
        <w:pStyle w:val="Heading3"/>
        <w:spacing w:after="240" w:before="240" w:lineRule="auto"/>
        <w:jc w:val="both"/>
        <w:rPr>
          <w:b w:val="1"/>
          <w:bCs w:val="1"/>
        </w:rPr>
      </w:pPr>
      <w:bookmarkStart w:colFirst="0" w:colLast="0" w:name="_6t688khkeubp" w:id="23"/>
      <w:bookmarkEnd w:id="23"/>
      <w:r w:rsidDel="00000000" w:rsidR="00000000" w:rsidRPr="00000000">
        <w:rPr>
          <w:b w:val="1"/>
          <w:bCs w:val="1"/>
          <w:rtl w:val="0"/>
        </w:rPr>
        <w:t xml:space="preserve">4.1.2. Distribución de Ventas Globales y Regionales (Éxito)</w:t>
      </w:r>
    </w:p>
    <w:p w:rsidR="00000000" w:rsidDel="00000000" w:rsidP="00000000" w:rsidRDefault="00000000" w:rsidRPr="00000000" w14:paraId="00000062">
      <w:pPr>
        <w:spacing w:after="240" w:before="240" w:lineRule="auto"/>
        <w:ind w:left="720" w:firstLine="0"/>
        <w:jc w:val="both"/>
        <w:rPr/>
      </w:pPr>
      <w:r w:rsidDel="00000000" w:rsidR="00000000" w:rsidRPr="00000000">
        <w:rPr>
          <w:rtl w:val="0"/>
        </w:rPr>
        <w:t xml:space="preserve">Analizamos las columnas de ventas (</w:t>
      </w:r>
      <w:r w:rsidDel="00000000" w:rsidR="00000000" w:rsidRPr="00000000">
        <w:rPr>
          <w:rFonts w:ascii="Roboto Mono" w:cs="Roboto Mono" w:eastAsia="Roboto Mono" w:hAnsi="Roboto Mono"/>
          <w:color w:val="188038"/>
          <w:rtl w:val="0"/>
        </w:rPr>
        <w:t xml:space="preserve">Global_Sales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NA_Sales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EU_Sales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JP_Sales</w:t>
      </w:r>
      <w:r w:rsidDel="00000000" w:rsidR="00000000" w:rsidRPr="00000000">
        <w:rPr>
          <w:rtl w:val="0"/>
        </w:rPr>
        <w:t xml:space="preserve">) del dataset integrado.</w:t>
      </w:r>
    </w:p>
    <w:p w:rsidR="00000000" w:rsidDel="00000000" w:rsidP="00000000" w:rsidRDefault="00000000" w:rsidRPr="00000000" w14:paraId="00000063">
      <w:pPr>
        <w:numPr>
          <w:ilvl w:val="0"/>
          <w:numId w:val="9"/>
        </w:numPr>
        <w:spacing w:after="0" w:afterAutospacing="0" w:before="240" w:lineRule="auto"/>
        <w:ind w:left="720" w:hanging="360"/>
        <w:jc w:val="both"/>
      </w:pPr>
      <w:r w:rsidDel="00000000" w:rsidR="00000000" w:rsidRPr="00000000">
        <w:rPr>
          <w:b w:val="1"/>
          <w:bCs w:val="1"/>
          <w:rtl w:val="0"/>
        </w:rPr>
        <w:t xml:space="preserve">Comportamiento esperado:</w:t>
      </w:r>
      <w:r w:rsidDel="00000000" w:rsidR="00000000" w:rsidRPr="00000000">
        <w:rPr>
          <w:rtl w:val="0"/>
        </w:rPr>
        <w:t xml:space="preserve"> A diferencia del Metascore, las ventas presentan una </w:t>
      </w:r>
      <w:r w:rsidDel="00000000" w:rsidR="00000000" w:rsidRPr="00000000">
        <w:rPr>
          <w:b w:val="1"/>
          <w:bCs w:val="1"/>
          <w:rtl w:val="0"/>
        </w:rPr>
        <w:t xml:space="preserve">distribución de "cola larga" </w:t>
      </w:r>
      <w:r w:rsidDel="00000000" w:rsidR="00000000" w:rsidRPr="00000000">
        <w:rPr>
          <w:rtl w:val="0"/>
        </w:rPr>
        <w:t xml:space="preserve"> o asimetría positiva extrema.</w:t>
      </w:r>
    </w:p>
    <w:p w:rsidR="00000000" w:rsidDel="00000000" w:rsidP="00000000" w:rsidRDefault="00000000" w:rsidRPr="00000000" w14:paraId="00000064">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Concentración:</w:t>
      </w:r>
      <w:r w:rsidDel="00000000" w:rsidR="00000000" w:rsidRPr="00000000">
        <w:rPr>
          <w:rtl w:val="0"/>
        </w:rPr>
        <w:t xml:space="preserve"> La inmensa mayoría de los títulos venden menos de 1 millón de copias, mientras que un grupo muy reducido de "best-sellers" (outliers) acumula decenas de millones.</w:t>
      </w:r>
    </w:p>
    <w:p w:rsidR="00000000" w:rsidDel="00000000" w:rsidP="00000000" w:rsidRDefault="00000000" w:rsidRPr="00000000" w14:paraId="00000065">
      <w:pPr>
        <w:numPr>
          <w:ilvl w:val="0"/>
          <w:numId w:val="9"/>
        </w:numPr>
        <w:spacing w:after="240" w:before="0" w:beforeAutospacing="0" w:lineRule="auto"/>
        <w:ind w:left="720" w:hanging="360"/>
        <w:jc w:val="both"/>
      </w:pPr>
      <w:r w:rsidDel="00000000" w:rsidR="00000000" w:rsidRPr="00000000">
        <w:rPr>
          <w:b w:val="1"/>
          <w:bCs w:val="1"/>
          <w:rtl w:val="0"/>
        </w:rPr>
        <w:t xml:space="preserve">Importancia de los Outliers:</w:t>
      </w:r>
      <w:r w:rsidDel="00000000" w:rsidR="00000000" w:rsidRPr="00000000">
        <w:rPr>
          <w:rtl w:val="0"/>
        </w:rPr>
        <w:t xml:space="preserve"> Juegos como </w:t>
      </w:r>
      <w:r w:rsidDel="00000000" w:rsidR="00000000" w:rsidRPr="00000000">
        <w:rPr>
          <w:i w:val="1"/>
          <w:iCs w:val="1"/>
          <w:rtl w:val="0"/>
        </w:rPr>
        <w:t xml:space="preserve">Wii Sports</w:t>
      </w:r>
      <w:r w:rsidDel="00000000" w:rsidR="00000000" w:rsidRPr="00000000">
        <w:rPr>
          <w:rtl w:val="0"/>
        </w:rPr>
        <w:t xml:space="preserve"> o </w:t>
      </w:r>
      <w:r w:rsidDel="00000000" w:rsidR="00000000" w:rsidRPr="00000000">
        <w:rPr>
          <w:i w:val="1"/>
          <w:iCs w:val="1"/>
          <w:rtl w:val="0"/>
        </w:rPr>
        <w:t xml:space="preserve">GTA V</w:t>
      </w:r>
      <w:r w:rsidDel="00000000" w:rsidR="00000000" w:rsidRPr="00000000">
        <w:rPr>
          <w:rtl w:val="0"/>
        </w:rPr>
        <w:t xml:space="preserve"> aparecen como puntos aislados en la parte alta de la distribución. Es vital identificar estos valores, ya que pueden distorsionar el cálculo de la media, haciendo que la </w:t>
      </w:r>
      <w:r w:rsidDel="00000000" w:rsidR="00000000" w:rsidRPr="00000000">
        <w:rPr>
          <w:b w:val="1"/>
          <w:bCs w:val="1"/>
          <w:rtl w:val="0"/>
        </w:rPr>
        <w:t xml:space="preserve">mediana</w:t>
      </w:r>
      <w:r w:rsidDel="00000000" w:rsidR="00000000" w:rsidRPr="00000000">
        <w:rPr>
          <w:rtl w:val="0"/>
        </w:rPr>
        <w:t xml:space="preserve"> sea una medida de tendencia central más fiable para representar al "juego promedio".</w:t>
      </w:r>
    </w:p>
    <w:p w:rsidR="00000000" w:rsidDel="00000000" w:rsidP="00000000" w:rsidRDefault="00000000" w:rsidRPr="00000000" w14:paraId="00000066">
      <w:pPr>
        <w:pStyle w:val="Heading2"/>
        <w:ind w:left="0" w:firstLine="720"/>
        <w:rPr/>
      </w:pPr>
      <w:bookmarkStart w:colFirst="0" w:colLast="0" w:name="_m3qdvlb2bwp3" w:id="24"/>
      <w:bookmarkEnd w:id="24"/>
      <w:r w:rsidDel="00000000" w:rsidR="00000000" w:rsidRPr="00000000">
        <w:rPr>
          <w:rtl w:val="0"/>
        </w:rPr>
        <w:t xml:space="preserve">4.2 Análisis bivariante </w:t>
      </w:r>
    </w:p>
    <w:p w:rsidR="00000000" w:rsidDel="00000000" w:rsidP="00000000" w:rsidRDefault="00000000" w:rsidRPr="00000000" w14:paraId="00000067">
      <w:pPr>
        <w:ind w:left="720" w:firstLine="0"/>
        <w:jc w:val="both"/>
        <w:rPr/>
      </w:pPr>
      <w:r w:rsidDel="00000000" w:rsidR="00000000" w:rsidRPr="00000000">
        <w:rPr>
          <w:rtl w:val="0"/>
        </w:rPr>
        <w:t xml:space="preserve">En esta sección se analiza la interacción entre pares de variables con el fin de identificar patrones de dependencia. El foco principal es determinar si la calidad percibida por los críticos profesionales tiene una relación proporcional con el éxito comercial.</w:t>
      </w:r>
    </w:p>
    <w:p w:rsidR="00000000" w:rsidDel="00000000" w:rsidP="00000000" w:rsidRDefault="00000000" w:rsidRPr="00000000" w14:paraId="00000068">
      <w:pPr>
        <w:pStyle w:val="Heading2"/>
        <w:rPr/>
      </w:pPr>
      <w:bookmarkStart w:colFirst="0" w:colLast="0" w:name="_novpcovismp5" w:id="25"/>
      <w:bookmarkEnd w:id="25"/>
      <w:r w:rsidDel="00000000" w:rsidR="00000000" w:rsidRPr="00000000">
        <w:rPr>
          <w:rtl w:val="0"/>
        </w:rPr>
        <w:t xml:space="preserve">4.3 Análisis multivariante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bookmarkStart w:colFirst="0" w:colLast="0" w:name="_yc7i33sbdg2z" w:id="26"/>
      <w:bookmarkEnd w:id="26"/>
      <w:r w:rsidDel="00000000" w:rsidR="00000000" w:rsidRPr="00000000">
        <w:rPr>
          <w:rtl w:val="0"/>
        </w:rPr>
        <w:t xml:space="preserve">Puntos a tratar</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Evolución de las reviews a través del tiempo y de la evolución de internet</w:t>
      </w:r>
    </w:p>
    <w:p w:rsidR="00000000" w:rsidDel="00000000" w:rsidP="00000000" w:rsidRDefault="00000000" w:rsidRPr="00000000" w14:paraId="000000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Análisis de Calidad: Crítica vs. Público</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Análisis por Plataforma y Desarrollador</w:t>
      </w:r>
    </w:p>
    <w:p w:rsidR="00000000" w:rsidDel="00000000" w:rsidP="00000000" w:rsidRDefault="00000000" w:rsidRPr="00000000" w14:paraId="00000070">
      <w:pPr>
        <w:pStyle w:val="Heading3"/>
        <w:widowControl w:val="0"/>
        <w:spacing w:after="80" w:before="280" w:line="276" w:lineRule="auto"/>
        <w:ind w:left="720" w:hanging="360"/>
        <w:rPr>
          <w:rFonts w:ascii="Open Sans" w:cs="Open Sans" w:eastAsia="Open Sans" w:hAnsi="Open Sans"/>
          <w:b w:val="1"/>
          <w:bCs w:val="1"/>
          <w:sz w:val="26"/>
          <w:szCs w:val="26"/>
        </w:rPr>
      </w:pPr>
      <w:bookmarkStart w:colFirst="0" w:colLast="0" w:name="_cqhkno8llvfz" w:id="27"/>
      <w:bookmarkEnd w:id="27"/>
      <w:r w:rsidDel="00000000" w:rsidR="00000000" w:rsidRPr="00000000">
        <w:rPr>
          <w:rFonts w:ascii="Open Sans" w:cs="Open Sans" w:eastAsia="Open Sans" w:hAnsi="Open Sans"/>
          <w:b w:val="1"/>
          <w:bCs w:val="1"/>
          <w:sz w:val="26"/>
          <w:szCs w:val="26"/>
          <w:rtl w:val="0"/>
        </w:rPr>
        <w:t xml:space="preserve">Evolución Temporal (Timeline)</w:t>
      </w:r>
    </w:p>
    <w:p w:rsidR="00000000" w:rsidDel="00000000" w:rsidP="00000000" w:rsidRDefault="00000000" w:rsidRPr="00000000" w14:paraId="00000071">
      <w:pPr>
        <w:widowControl w:val="0"/>
        <w:numPr>
          <w:ilvl w:val="0"/>
          <w:numId w:val="11"/>
        </w:numPr>
        <w:spacing w:after="0" w:afterAutospacing="0" w:before="240" w:line="276" w:lineRule="auto"/>
        <w:ind w:left="720" w:hanging="360"/>
      </w:pPr>
      <w:r w:rsidDel="00000000" w:rsidR="00000000" w:rsidRPr="00000000">
        <w:rPr>
          <w:b w:val="1"/>
          <w:bCs w:val="1"/>
          <w:rtl w:val="0"/>
        </w:rPr>
        <w:t xml:space="preserve">La "Edad de Oro":</w:t>
      </w:r>
      <w:r w:rsidDel="00000000" w:rsidR="00000000" w:rsidRPr="00000000">
        <w:rPr>
          <w:rtl w:val="0"/>
        </w:rPr>
        <w:t xml:space="preserve"> ¿En qué año se lanzaron los juegos mejor valorados de la historia?</w:t>
      </w:r>
    </w:p>
    <w:p w:rsidR="00000000" w:rsidDel="00000000" w:rsidP="00000000" w:rsidRDefault="00000000" w:rsidRPr="00000000" w14:paraId="00000072">
      <w:pPr>
        <w:widowControl w:val="0"/>
        <w:numPr>
          <w:ilvl w:val="0"/>
          <w:numId w:val="11"/>
        </w:numPr>
        <w:spacing w:after="0" w:afterAutospacing="0" w:before="0" w:beforeAutospacing="0" w:line="276" w:lineRule="auto"/>
        <w:ind w:left="720" w:hanging="360"/>
      </w:pPr>
      <w:r w:rsidDel="00000000" w:rsidR="00000000" w:rsidRPr="00000000">
        <w:rPr>
          <w:b w:val="1"/>
          <w:bCs w:val="1"/>
          <w:rtl w:val="0"/>
        </w:rPr>
        <w:t xml:space="preserve">Fatiga de Géneros:</w:t>
      </w:r>
      <w:r w:rsidDel="00000000" w:rsidR="00000000" w:rsidRPr="00000000">
        <w:rPr>
          <w:rtl w:val="0"/>
        </w:rPr>
        <w:t xml:space="preserve"> ¿Ha bajado la calidad de ciertos géneros (como los FPS o los de deportes) con el paso de los años</w:t>
      </w:r>
    </w:p>
    <w:p w:rsidR="00000000" w:rsidDel="00000000" w:rsidP="00000000" w:rsidRDefault="00000000" w:rsidRPr="00000000" w14:paraId="00000073">
      <w:pPr>
        <w:widowControl w:val="0"/>
        <w:numPr>
          <w:ilvl w:val="0"/>
          <w:numId w:val="11"/>
        </w:numPr>
        <w:spacing w:after="0" w:afterAutospacing="0" w:before="0" w:beforeAutospacing="0" w:line="276" w:lineRule="auto"/>
        <w:ind w:left="720" w:hanging="360"/>
        <w:rPr>
          <w:u w:val="none"/>
        </w:rPr>
      </w:pPr>
      <w:r w:rsidDel="00000000" w:rsidR="00000000" w:rsidRPr="00000000">
        <w:rPr>
          <w:rtl w:val="0"/>
        </w:rPr>
        <w:t xml:space="preserve">Análisis de Géneros y Popularidad</w:t>
      </w:r>
    </w:p>
    <w:p w:rsidR="00000000" w:rsidDel="00000000" w:rsidP="00000000" w:rsidRDefault="00000000" w:rsidRPr="00000000" w14:paraId="00000074">
      <w:pPr>
        <w:widowControl w:val="0"/>
        <w:numPr>
          <w:ilvl w:val="0"/>
          <w:numId w:val="11"/>
        </w:numPr>
        <w:spacing w:after="0" w:afterAutospacing="0" w:before="0" w:beforeAutospacing="0" w:line="276" w:lineRule="auto"/>
        <w:ind w:left="720" w:hanging="360"/>
        <w:rPr>
          <w:u w:val="none"/>
        </w:rPr>
      </w:pPr>
      <w:r w:rsidDel="00000000" w:rsidR="00000000" w:rsidRPr="00000000">
        <w:rPr>
          <w:rtl w:val="0"/>
        </w:rPr>
        <w:t xml:space="preserve">Heatmap de Correlación</w:t>
      </w:r>
    </w:p>
    <w:p w:rsidR="00000000" w:rsidDel="00000000" w:rsidP="00000000" w:rsidRDefault="00000000" w:rsidRPr="00000000" w14:paraId="00000075">
      <w:pPr>
        <w:widowControl w:val="0"/>
        <w:numPr>
          <w:ilvl w:val="0"/>
          <w:numId w:val="11"/>
        </w:numPr>
        <w:spacing w:after="0" w:afterAutospacing="0" w:before="0" w:beforeAutospacing="0" w:line="276" w:lineRule="auto"/>
        <w:ind w:left="720" w:hanging="360"/>
      </w:pPr>
      <w:r w:rsidDel="00000000" w:rsidR="00000000" w:rsidRPr="00000000">
        <w:rPr>
          <w:b w:val="1"/>
          <w:bCs w:val="1"/>
          <w:rtl w:val="0"/>
        </w:rPr>
        <w:t xml:space="preserve">Boxplots por Plataforma:</w:t>
      </w:r>
      <w:r w:rsidDel="00000000" w:rsidR="00000000" w:rsidRPr="00000000">
        <w:rPr>
          <w:rtl w:val="0"/>
        </w:rPr>
        <w:t xml:space="preserve"> Para ver la dispersión de calidad en cada consola (quién tiene más "joyas" y quién más "basura").</w:t>
      </w:r>
    </w:p>
    <w:p w:rsidR="00000000" w:rsidDel="00000000" w:rsidP="00000000" w:rsidRDefault="00000000" w:rsidRPr="00000000" w14:paraId="00000076">
      <w:pPr>
        <w:widowControl w:val="0"/>
        <w:numPr>
          <w:ilvl w:val="0"/>
          <w:numId w:val="11"/>
        </w:numPr>
        <w:spacing w:after="0" w:afterAutospacing="0" w:before="0" w:beforeAutospacing="0" w:line="276" w:lineRule="auto"/>
        <w:ind w:left="720" w:hanging="360"/>
        <w:rPr>
          <w:rFonts w:ascii="Arial" w:cs="Arial" w:eastAsia="Arial" w:hAnsi="Arial"/>
          <w:color w:val="000000"/>
        </w:rPr>
      </w:pPr>
      <w:r w:rsidDel="00000000" w:rsidR="00000000" w:rsidRPr="00000000">
        <w:rPr>
          <w:b w:val="1"/>
          <w:bCs w:val="1"/>
          <w:rtl w:val="0"/>
        </w:rPr>
        <w:t xml:space="preserve">Gráfico de Barras de "Los más polémicos":</w:t>
      </w:r>
      <w:r w:rsidDel="00000000" w:rsidR="00000000" w:rsidRPr="00000000">
        <w:rPr>
          <w:rtl w:val="0"/>
        </w:rPr>
        <w:t xml:space="preserve"> Juegos con mayor distancia entre la nota de prensa y la de usuarios.</w:t>
      </w:r>
    </w:p>
    <w:p w:rsidR="00000000" w:rsidDel="00000000" w:rsidP="00000000" w:rsidRDefault="00000000" w:rsidRPr="00000000" w14:paraId="00000077">
      <w:pPr>
        <w:widowControl w:val="0"/>
        <w:numPr>
          <w:ilvl w:val="0"/>
          <w:numId w:val="11"/>
        </w:numPr>
        <w:spacing w:after="240" w:before="0" w:beforeAutospacing="0" w:line="276" w:lineRule="auto"/>
        <w:ind w:left="720" w:hanging="360"/>
        <w:rPr>
          <w:u w:val="none"/>
        </w:rPr>
      </w:pPr>
      <w:r w:rsidDel="00000000" w:rsidR="00000000" w:rsidRPr="00000000">
        <w:rPr>
          <w:rtl w:val="0"/>
        </w:rPr>
        <w:t xml:space="preserve">Tendencias por paises</w:t>
      </w:r>
    </w:p>
    <w:p w:rsidR="00000000" w:rsidDel="00000000" w:rsidP="00000000" w:rsidRDefault="00000000" w:rsidRPr="00000000" w14:paraId="00000078">
      <w:pPr>
        <w:widowControl w:val="0"/>
        <w:spacing w:after="240" w:before="240" w:line="276" w:lineRule="auto"/>
        <w:ind w:left="0" w:firstLine="0"/>
        <w:rPr/>
      </w:pPr>
      <w:r w:rsidDel="00000000" w:rsidR="00000000" w:rsidRPr="00000000">
        <w:rPr>
          <w:rtl w:val="0"/>
        </w:rPr>
      </w:r>
    </w:p>
    <w:p w:rsidR="00000000" w:rsidDel="00000000" w:rsidP="00000000" w:rsidRDefault="00000000" w:rsidRPr="00000000" w14:paraId="00000079">
      <w:pPr>
        <w:widowControl w:val="0"/>
        <w:spacing w:after="240" w:before="240" w:line="276"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numPr>
          <w:ilvl w:val="0"/>
          <w:numId w:val="8"/>
        </w:numPr>
        <w:ind w:left="720" w:hanging="360"/>
        <w:rPr>
          <w:u w:val="none"/>
        </w:rPr>
      </w:pPr>
      <w:bookmarkStart w:colFirst="0" w:colLast="0" w:name="_5pugzy4fiezl" w:id="28"/>
      <w:bookmarkEnd w:id="28"/>
      <w:r w:rsidDel="00000000" w:rsidR="00000000" w:rsidRPr="00000000">
        <w:rPr>
          <w:rtl w:val="0"/>
        </w:rPr>
        <w:t xml:space="preserve">Edad de Oro</w:t>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numPr>
          <w:ilvl w:val="0"/>
          <w:numId w:val="8"/>
        </w:numPr>
        <w:ind w:left="720" w:hanging="360"/>
      </w:pPr>
      <w:bookmarkStart w:colFirst="0" w:colLast="0" w:name="_e9cc022rgmli" w:id="29"/>
      <w:bookmarkEnd w:id="29"/>
      <w:r w:rsidDel="00000000" w:rsidR="00000000" w:rsidRPr="00000000">
        <w:rPr>
          <w:rtl w:val="0"/>
        </w:rPr>
        <w:t xml:space="preserve">Fatiga de géneros</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numPr>
          <w:ilvl w:val="0"/>
          <w:numId w:val="8"/>
        </w:numPr>
        <w:ind w:left="720" w:hanging="360"/>
      </w:pPr>
      <w:bookmarkStart w:colFirst="0" w:colLast="0" w:name="_s6591s2odkcn" w:id="30"/>
      <w:bookmarkEnd w:id="30"/>
      <w:r w:rsidDel="00000000" w:rsidR="00000000" w:rsidRPr="00000000">
        <w:rPr>
          <w:rtl w:val="0"/>
        </w:rPr>
        <w:t xml:space="preserve">Géneros y popularidad</w:t>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numPr>
          <w:ilvl w:val="0"/>
          <w:numId w:val="8"/>
        </w:numPr>
        <w:ind w:left="720" w:hanging="360"/>
      </w:pPr>
      <w:bookmarkStart w:colFirst="0" w:colLast="0" w:name="_ivz8lnx8jm0o" w:id="31"/>
      <w:bookmarkEnd w:id="31"/>
      <w:r w:rsidDel="00000000" w:rsidR="00000000" w:rsidRPr="00000000">
        <w:rPr>
          <w:rtl w:val="0"/>
        </w:rPr>
        <w:t xml:space="preserve">Heatmap de correlación</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numPr>
          <w:ilvl w:val="0"/>
          <w:numId w:val="8"/>
        </w:numPr>
        <w:ind w:left="720" w:hanging="360"/>
      </w:pPr>
      <w:bookmarkStart w:colFirst="0" w:colLast="0" w:name="_z5b5pnt8f5ko" w:id="32"/>
      <w:bookmarkEnd w:id="32"/>
      <w:r w:rsidDel="00000000" w:rsidR="00000000" w:rsidRPr="00000000">
        <w:rPr>
          <w:rtl w:val="0"/>
        </w:rPr>
        <w:t xml:space="preserve">Boxplots por plataforma</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numPr>
          <w:ilvl w:val="0"/>
          <w:numId w:val="8"/>
        </w:numPr>
        <w:ind w:left="720" w:hanging="360"/>
      </w:pPr>
      <w:bookmarkStart w:colFirst="0" w:colLast="0" w:name="_xw92k7fmu922" w:id="33"/>
      <w:bookmarkEnd w:id="33"/>
      <w:r w:rsidDel="00000000" w:rsidR="00000000" w:rsidRPr="00000000">
        <w:rPr>
          <w:rtl w:val="0"/>
        </w:rPr>
        <w:t xml:space="preserve">Más polémicos</w:t>
      </w:r>
    </w:p>
    <w:sectPr>
      <w:headerReference r:id="rId10" w:type="default"/>
      <w:headerReference r:id="rId11" w:type="first"/>
      <w:footerReference r:id="rId12"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T Sans Narrow">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34"/>
    <w:bookmarkEnd w:id="34"/>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línea horizontal" id="2" name="image1.png"/>
          <a:graphic>
            <a:graphicData uri="http://schemas.openxmlformats.org/drawingml/2006/picture">
              <pic:pic>
                <pic:nvPicPr>
                  <pic:cNvPr descr="línea horizontal" id="0" name="image1.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s"/>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after="80" w:before="0" w:line="276" w:lineRule="auto"/>
      <w:ind w:left="720" w:hanging="360"/>
    </w:pPr>
    <w:rPr>
      <w:b w:val="1"/>
      <w:bCs w:val="1"/>
      <w:color w:val="38761d"/>
      <w:sz w:val="36"/>
      <w:szCs w:val="36"/>
    </w:rPr>
  </w:style>
  <w:style w:type="paragraph" w:styleId="Heading2">
    <w:name w:val="heading 2"/>
    <w:basedOn w:val="Normal"/>
    <w:next w:val="Normal"/>
    <w:pPr>
      <w:spacing w:before="320" w:line="240" w:lineRule="auto"/>
      <w:ind w:firstLine="720"/>
    </w:pPr>
    <w:rPr>
      <w:b w:val="1"/>
      <w:bCs w:val="1"/>
      <w:color w:val="008575"/>
      <w:sz w:val="28"/>
      <w:szCs w:val="28"/>
    </w:rPr>
  </w:style>
  <w:style w:type="paragraph" w:styleId="Heading3">
    <w:name w:val="heading 3"/>
    <w:basedOn w:val="Normal"/>
    <w:next w:val="Normal"/>
    <w:pPr>
      <w:spacing w:after="40" w:before="240" w:lineRule="auto"/>
      <w:ind w:left="720" w:firstLine="0"/>
    </w:pPr>
    <w:rPr>
      <w:b w:val="1"/>
      <w:bCs w:val="1"/>
      <w:color w:val="008575"/>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