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اتمی؛ ص۹۵–۱۱۱؛ قبل از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۱۰۳–۱۰۵؛ از آمونیاک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فوتون و فوتوالکتریک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۱۰۳–۱۰۵؛ از آمونیاک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طیف خطی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مدل رادرفورد–بور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تراز انرژی و لیزر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۱۰۹–۱۱۰؛ تا قبل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اتمی؛ بدون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۱۰۹–۱۱۰؛ تا قبل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۲۷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۲۸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۲۹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۳۰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۷۰–۷۲ / در پی غذای سالم؛ ص ۸۴ / پوشاک، نیازی پایان‌ناپذیر؛ ص ۱۰۲–۱۰۹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۷۰–۷۲ / در پی غذای سالم؛ ص ۸۴ / پوشاک، نیازی پایان‌ناپذیر؛ ص ۱۰۲–۱۰۹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۱۱۰–۱۲۱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۱۱۰–۱۲۱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۳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