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F01D" w14:textId="253FB273" w:rsidR="00404123" w:rsidRDefault="00540FAE" w:rsidP="00540FAE">
      <w:pPr>
        <w:spacing w:line="360" w:lineRule="auto"/>
        <w:jc w:val="center"/>
        <w:rPr>
          <w:rFonts w:asciiTheme="majorHAnsi" w:hAnsiTheme="majorHAnsi" w:cstheme="majorHAnsi"/>
          <w:lang w:val="es-ES"/>
        </w:rPr>
      </w:pPr>
      <w:r w:rsidRPr="00072F34">
        <w:rPr>
          <w:rFonts w:asciiTheme="majorHAnsi" w:hAnsiTheme="majorHAnsi" w:cstheme="majorHAnsi"/>
          <w:lang w:val="es-ES"/>
        </w:rPr>
        <w:t xml:space="preserve">INFORME </w:t>
      </w:r>
      <w:r w:rsidR="00072F34" w:rsidRPr="00072F34">
        <w:rPr>
          <w:rFonts w:asciiTheme="majorHAnsi" w:hAnsiTheme="majorHAnsi" w:cstheme="majorHAnsi"/>
          <w:lang w:val="es-ES"/>
        </w:rPr>
        <w:t xml:space="preserve">TRIMESTRAL DE GESTION CONTABLE </w:t>
      </w:r>
    </w:p>
    <w:p w14:paraId="2EE6B73D" w14:textId="77777777" w:rsidR="00072F34" w:rsidRDefault="00072F34" w:rsidP="00540FAE">
      <w:pPr>
        <w:spacing w:line="360" w:lineRule="auto"/>
        <w:jc w:val="center"/>
        <w:rPr>
          <w:rFonts w:asciiTheme="majorHAnsi" w:hAnsiTheme="majorHAnsi" w:cstheme="majorHAnsi"/>
          <w:lang w:val="es-ES"/>
        </w:rPr>
      </w:pPr>
      <w:r>
        <w:rPr>
          <w:rFonts w:asciiTheme="majorHAnsi" w:hAnsiTheme="majorHAnsi" w:cstheme="majorHAnsi"/>
          <w:lang w:val="es-ES"/>
        </w:rPr>
        <w:t>Reyes Hilario Danna Paola</w:t>
      </w:r>
    </w:p>
    <w:p w14:paraId="63726F89" w14:textId="51D49886" w:rsidR="00072F34" w:rsidRDefault="00072F34" w:rsidP="00540FAE">
      <w:pPr>
        <w:spacing w:line="360" w:lineRule="auto"/>
        <w:jc w:val="center"/>
        <w:rPr>
          <w:rFonts w:asciiTheme="majorHAnsi" w:hAnsiTheme="majorHAnsi" w:cstheme="majorHAnsi"/>
          <w:lang w:val="es-ES"/>
        </w:rPr>
      </w:pPr>
      <w:r>
        <w:rPr>
          <w:rFonts w:asciiTheme="majorHAnsi" w:hAnsiTheme="majorHAnsi" w:cstheme="majorHAnsi"/>
          <w:lang w:val="es-ES"/>
        </w:rPr>
        <w:t>24 de septiembre 2025</w:t>
      </w:r>
    </w:p>
    <w:p w14:paraId="17AD9E20" w14:textId="64106152" w:rsidR="00072F34" w:rsidRDefault="00072F34" w:rsidP="00540FAE">
      <w:pPr>
        <w:spacing w:line="360" w:lineRule="auto"/>
        <w:jc w:val="center"/>
        <w:rPr>
          <w:rFonts w:asciiTheme="majorHAnsi" w:hAnsiTheme="majorHAnsi" w:cstheme="majorHAnsi"/>
          <w:lang w:val="es-ES"/>
        </w:rPr>
      </w:pPr>
      <w:r>
        <w:rPr>
          <w:rFonts w:asciiTheme="majorHAnsi" w:hAnsiTheme="majorHAnsi" w:cstheme="majorHAnsi"/>
          <w:lang w:val="es-ES"/>
        </w:rPr>
        <w:t xml:space="preserve">FINANZIA MAS, S.A </w:t>
      </w:r>
    </w:p>
    <w:p w14:paraId="5D8DFB37" w14:textId="01EC2608" w:rsidR="00072F34" w:rsidRDefault="00072F34" w:rsidP="00540FAE">
      <w:pPr>
        <w:spacing w:line="360" w:lineRule="auto"/>
        <w:jc w:val="center"/>
        <w:rPr>
          <w:rFonts w:asciiTheme="majorHAnsi" w:hAnsiTheme="majorHAnsi" w:cstheme="majorHAnsi"/>
          <w:lang w:val="es-ES"/>
        </w:rPr>
      </w:pPr>
      <w:r>
        <w:rPr>
          <w:noProof/>
        </w:rPr>
        <w:drawing>
          <wp:inline distT="0" distB="0" distL="0" distR="0" wp14:anchorId="0B888913" wp14:editId="2102C27E">
            <wp:extent cx="3260203" cy="1857375"/>
            <wp:effectExtent l="0" t="0" r="0" b="0"/>
            <wp:docPr id="1" name="Imagen 1" descr="18 mil resultados de imágenes, fotos de stock e ilustraciones libres de  regalías para Logo contable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mil resultados de imágenes, fotos de stock e ilustraciones libres de  regalías para Logo contable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b="15357"/>
                    <a:stretch/>
                  </pic:blipFill>
                  <pic:spPr bwMode="auto">
                    <a:xfrm>
                      <a:off x="0" y="0"/>
                      <a:ext cx="3260496" cy="1857542"/>
                    </a:xfrm>
                    <a:prstGeom prst="rect">
                      <a:avLst/>
                    </a:prstGeom>
                    <a:noFill/>
                    <a:ln>
                      <a:noFill/>
                    </a:ln>
                    <a:extLst>
                      <a:ext uri="{53640926-AAD7-44D8-BBD7-CCE9431645EC}">
                        <a14:shadowObscured xmlns:a14="http://schemas.microsoft.com/office/drawing/2010/main"/>
                      </a:ext>
                    </a:extLst>
                  </pic:spPr>
                </pic:pic>
              </a:graphicData>
            </a:graphic>
          </wp:inline>
        </w:drawing>
      </w:r>
    </w:p>
    <w:p w14:paraId="5B7BB49B" w14:textId="5579833F" w:rsidR="00072F34" w:rsidRDefault="00072F34" w:rsidP="00540FAE">
      <w:pPr>
        <w:spacing w:line="360" w:lineRule="auto"/>
        <w:jc w:val="center"/>
        <w:rPr>
          <w:rFonts w:asciiTheme="majorHAnsi" w:hAnsiTheme="majorHAnsi" w:cstheme="majorHAnsi"/>
          <w:lang w:val="es-ES"/>
        </w:rPr>
      </w:pPr>
    </w:p>
    <w:p w14:paraId="31ACE2B3" w14:textId="5081CC8F" w:rsidR="00072F34" w:rsidRDefault="00072F34" w:rsidP="00540FAE">
      <w:pPr>
        <w:spacing w:line="360" w:lineRule="auto"/>
        <w:jc w:val="center"/>
        <w:rPr>
          <w:rFonts w:asciiTheme="majorHAnsi" w:hAnsiTheme="majorHAnsi" w:cstheme="majorHAnsi"/>
          <w:lang w:val="es-ES"/>
        </w:rPr>
      </w:pPr>
    </w:p>
    <w:p w14:paraId="1E917A7E" w14:textId="4E1506DE" w:rsidR="00072F34" w:rsidRDefault="00072F34" w:rsidP="00540FAE">
      <w:pPr>
        <w:spacing w:line="360" w:lineRule="auto"/>
        <w:jc w:val="center"/>
        <w:rPr>
          <w:rFonts w:asciiTheme="majorHAnsi" w:hAnsiTheme="majorHAnsi" w:cstheme="majorHAnsi"/>
          <w:lang w:val="es-ES"/>
        </w:rPr>
      </w:pPr>
    </w:p>
    <w:p w14:paraId="17B55D59" w14:textId="23CAEBFC" w:rsidR="00072F34" w:rsidRDefault="00072F34" w:rsidP="00540FAE">
      <w:pPr>
        <w:spacing w:line="360" w:lineRule="auto"/>
        <w:jc w:val="center"/>
        <w:rPr>
          <w:rFonts w:asciiTheme="majorHAnsi" w:hAnsiTheme="majorHAnsi" w:cstheme="majorHAnsi"/>
          <w:lang w:val="es-ES"/>
        </w:rPr>
      </w:pPr>
    </w:p>
    <w:p w14:paraId="3ACBF56B" w14:textId="3D92DFAA" w:rsidR="00072F34" w:rsidRDefault="00072F34" w:rsidP="00540FAE">
      <w:pPr>
        <w:spacing w:line="360" w:lineRule="auto"/>
        <w:jc w:val="center"/>
        <w:rPr>
          <w:rFonts w:asciiTheme="majorHAnsi" w:hAnsiTheme="majorHAnsi" w:cstheme="majorHAnsi"/>
          <w:lang w:val="es-ES"/>
        </w:rPr>
      </w:pPr>
    </w:p>
    <w:p w14:paraId="469B55C6" w14:textId="50365EAD" w:rsidR="00072F34" w:rsidRDefault="00072F34" w:rsidP="00540FAE">
      <w:pPr>
        <w:spacing w:line="360" w:lineRule="auto"/>
        <w:jc w:val="center"/>
        <w:rPr>
          <w:rFonts w:asciiTheme="majorHAnsi" w:hAnsiTheme="majorHAnsi" w:cstheme="majorHAnsi"/>
          <w:lang w:val="es-ES"/>
        </w:rPr>
      </w:pPr>
    </w:p>
    <w:p w14:paraId="50DAF334" w14:textId="7AB1025B" w:rsidR="00072F34" w:rsidRDefault="00072F34" w:rsidP="00540FAE">
      <w:pPr>
        <w:spacing w:line="360" w:lineRule="auto"/>
        <w:jc w:val="center"/>
        <w:rPr>
          <w:rFonts w:asciiTheme="majorHAnsi" w:hAnsiTheme="majorHAnsi" w:cstheme="majorHAnsi"/>
          <w:lang w:val="es-ES"/>
        </w:rPr>
      </w:pPr>
    </w:p>
    <w:p w14:paraId="73B44F8C" w14:textId="675C9CAD" w:rsidR="00072F34" w:rsidRDefault="00072F34" w:rsidP="00540FAE">
      <w:pPr>
        <w:spacing w:line="360" w:lineRule="auto"/>
        <w:jc w:val="center"/>
        <w:rPr>
          <w:rFonts w:asciiTheme="majorHAnsi" w:hAnsiTheme="majorHAnsi" w:cstheme="majorHAnsi"/>
          <w:lang w:val="es-ES"/>
        </w:rPr>
      </w:pPr>
    </w:p>
    <w:p w14:paraId="66F38B90" w14:textId="283DF0AD" w:rsidR="00072F34" w:rsidRDefault="00072F34" w:rsidP="00540FAE">
      <w:pPr>
        <w:spacing w:line="360" w:lineRule="auto"/>
        <w:jc w:val="center"/>
        <w:rPr>
          <w:rFonts w:asciiTheme="majorHAnsi" w:hAnsiTheme="majorHAnsi" w:cstheme="majorHAnsi"/>
          <w:lang w:val="es-ES"/>
        </w:rPr>
      </w:pPr>
    </w:p>
    <w:p w14:paraId="6B46DCC2" w14:textId="188FFC5C" w:rsidR="00072F34" w:rsidRDefault="00072F34" w:rsidP="00540FAE">
      <w:pPr>
        <w:spacing w:line="360" w:lineRule="auto"/>
        <w:jc w:val="center"/>
        <w:rPr>
          <w:rFonts w:asciiTheme="majorHAnsi" w:hAnsiTheme="majorHAnsi" w:cstheme="majorHAnsi"/>
          <w:lang w:val="es-ES"/>
        </w:rPr>
      </w:pPr>
    </w:p>
    <w:p w14:paraId="66D10EE4" w14:textId="7D3526E1" w:rsidR="00072F34" w:rsidRDefault="00072F34" w:rsidP="00540FAE">
      <w:pPr>
        <w:spacing w:line="360" w:lineRule="auto"/>
        <w:jc w:val="center"/>
        <w:rPr>
          <w:rFonts w:asciiTheme="majorHAnsi" w:hAnsiTheme="majorHAnsi" w:cstheme="majorHAnsi"/>
          <w:lang w:val="es-ES"/>
        </w:rPr>
      </w:pPr>
    </w:p>
    <w:p w14:paraId="7B216EB6" w14:textId="4EF0CFF6" w:rsidR="00072F34" w:rsidRDefault="00072F34" w:rsidP="00540FAE">
      <w:pPr>
        <w:spacing w:line="360" w:lineRule="auto"/>
        <w:jc w:val="center"/>
        <w:rPr>
          <w:rFonts w:asciiTheme="majorHAnsi" w:hAnsiTheme="majorHAnsi" w:cstheme="majorHAnsi"/>
          <w:lang w:val="es-ES"/>
        </w:rPr>
      </w:pPr>
    </w:p>
    <w:p w14:paraId="0766F35A" w14:textId="13927527" w:rsidR="00294391" w:rsidRDefault="00294391" w:rsidP="00540FAE">
      <w:pPr>
        <w:spacing w:line="360" w:lineRule="auto"/>
        <w:jc w:val="center"/>
        <w:rPr>
          <w:rFonts w:asciiTheme="majorHAnsi" w:hAnsiTheme="majorHAnsi" w:cstheme="majorHAnsi"/>
          <w:lang w:val="es-ES"/>
        </w:rPr>
      </w:pPr>
    </w:p>
    <w:p w14:paraId="558CA689" w14:textId="7E5E904B" w:rsidR="00294391" w:rsidRDefault="00294391" w:rsidP="00887D13">
      <w:pPr>
        <w:spacing w:line="360" w:lineRule="auto"/>
        <w:rPr>
          <w:rFonts w:asciiTheme="majorHAnsi" w:hAnsiTheme="majorHAnsi" w:cstheme="majorHAnsi"/>
          <w:lang w:val="es-ES"/>
        </w:rPr>
      </w:pPr>
    </w:p>
    <w:sdt>
      <w:sdtPr>
        <w:rPr>
          <w:lang w:val="es-ES"/>
        </w:rPr>
        <w:id w:val="11769280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9B44EF" w14:textId="748D7090" w:rsidR="00294391" w:rsidRDefault="00294391" w:rsidP="00294391">
          <w:pPr>
            <w:pStyle w:val="TtuloTDC"/>
            <w:rPr>
              <w:lang w:val="es-ES"/>
            </w:rPr>
          </w:pPr>
          <w:r>
            <w:rPr>
              <w:lang w:val="es-ES"/>
            </w:rPr>
            <w:t>Contenido</w:t>
          </w:r>
        </w:p>
        <w:p w14:paraId="71242C76" w14:textId="4662C870" w:rsidR="00294391" w:rsidRPr="00294391" w:rsidRDefault="00294391" w:rsidP="00294391">
          <w:pPr>
            <w:rPr>
              <w:lang w:val="es-ES" w:eastAsia="es-MX"/>
            </w:rPr>
          </w:pPr>
          <w:r>
            <w:rPr>
              <w:lang w:val="es-ES" w:eastAsia="es-MX"/>
            </w:rPr>
            <w:t>Portada</w:t>
          </w:r>
          <w:r w:rsidR="00E60336">
            <w:rPr>
              <w:lang w:val="es-ES" w:eastAsia="es-MX"/>
            </w:rPr>
            <w:t>...………………………………………………………………………………………………………………………………….</w:t>
          </w:r>
          <w:r>
            <w:rPr>
              <w:lang w:val="es-ES" w:eastAsia="es-MX"/>
            </w:rPr>
            <w:t xml:space="preserve"> 1 </w:t>
          </w:r>
        </w:p>
        <w:p w14:paraId="2F50B621" w14:textId="12319136" w:rsidR="00294391" w:rsidRDefault="00294391">
          <w:r>
            <w:t xml:space="preserve">Introducción </w:t>
          </w:r>
          <w:r w:rsidR="00E60336">
            <w:t>..................................................................................................................................</w:t>
          </w:r>
          <w:r>
            <w:t>2</w:t>
          </w:r>
        </w:p>
        <w:p w14:paraId="016743AA" w14:textId="4133CC60" w:rsidR="00294391" w:rsidRDefault="00294391">
          <w:r>
            <w:t xml:space="preserve">Objetivos </w:t>
          </w:r>
          <w:r w:rsidR="00E60336">
            <w:t>.......................................................................................................................................</w:t>
          </w:r>
          <w:r>
            <w:t>2</w:t>
          </w:r>
        </w:p>
        <w:p w14:paraId="05C33A07" w14:textId="2303E734" w:rsidR="00294391" w:rsidRDefault="00294391">
          <w:r>
            <w:t xml:space="preserve">Metodología </w:t>
          </w:r>
          <w:r w:rsidR="00E60336">
            <w:t>...................................................................................................................................</w:t>
          </w:r>
          <w:r>
            <w:t>2</w:t>
          </w:r>
        </w:p>
        <w:p w14:paraId="73B4FE7F" w14:textId="7FF23903" w:rsidR="00294391" w:rsidRDefault="00294391">
          <w:r>
            <w:t xml:space="preserve">Resultados </w:t>
          </w:r>
          <w:r w:rsidR="00E60336">
            <w:t>.....................................................................................................................................</w:t>
          </w:r>
          <w:r>
            <w:t>3</w:t>
          </w:r>
        </w:p>
        <w:p w14:paraId="1EB058F9" w14:textId="29F288F2" w:rsidR="00294391" w:rsidRDefault="00294391">
          <w:r>
            <w:t>Conclusión</w:t>
          </w:r>
          <w:r w:rsidR="00E60336">
            <w:t xml:space="preserve"> ....................................................................................................................................</w:t>
          </w:r>
          <w:r>
            <w:t xml:space="preserve"> 4</w:t>
          </w:r>
        </w:p>
      </w:sdtContent>
    </w:sdt>
    <w:p w14:paraId="155B7A23" w14:textId="550FADD5" w:rsidR="00294391" w:rsidRDefault="00294391" w:rsidP="00540FAE">
      <w:pPr>
        <w:spacing w:line="360" w:lineRule="auto"/>
        <w:jc w:val="center"/>
        <w:rPr>
          <w:rFonts w:asciiTheme="majorHAnsi" w:hAnsiTheme="majorHAnsi" w:cstheme="majorHAnsi"/>
          <w:lang w:val="es-ES"/>
        </w:rPr>
      </w:pPr>
    </w:p>
    <w:p w14:paraId="5D9749EF" w14:textId="77777777" w:rsidR="00072F34" w:rsidRDefault="00072F34" w:rsidP="00540FAE">
      <w:pPr>
        <w:spacing w:line="360" w:lineRule="auto"/>
        <w:jc w:val="center"/>
        <w:rPr>
          <w:rFonts w:asciiTheme="majorHAnsi" w:hAnsiTheme="majorHAnsi" w:cstheme="majorHAnsi"/>
          <w:lang w:val="es-ES"/>
        </w:rPr>
      </w:pPr>
    </w:p>
    <w:p w14:paraId="5D048D28" w14:textId="12A813B2" w:rsidR="00072F34" w:rsidRDefault="00072F34" w:rsidP="00540FAE">
      <w:pPr>
        <w:spacing w:line="360" w:lineRule="auto"/>
        <w:jc w:val="center"/>
        <w:rPr>
          <w:rFonts w:asciiTheme="majorHAnsi" w:hAnsiTheme="majorHAnsi" w:cstheme="majorHAnsi"/>
          <w:lang w:val="es-ES"/>
        </w:rPr>
      </w:pPr>
    </w:p>
    <w:p w14:paraId="5508572C" w14:textId="3C052613" w:rsidR="00072F34" w:rsidRDefault="00072F34" w:rsidP="00540FAE">
      <w:pPr>
        <w:spacing w:line="360" w:lineRule="auto"/>
        <w:jc w:val="center"/>
        <w:rPr>
          <w:rFonts w:asciiTheme="majorHAnsi" w:hAnsiTheme="majorHAnsi" w:cstheme="majorHAnsi"/>
          <w:lang w:val="es-ES"/>
        </w:rPr>
      </w:pPr>
    </w:p>
    <w:p w14:paraId="2C9280BE" w14:textId="5825D4E4" w:rsidR="00072F34" w:rsidRDefault="00072F34" w:rsidP="00540FAE">
      <w:pPr>
        <w:spacing w:line="360" w:lineRule="auto"/>
        <w:jc w:val="center"/>
        <w:rPr>
          <w:rFonts w:ascii="Arial" w:hAnsi="Arial" w:cs="Arial"/>
          <w:b/>
          <w:bCs/>
          <w:color w:val="1F3864" w:themeColor="accent1" w:themeShade="80"/>
          <w:sz w:val="36"/>
          <w:szCs w:val="36"/>
          <w:lang w:val="es-ES"/>
        </w:rPr>
      </w:pPr>
      <w:r w:rsidRPr="00072F34">
        <w:rPr>
          <w:rFonts w:ascii="Arial" w:hAnsi="Arial" w:cs="Arial"/>
          <w:b/>
          <w:bCs/>
          <w:color w:val="1F3864" w:themeColor="accent1" w:themeShade="80"/>
          <w:sz w:val="36"/>
          <w:szCs w:val="36"/>
          <w:lang w:val="es-ES"/>
        </w:rPr>
        <w:t xml:space="preserve">Informe contable </w:t>
      </w:r>
    </w:p>
    <w:p w14:paraId="3E6500E0" w14:textId="43F33DDC" w:rsidR="007603E4" w:rsidRPr="00294391" w:rsidRDefault="007603E4" w:rsidP="00294391">
      <w:pPr>
        <w:spacing w:line="360" w:lineRule="auto"/>
        <w:jc w:val="both"/>
        <w:rPr>
          <w:rFonts w:cstheme="minorHAnsi"/>
          <w:lang w:val="es-ES"/>
        </w:rPr>
      </w:pPr>
      <w:r w:rsidRPr="00294391">
        <w:rPr>
          <w:rFonts w:cstheme="minorHAnsi"/>
          <w:lang w:val="es-ES"/>
        </w:rPr>
        <w:t>INTRODUCCIÓN</w:t>
      </w:r>
    </w:p>
    <w:p w14:paraId="7AA108CC" w14:textId="77777777" w:rsidR="007603E4" w:rsidRPr="007603E4" w:rsidRDefault="007603E4" w:rsidP="00294391">
      <w:pPr>
        <w:spacing w:after="360" w:line="360" w:lineRule="auto"/>
        <w:jc w:val="both"/>
        <w:rPr>
          <w:rFonts w:eastAsia="Times New Roman" w:cstheme="minorHAnsi"/>
          <w:lang w:eastAsia="es-MX"/>
        </w:rPr>
      </w:pPr>
      <w:r w:rsidRPr="007603E4">
        <w:rPr>
          <w:rFonts w:eastAsia="Times New Roman" w:cstheme="minorHAnsi"/>
          <w:lang w:eastAsia="es-MX"/>
        </w:rPr>
        <w:t>Un informe contable es un resumen estructurado de la actividad y las transacciones financieras durante un período definido, que se utiliza para evaluar el rendimiento empresarial y fundamentar la toma de decisiones. Estos informes pueden abarcar desde estados financieros estandarizados preparados para las partes interesadas externas hasta paneles internos basados ​​en datos del libro mayor, que registran la actividad financiera mediante contabilidad de partida doble.</w:t>
      </w:r>
    </w:p>
    <w:p w14:paraId="15B957C2" w14:textId="49F0F64C" w:rsidR="007603E4" w:rsidRPr="00294391" w:rsidRDefault="007603E4" w:rsidP="00294391">
      <w:pPr>
        <w:spacing w:after="360" w:line="360" w:lineRule="auto"/>
        <w:jc w:val="both"/>
        <w:rPr>
          <w:rFonts w:eastAsia="Times New Roman" w:cstheme="minorHAnsi"/>
          <w:lang w:eastAsia="es-MX"/>
        </w:rPr>
      </w:pPr>
      <w:r w:rsidRPr="007603E4">
        <w:rPr>
          <w:rFonts w:eastAsia="Times New Roman" w:cstheme="minorHAnsi"/>
          <w:lang w:eastAsia="es-MX"/>
        </w:rPr>
        <w:t>La mayoría de los informes entran en una de dos categorías:</w:t>
      </w:r>
    </w:p>
    <w:p w14:paraId="3C2598C0" w14:textId="28F79C7E"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OBJETIVOS</w:t>
      </w:r>
    </w:p>
    <w:p w14:paraId="53222EAD" w14:textId="7E7F0ABE" w:rsidR="007603E4" w:rsidRPr="00294391" w:rsidRDefault="007603E4" w:rsidP="00294391">
      <w:pPr>
        <w:pStyle w:val="Prrafodelista"/>
        <w:numPr>
          <w:ilvl w:val="0"/>
          <w:numId w:val="2"/>
        </w:numPr>
        <w:spacing w:before="100" w:beforeAutospacing="1" w:after="100" w:afterAutospacing="1" w:line="360" w:lineRule="auto"/>
        <w:jc w:val="both"/>
        <w:rPr>
          <w:rFonts w:eastAsia="Times New Roman" w:cstheme="minorHAnsi"/>
          <w:lang w:eastAsia="es-MX"/>
        </w:rPr>
      </w:pPr>
      <w:r w:rsidRPr="00294391">
        <w:rPr>
          <w:rFonts w:eastAsia="Times New Roman" w:cstheme="minorHAnsi"/>
          <w:lang w:eastAsia="es-MX"/>
        </w:rPr>
        <w:t>Evaluar el estado financiero de la organización al cierre del trimestre.</w:t>
      </w:r>
    </w:p>
    <w:p w14:paraId="6165800F" w14:textId="44CDEB76" w:rsidR="007603E4" w:rsidRPr="00294391" w:rsidRDefault="007603E4" w:rsidP="00294391">
      <w:pPr>
        <w:pStyle w:val="Prrafodelista"/>
        <w:numPr>
          <w:ilvl w:val="0"/>
          <w:numId w:val="2"/>
        </w:numPr>
        <w:spacing w:before="100" w:beforeAutospacing="1" w:after="100" w:afterAutospacing="1" w:line="360" w:lineRule="auto"/>
        <w:jc w:val="both"/>
        <w:rPr>
          <w:rFonts w:eastAsia="Times New Roman" w:cstheme="minorHAnsi"/>
          <w:lang w:eastAsia="es-MX"/>
        </w:rPr>
      </w:pPr>
      <w:r w:rsidRPr="00294391">
        <w:rPr>
          <w:rFonts w:eastAsia="Times New Roman" w:cstheme="minorHAnsi"/>
          <w:lang w:eastAsia="es-MX"/>
        </w:rPr>
        <w:t>Identificar desviaciones presupuestarias relevantes.</w:t>
      </w:r>
    </w:p>
    <w:p w14:paraId="0DEE97CB" w14:textId="4D84DAF9" w:rsidR="007603E4" w:rsidRPr="00294391" w:rsidRDefault="007603E4" w:rsidP="00294391">
      <w:pPr>
        <w:pStyle w:val="Prrafodelista"/>
        <w:numPr>
          <w:ilvl w:val="0"/>
          <w:numId w:val="2"/>
        </w:numPr>
        <w:spacing w:before="100" w:beforeAutospacing="1" w:after="100" w:afterAutospacing="1" w:line="360" w:lineRule="auto"/>
        <w:jc w:val="both"/>
        <w:rPr>
          <w:rFonts w:eastAsia="Times New Roman" w:cstheme="minorHAnsi"/>
          <w:lang w:eastAsia="es-MX"/>
        </w:rPr>
      </w:pPr>
      <w:r w:rsidRPr="00294391">
        <w:rPr>
          <w:rFonts w:eastAsia="Times New Roman" w:cstheme="minorHAnsi"/>
          <w:lang w:eastAsia="es-MX"/>
        </w:rPr>
        <w:t>Verificar el cumplimiento de obligaciones fiscales y tributarias.</w:t>
      </w:r>
    </w:p>
    <w:p w14:paraId="3E3B4871" w14:textId="5F18FE96" w:rsidR="007603E4" w:rsidRPr="00294391" w:rsidRDefault="007603E4" w:rsidP="00294391">
      <w:pPr>
        <w:pStyle w:val="Prrafodelista"/>
        <w:numPr>
          <w:ilvl w:val="0"/>
          <w:numId w:val="2"/>
        </w:numPr>
        <w:spacing w:before="100" w:beforeAutospacing="1" w:after="100" w:afterAutospacing="1" w:line="360" w:lineRule="auto"/>
        <w:jc w:val="both"/>
        <w:rPr>
          <w:rFonts w:eastAsia="Times New Roman" w:cstheme="minorHAnsi"/>
          <w:lang w:eastAsia="es-MX"/>
        </w:rPr>
      </w:pPr>
      <w:r w:rsidRPr="00294391">
        <w:rPr>
          <w:rFonts w:eastAsia="Times New Roman" w:cstheme="minorHAnsi"/>
          <w:lang w:eastAsia="es-MX"/>
        </w:rPr>
        <w:t>Proponer mejoras en los procesos contables y de control interno.</w:t>
      </w:r>
    </w:p>
    <w:p w14:paraId="1942711C" w14:textId="507F8066"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METODOLOGIA</w:t>
      </w:r>
    </w:p>
    <w:p w14:paraId="466DBBC5" w14:textId="263A8D32" w:rsidR="007603E4" w:rsidRPr="00294391" w:rsidRDefault="007603E4" w:rsidP="00294391">
      <w:pPr>
        <w:spacing w:before="100" w:beforeAutospacing="1" w:after="100" w:afterAutospacing="1" w:line="360" w:lineRule="auto"/>
        <w:jc w:val="both"/>
        <w:rPr>
          <w:rFonts w:eastAsia="Times New Roman" w:cstheme="minorHAnsi"/>
          <w:lang w:eastAsia="es-MX"/>
        </w:rPr>
      </w:pPr>
      <w:r w:rsidRPr="007603E4">
        <w:rPr>
          <w:rFonts w:eastAsia="Times New Roman" w:cstheme="minorHAnsi"/>
          <w:lang w:eastAsia="es-MX"/>
        </w:rPr>
        <w:lastRenderedPageBreak/>
        <w:t>Este informe presenta un análisis detallado de la gestión contable correspondiente al tercer trimestre del año 2025. Se revisan los principales estados financieros, se analiza el cumplimiento de las obligaciones fiscales, el comportamiento de ingresos y egresos, y se establecen recomendaciones para optimizar la gestión financiera del próximo periodo.</w:t>
      </w:r>
    </w:p>
    <w:p w14:paraId="79FE5726" w14:textId="77777777" w:rsidR="00294391" w:rsidRDefault="00294391" w:rsidP="00294391">
      <w:pPr>
        <w:spacing w:after="360" w:line="360" w:lineRule="auto"/>
        <w:jc w:val="both"/>
        <w:rPr>
          <w:rFonts w:eastAsia="Times New Roman" w:cstheme="minorHAnsi"/>
          <w:lang w:eastAsia="es-MX"/>
        </w:rPr>
      </w:pPr>
    </w:p>
    <w:p w14:paraId="17BCDA64" w14:textId="6543ED95"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RESULTADOS</w:t>
      </w:r>
    </w:p>
    <w:tbl>
      <w:tblPr>
        <w:tblStyle w:val="Tablaconcuadrcula"/>
        <w:tblW w:w="0" w:type="auto"/>
        <w:tblLook w:val="04A0" w:firstRow="1" w:lastRow="0" w:firstColumn="1" w:lastColumn="0" w:noHBand="0" w:noVBand="1"/>
      </w:tblPr>
      <w:tblGrid>
        <w:gridCol w:w="1716"/>
        <w:gridCol w:w="1716"/>
        <w:gridCol w:w="1716"/>
        <w:gridCol w:w="1716"/>
        <w:gridCol w:w="1716"/>
      </w:tblGrid>
      <w:tr w:rsidR="007603E4" w:rsidRPr="00294391" w14:paraId="5CC25794" w14:textId="77777777" w:rsidTr="002156ED">
        <w:trPr>
          <w:trHeight w:val="941"/>
        </w:trPr>
        <w:tc>
          <w:tcPr>
            <w:tcW w:w="1716" w:type="dxa"/>
          </w:tcPr>
          <w:p w14:paraId="12E3540B" w14:textId="2AF90398"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 xml:space="preserve">INDICADOR FINANCIERO </w:t>
            </w:r>
          </w:p>
        </w:tc>
        <w:tc>
          <w:tcPr>
            <w:tcW w:w="1716" w:type="dxa"/>
          </w:tcPr>
          <w:p w14:paraId="361BDC46" w14:textId="4BE2273B"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 xml:space="preserve">Ingresos operativos </w:t>
            </w:r>
          </w:p>
        </w:tc>
        <w:tc>
          <w:tcPr>
            <w:tcW w:w="1716" w:type="dxa"/>
          </w:tcPr>
          <w:p w14:paraId="65DE3EB2" w14:textId="4D3EA4A5"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Gastos operativos</w:t>
            </w:r>
          </w:p>
        </w:tc>
        <w:tc>
          <w:tcPr>
            <w:tcW w:w="1716" w:type="dxa"/>
          </w:tcPr>
          <w:p w14:paraId="1A1827A1" w14:textId="33CB0289"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Resultado neto</w:t>
            </w:r>
          </w:p>
        </w:tc>
        <w:tc>
          <w:tcPr>
            <w:tcW w:w="1716" w:type="dxa"/>
          </w:tcPr>
          <w:p w14:paraId="2BB513B9" w14:textId="7AFB3E4B"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 xml:space="preserve">Margen de utilidad </w:t>
            </w:r>
          </w:p>
        </w:tc>
      </w:tr>
      <w:tr w:rsidR="007603E4" w:rsidRPr="00294391" w14:paraId="0CED6C5F" w14:textId="77777777" w:rsidTr="002156ED">
        <w:trPr>
          <w:trHeight w:val="859"/>
        </w:trPr>
        <w:tc>
          <w:tcPr>
            <w:tcW w:w="1716" w:type="dxa"/>
          </w:tcPr>
          <w:p w14:paraId="26A6AB86" w14:textId="38B18436"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RESULTADO TRIMESTRE</w:t>
            </w:r>
          </w:p>
        </w:tc>
        <w:tc>
          <w:tcPr>
            <w:tcW w:w="1716" w:type="dxa"/>
          </w:tcPr>
          <w:p w14:paraId="630EF697" w14:textId="0A069E1E"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w:t>
            </w:r>
            <w:r w:rsidR="002156ED" w:rsidRPr="00294391">
              <w:rPr>
                <w:rFonts w:eastAsia="Times New Roman" w:cstheme="minorHAnsi"/>
                <w:lang w:eastAsia="es-MX"/>
              </w:rPr>
              <w:t>950,000</w:t>
            </w:r>
          </w:p>
        </w:tc>
        <w:tc>
          <w:tcPr>
            <w:tcW w:w="1716" w:type="dxa"/>
          </w:tcPr>
          <w:p w14:paraId="5016E090" w14:textId="5312679B"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$675,000</w:t>
            </w:r>
          </w:p>
        </w:tc>
        <w:tc>
          <w:tcPr>
            <w:tcW w:w="1716" w:type="dxa"/>
          </w:tcPr>
          <w:p w14:paraId="18B1C8C2" w14:textId="47A56E55"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$210,000</w:t>
            </w:r>
          </w:p>
        </w:tc>
        <w:tc>
          <w:tcPr>
            <w:tcW w:w="1716" w:type="dxa"/>
          </w:tcPr>
          <w:p w14:paraId="776F8926" w14:textId="151D9B20"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22.1%</w:t>
            </w:r>
          </w:p>
        </w:tc>
      </w:tr>
      <w:tr w:rsidR="007603E4" w:rsidRPr="00294391" w14:paraId="3CE95E4E" w14:textId="77777777" w:rsidTr="002156ED">
        <w:trPr>
          <w:trHeight w:val="1400"/>
        </w:trPr>
        <w:tc>
          <w:tcPr>
            <w:tcW w:w="1716" w:type="dxa"/>
          </w:tcPr>
          <w:p w14:paraId="0B632BD7" w14:textId="6B1AD9DC"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VARIACION TRIMESTRE</w:t>
            </w:r>
          </w:p>
        </w:tc>
        <w:tc>
          <w:tcPr>
            <w:tcW w:w="1716" w:type="dxa"/>
          </w:tcPr>
          <w:p w14:paraId="76959AD6" w14:textId="5D1C1726"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+4.2%</w:t>
            </w:r>
          </w:p>
        </w:tc>
        <w:tc>
          <w:tcPr>
            <w:tcW w:w="1716" w:type="dxa"/>
          </w:tcPr>
          <w:p w14:paraId="64620BBC" w14:textId="3A38B59D"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+1.8%</w:t>
            </w:r>
          </w:p>
        </w:tc>
        <w:tc>
          <w:tcPr>
            <w:tcW w:w="1716" w:type="dxa"/>
          </w:tcPr>
          <w:p w14:paraId="20691F37" w14:textId="11F7CF3C"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+6.5%</w:t>
            </w:r>
          </w:p>
        </w:tc>
        <w:tc>
          <w:tcPr>
            <w:tcW w:w="1716" w:type="dxa"/>
          </w:tcPr>
          <w:p w14:paraId="7BDF3461" w14:textId="7C03AAA8"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+1.3%</w:t>
            </w:r>
          </w:p>
        </w:tc>
      </w:tr>
      <w:tr w:rsidR="007603E4" w:rsidRPr="00294391" w14:paraId="59462BFC" w14:textId="77777777" w:rsidTr="002156ED">
        <w:trPr>
          <w:trHeight w:val="1383"/>
        </w:trPr>
        <w:tc>
          <w:tcPr>
            <w:tcW w:w="1716" w:type="dxa"/>
          </w:tcPr>
          <w:p w14:paraId="5FD3B3EB" w14:textId="1E8B7C4C" w:rsidR="007603E4" w:rsidRPr="00294391" w:rsidRDefault="007603E4" w:rsidP="00294391">
            <w:pPr>
              <w:spacing w:after="360" w:line="360" w:lineRule="auto"/>
              <w:jc w:val="both"/>
              <w:rPr>
                <w:rFonts w:eastAsia="Times New Roman" w:cstheme="minorHAnsi"/>
                <w:lang w:eastAsia="es-MX"/>
              </w:rPr>
            </w:pPr>
            <w:r w:rsidRPr="00294391">
              <w:rPr>
                <w:rFonts w:eastAsia="Times New Roman" w:cstheme="minorHAnsi"/>
                <w:lang w:eastAsia="es-MX"/>
              </w:rPr>
              <w:t>COMENTARIO</w:t>
            </w:r>
          </w:p>
        </w:tc>
        <w:tc>
          <w:tcPr>
            <w:tcW w:w="1716" w:type="dxa"/>
          </w:tcPr>
          <w:p w14:paraId="57AA398D" w14:textId="45ACB79B"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Ligero aumento</w:t>
            </w:r>
          </w:p>
        </w:tc>
        <w:tc>
          <w:tcPr>
            <w:tcW w:w="1716" w:type="dxa"/>
          </w:tcPr>
          <w:p w14:paraId="386EC7BD" w14:textId="77F24590"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controlado</w:t>
            </w:r>
          </w:p>
        </w:tc>
        <w:tc>
          <w:tcPr>
            <w:tcW w:w="1716" w:type="dxa"/>
          </w:tcPr>
          <w:p w14:paraId="0CF17E9F" w14:textId="25BE23DB"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Supera el objetivo</w:t>
            </w:r>
          </w:p>
        </w:tc>
        <w:tc>
          <w:tcPr>
            <w:tcW w:w="1716" w:type="dxa"/>
          </w:tcPr>
          <w:p w14:paraId="27934EE3" w14:textId="440F986E" w:rsidR="007603E4" w:rsidRPr="00294391" w:rsidRDefault="002156ED" w:rsidP="00294391">
            <w:pPr>
              <w:spacing w:after="360" w:line="360" w:lineRule="auto"/>
              <w:jc w:val="both"/>
              <w:rPr>
                <w:rFonts w:eastAsia="Times New Roman" w:cstheme="minorHAnsi"/>
                <w:lang w:eastAsia="es-MX"/>
              </w:rPr>
            </w:pPr>
            <w:r w:rsidRPr="00294391">
              <w:rPr>
                <w:rFonts w:eastAsia="Times New Roman" w:cstheme="minorHAnsi"/>
                <w:lang w:eastAsia="es-MX"/>
              </w:rPr>
              <w:t>mejora</w:t>
            </w:r>
          </w:p>
        </w:tc>
      </w:tr>
    </w:tbl>
    <w:p w14:paraId="4117FA4A" w14:textId="77777777" w:rsidR="00294391" w:rsidRPr="00294391" w:rsidRDefault="00294391" w:rsidP="00294391">
      <w:pPr>
        <w:spacing w:line="360" w:lineRule="auto"/>
        <w:jc w:val="both"/>
      </w:pPr>
      <w:r w:rsidRPr="00294391">
        <w:rPr>
          <w:lang w:val="es-ES"/>
        </w:rPr>
        <w:t>Inscripción en universidades locales, 2005</w:t>
      </w:r>
    </w:p>
    <w:p w14:paraId="287B7178" w14:textId="77DC2FB0" w:rsidR="00072F34" w:rsidRPr="00294391" w:rsidRDefault="00294391" w:rsidP="00294391">
      <w:pPr>
        <w:pStyle w:val="Textonotapie"/>
        <w:spacing w:line="360" w:lineRule="auto"/>
        <w:jc w:val="both"/>
        <w:rPr>
          <w:sz w:val="22"/>
          <w:szCs w:val="22"/>
        </w:rPr>
      </w:pPr>
      <w:r w:rsidRPr="00294391">
        <w:rPr>
          <w:rStyle w:val="nfasissutil"/>
          <w:sz w:val="22"/>
          <w:szCs w:val="22"/>
          <w:lang w:val="es-ES"/>
        </w:rPr>
        <w:lastRenderedPageBreak/>
        <w:t>Origen:</w:t>
      </w:r>
      <w:r w:rsidRPr="00294391">
        <w:rPr>
          <w:sz w:val="22"/>
          <w:szCs w:val="22"/>
          <w:lang w:val="es-ES"/>
        </w:rPr>
        <w:t xml:space="preserve"> Datos ficticios, solamente a modo de ilustración</w:t>
      </w:r>
      <w:r w:rsidRPr="00294391">
        <w:rPr>
          <w:rFonts w:eastAsia="Times New Roman" w:cstheme="minorHAnsi"/>
          <w:noProof/>
          <w:sz w:val="22"/>
          <w:szCs w:val="22"/>
        </w:rPr>
        <w:drawing>
          <wp:anchor distT="0" distB="0" distL="114300" distR="114300" simplePos="0" relativeHeight="251658240" behindDoc="1" locked="0" layoutInCell="1" allowOverlap="1" wp14:anchorId="323BA581" wp14:editId="38F93F57">
            <wp:simplePos x="0" y="0"/>
            <wp:positionH relativeFrom="margin">
              <wp:posOffset>-138303</wp:posOffset>
            </wp:positionH>
            <wp:positionV relativeFrom="paragraph">
              <wp:posOffset>245618</wp:posOffset>
            </wp:positionV>
            <wp:extent cx="5486400" cy="3200400"/>
            <wp:effectExtent l="0" t="0" r="0" b="0"/>
            <wp:wrapThrough wrapText="bothSides">
              <wp:wrapPolygon edited="0">
                <wp:start x="0" y="0"/>
                <wp:lineTo x="0" y="21471"/>
                <wp:lineTo x="21525" y="21471"/>
                <wp:lineTo x="21525" y="0"/>
                <wp:lineTo x="0" y="0"/>
              </wp:wrapPolygon>
            </wp:wrapThrough>
            <wp:docPr id="3" name="Gráfico 3" descr="es el como aumenta o disminuye ">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6F70D25" w14:textId="3E4ED3A1" w:rsidR="00540FAE" w:rsidRPr="00294391" w:rsidRDefault="00540FAE" w:rsidP="00294391">
      <w:pPr>
        <w:spacing w:line="360" w:lineRule="auto"/>
        <w:jc w:val="both"/>
        <w:rPr>
          <w:lang w:val="es-ES"/>
        </w:rPr>
      </w:pPr>
    </w:p>
    <w:p w14:paraId="711996E9" w14:textId="145D85E0" w:rsidR="00294391" w:rsidRPr="00294391" w:rsidRDefault="00294391" w:rsidP="00294391">
      <w:pPr>
        <w:spacing w:line="360" w:lineRule="auto"/>
        <w:jc w:val="both"/>
        <w:rPr>
          <w:lang w:val="es-ES"/>
        </w:rPr>
      </w:pPr>
      <w:r w:rsidRPr="00294391">
        <w:rPr>
          <w:lang w:val="es-ES"/>
        </w:rPr>
        <w:t xml:space="preserve">CONCLUSION </w:t>
      </w:r>
    </w:p>
    <w:p w14:paraId="1D67B5B9" w14:textId="77777777" w:rsidR="00294391" w:rsidRPr="00294391" w:rsidRDefault="00294391" w:rsidP="00294391">
      <w:pPr>
        <w:spacing w:before="100" w:beforeAutospacing="1" w:after="100" w:afterAutospacing="1" w:line="360" w:lineRule="auto"/>
        <w:jc w:val="both"/>
        <w:rPr>
          <w:rFonts w:eastAsia="Times New Roman" w:cstheme="minorHAnsi"/>
          <w:lang w:eastAsia="es-MX"/>
        </w:rPr>
      </w:pPr>
      <w:r w:rsidRPr="007603E4">
        <w:rPr>
          <w:rFonts w:eastAsia="Times New Roman" w:cstheme="minorHAnsi"/>
          <w:lang w:eastAsia="es-MX"/>
        </w:rPr>
        <w:t>Este informe presenta un análisis detallado de la gestión contable correspondiente al tercer trimestre del año 2025. Se revisan los principales estados financieros, se analiza el cumplimiento de las obligaciones fiscales, el comportamiento de ingresos y egresos, y se establecen recomendaciones para optimizar la gestión financiera del próximo periodo.</w:t>
      </w:r>
    </w:p>
    <w:p w14:paraId="62E59A92" w14:textId="77777777" w:rsidR="00294391" w:rsidRDefault="00294391" w:rsidP="00294391">
      <w:pPr>
        <w:spacing w:line="360" w:lineRule="auto"/>
        <w:jc w:val="both"/>
        <w:rPr>
          <w:lang w:val="es-ES"/>
        </w:rPr>
      </w:pPr>
    </w:p>
    <w:p w14:paraId="65878B3B" w14:textId="77777777" w:rsidR="00294391" w:rsidRPr="00540FAE" w:rsidRDefault="00294391" w:rsidP="00540FAE">
      <w:pPr>
        <w:spacing w:line="360" w:lineRule="auto"/>
        <w:jc w:val="center"/>
        <w:rPr>
          <w:lang w:val="es-ES"/>
        </w:rPr>
      </w:pPr>
    </w:p>
    <w:sectPr w:rsidR="00294391" w:rsidRPr="00540FAE" w:rsidSect="00540FAE">
      <w:headerReference w:type="default" r:id="rId10"/>
      <w:footerReference w:type="default" r:id="rId11"/>
      <w:pgSz w:w="11906" w:h="16838" w:code="9"/>
      <w:pgMar w:top="1701"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59F6" w14:textId="77777777" w:rsidR="00283E39" w:rsidRDefault="00283E39" w:rsidP="00072F34">
      <w:pPr>
        <w:spacing w:after="0" w:line="240" w:lineRule="auto"/>
      </w:pPr>
      <w:r>
        <w:separator/>
      </w:r>
    </w:p>
  </w:endnote>
  <w:endnote w:type="continuationSeparator" w:id="0">
    <w:p w14:paraId="63E737C1" w14:textId="77777777" w:rsidR="00283E39" w:rsidRDefault="00283E39" w:rsidP="0007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BA5E2" w14:textId="4D7385EB" w:rsidR="00294391" w:rsidRDefault="0029439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458739A" w14:textId="77777777" w:rsidR="00294391" w:rsidRDefault="002943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CF37" w14:textId="77777777" w:rsidR="00283E39" w:rsidRDefault="00283E39" w:rsidP="00072F34">
      <w:pPr>
        <w:spacing w:after="0" w:line="240" w:lineRule="auto"/>
      </w:pPr>
      <w:r>
        <w:separator/>
      </w:r>
    </w:p>
  </w:footnote>
  <w:footnote w:type="continuationSeparator" w:id="0">
    <w:p w14:paraId="3282C54F" w14:textId="77777777" w:rsidR="00283E39" w:rsidRDefault="00283E39" w:rsidP="0007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AD41" w14:textId="77777777" w:rsidR="00072F34" w:rsidRPr="00072F34" w:rsidRDefault="00072F34">
    <w:pPr>
      <w:pStyle w:val="Encabezado"/>
      <w:rPr>
        <w:rFonts w:ascii="Arial" w:hAnsi="Arial" w:cs="Arial"/>
        <w:b/>
        <w:bCs/>
        <w:sz w:val="28"/>
        <w:szCs w:val="28"/>
        <w:lang w:val="es-ES"/>
      </w:rPr>
    </w:pPr>
    <w:r w:rsidRPr="00072F34">
      <w:rPr>
        <w:rFonts w:ascii="Arial" w:hAnsi="Arial" w:cs="Arial"/>
        <w:b/>
        <w:bCs/>
        <w:sz w:val="28"/>
        <w:szCs w:val="28"/>
        <w:lang w:val="es-ES"/>
      </w:rPr>
      <w:t>Contabilidad</w:t>
    </w:r>
  </w:p>
  <w:p w14:paraId="468BC7CF" w14:textId="6BC6A92D" w:rsidR="00072F34" w:rsidRPr="00072F34" w:rsidRDefault="00072F34">
    <w:pPr>
      <w:pStyle w:val="Encabezado"/>
      <w:rPr>
        <w:rFonts w:ascii="Arial" w:hAnsi="Arial" w:cs="Arial"/>
        <w:i/>
        <w:iCs/>
        <w:sz w:val="24"/>
        <w:szCs w:val="24"/>
        <w:lang w:val="es-ES"/>
      </w:rPr>
    </w:pPr>
    <w:r w:rsidRPr="00072F34">
      <w:rPr>
        <w:rFonts w:ascii="Arial" w:hAnsi="Arial" w:cs="Arial"/>
        <w:i/>
        <w:iCs/>
        <w:sz w:val="24"/>
        <w:szCs w:val="24"/>
        <w:lang w:val="es-ES"/>
      </w:rPr>
      <w:t xml:space="preserve">Contabilidad II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132"/>
    <w:multiLevelType w:val="hybridMultilevel"/>
    <w:tmpl w:val="B0B80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4D7B08"/>
    <w:multiLevelType w:val="multilevel"/>
    <w:tmpl w:val="834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AE"/>
    <w:rsid w:val="00072F34"/>
    <w:rsid w:val="002156ED"/>
    <w:rsid w:val="00283E39"/>
    <w:rsid w:val="00294391"/>
    <w:rsid w:val="00404123"/>
    <w:rsid w:val="00540FAE"/>
    <w:rsid w:val="007603E4"/>
    <w:rsid w:val="00887D13"/>
    <w:rsid w:val="00E603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1219"/>
  <w15:chartTrackingRefBased/>
  <w15:docId w15:val="{DFADB14A-2BA6-4775-BD3A-65A0D578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4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F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34"/>
  </w:style>
  <w:style w:type="paragraph" w:styleId="Piedepgina">
    <w:name w:val="footer"/>
    <w:basedOn w:val="Normal"/>
    <w:link w:val="PiedepginaCar"/>
    <w:uiPriority w:val="99"/>
    <w:unhideWhenUsed/>
    <w:rsid w:val="00072F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34"/>
  </w:style>
  <w:style w:type="paragraph" w:styleId="NormalWeb">
    <w:name w:val="Normal (Web)"/>
    <w:basedOn w:val="Normal"/>
    <w:uiPriority w:val="99"/>
    <w:semiHidden/>
    <w:unhideWhenUsed/>
    <w:rsid w:val="007603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603E4"/>
    <w:pPr>
      <w:ind w:left="720"/>
      <w:contextualSpacing/>
    </w:pPr>
  </w:style>
  <w:style w:type="table" w:styleId="Tablaconcuadrcula">
    <w:name w:val="Table Grid"/>
    <w:basedOn w:val="Tablanormal"/>
    <w:uiPriority w:val="39"/>
    <w:rsid w:val="0076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294391"/>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294391"/>
    <w:pPr>
      <w:tabs>
        <w:tab w:val="decimal" w:pos="360"/>
      </w:tabs>
      <w:spacing w:after="200" w:line="276" w:lineRule="auto"/>
    </w:pPr>
    <w:rPr>
      <w:rFonts w:eastAsiaTheme="minorEastAsia" w:cs="Times New Roman"/>
      <w:lang w:eastAsia="es-MX"/>
    </w:rPr>
  </w:style>
  <w:style w:type="paragraph" w:styleId="Textonotapie">
    <w:name w:val="footnote text"/>
    <w:basedOn w:val="Normal"/>
    <w:link w:val="TextonotapieCar"/>
    <w:uiPriority w:val="99"/>
    <w:unhideWhenUsed/>
    <w:rsid w:val="00294391"/>
    <w:pPr>
      <w:spacing w:after="0" w:line="240" w:lineRule="auto"/>
    </w:pPr>
    <w:rPr>
      <w:rFonts w:eastAsiaTheme="minorEastAsia" w:cs="Times New Roman"/>
      <w:sz w:val="20"/>
      <w:szCs w:val="20"/>
      <w:lang w:eastAsia="es-MX"/>
    </w:rPr>
  </w:style>
  <w:style w:type="character" w:customStyle="1" w:styleId="TextonotapieCar">
    <w:name w:val="Texto nota pie Car"/>
    <w:basedOn w:val="Fuentedeprrafopredeter"/>
    <w:link w:val="Textonotapie"/>
    <w:uiPriority w:val="99"/>
    <w:rsid w:val="00294391"/>
    <w:rPr>
      <w:rFonts w:eastAsiaTheme="minorEastAsia" w:cs="Times New Roman"/>
      <w:sz w:val="20"/>
      <w:szCs w:val="20"/>
      <w:lang w:eastAsia="es-MX"/>
    </w:rPr>
  </w:style>
  <w:style w:type="character" w:styleId="nfasissutil">
    <w:name w:val="Subtle Emphasis"/>
    <w:basedOn w:val="Fuentedeprrafopredeter"/>
    <w:uiPriority w:val="19"/>
    <w:qFormat/>
    <w:rsid w:val="00294391"/>
    <w:rPr>
      <w:i/>
      <w:iCs/>
    </w:rPr>
  </w:style>
  <w:style w:type="table" w:styleId="Sombreadomedio2-nfasis5">
    <w:name w:val="Medium Shading 2 Accent 5"/>
    <w:basedOn w:val="Tablanormal"/>
    <w:uiPriority w:val="64"/>
    <w:rsid w:val="00294391"/>
    <w:pPr>
      <w:spacing w:after="0" w:line="240" w:lineRule="auto"/>
    </w:pPr>
    <w:rPr>
      <w:rFonts w:eastAsiaTheme="minorEastAsia"/>
      <w:lang w:eastAsia="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29439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94391"/>
    <w:pPr>
      <w:outlineLvl w:val="9"/>
    </w:pPr>
    <w:rPr>
      <w:lang w:eastAsia="es-MX"/>
    </w:rPr>
  </w:style>
  <w:style w:type="paragraph" w:styleId="TDC2">
    <w:name w:val="toc 2"/>
    <w:basedOn w:val="Normal"/>
    <w:next w:val="Normal"/>
    <w:autoRedefine/>
    <w:uiPriority w:val="39"/>
    <w:unhideWhenUsed/>
    <w:rsid w:val="0029439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94391"/>
    <w:pPr>
      <w:spacing w:after="100"/>
    </w:pPr>
  </w:style>
  <w:style w:type="paragraph" w:styleId="TDC3">
    <w:name w:val="toc 3"/>
    <w:basedOn w:val="Normal"/>
    <w:next w:val="Normal"/>
    <w:autoRedefine/>
    <w:uiPriority w:val="39"/>
    <w:unhideWhenUsed/>
    <w:rsid w:val="00294391"/>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0741">
      <w:bodyDiv w:val="1"/>
      <w:marLeft w:val="0"/>
      <w:marRight w:val="0"/>
      <w:marTop w:val="0"/>
      <w:marBottom w:val="0"/>
      <w:divBdr>
        <w:top w:val="none" w:sz="0" w:space="0" w:color="auto"/>
        <w:left w:val="none" w:sz="0" w:space="0" w:color="auto"/>
        <w:bottom w:val="none" w:sz="0" w:space="0" w:color="auto"/>
        <w:right w:val="none" w:sz="0" w:space="0" w:color="auto"/>
      </w:divBdr>
    </w:div>
    <w:div w:id="592124955">
      <w:bodyDiv w:val="1"/>
      <w:marLeft w:val="0"/>
      <w:marRight w:val="0"/>
      <w:marTop w:val="0"/>
      <w:marBottom w:val="0"/>
      <w:divBdr>
        <w:top w:val="none" w:sz="0" w:space="0" w:color="auto"/>
        <w:left w:val="none" w:sz="0" w:space="0" w:color="auto"/>
        <w:bottom w:val="none" w:sz="0" w:space="0" w:color="auto"/>
        <w:right w:val="none" w:sz="0" w:space="0" w:color="auto"/>
      </w:divBdr>
    </w:div>
    <w:div w:id="15547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ventas</a:t>
            </a:r>
            <a:r>
              <a:rPr lang="es-MX" baseline="0"/>
              <a:t> netas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3.3354476523767863E-2"/>
          <c:y val="0.15065523059617547"/>
          <c:w val="0.92960848643919514"/>
          <c:h val="0.66998656417947755"/>
        </c:manualLayout>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7645-4ECB-87BD-54F871DF1DC8}"/>
            </c:ext>
          </c:extLst>
        </c:ser>
        <c:ser>
          <c:idx val="1"/>
          <c:order val="1"/>
          <c:tx>
            <c:strRef>
              <c:f>Hoja1!$C$1</c:f>
              <c:strCache>
                <c:ptCount val="1"/>
                <c:pt idx="0">
                  <c:v>Serie 2</c:v>
                </c:pt>
              </c:strCache>
            </c:strRef>
          </c:tx>
          <c:spPr>
            <a:ln w="28575" cap="rnd">
              <a:solidFill>
                <a:schemeClr val="accent2"/>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7645-4ECB-87BD-54F871DF1DC8}"/>
            </c:ext>
          </c:extLst>
        </c:ser>
        <c:ser>
          <c:idx val="2"/>
          <c:order val="2"/>
          <c:tx>
            <c:strRef>
              <c:f>Hoja1!$D$1</c:f>
              <c:strCache>
                <c:ptCount val="1"/>
                <c:pt idx="0">
                  <c:v>Serie 3</c:v>
                </c:pt>
              </c:strCache>
            </c:strRef>
          </c:tx>
          <c:spPr>
            <a:ln w="28575" cap="rnd">
              <a:solidFill>
                <a:schemeClr val="accent3"/>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7645-4ECB-87BD-54F871DF1DC8}"/>
            </c:ext>
          </c:extLst>
        </c:ser>
        <c:dLbls>
          <c:showLegendKey val="0"/>
          <c:showVal val="0"/>
          <c:showCatName val="0"/>
          <c:showSerName val="0"/>
          <c:showPercent val="0"/>
          <c:showBubbleSize val="0"/>
        </c:dLbls>
        <c:smooth val="0"/>
        <c:axId val="1618209823"/>
        <c:axId val="1618212319"/>
      </c:lineChart>
      <c:catAx>
        <c:axId val="161820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18212319"/>
        <c:crosses val="autoZero"/>
        <c:auto val="1"/>
        <c:lblAlgn val="ctr"/>
        <c:lblOffset val="100"/>
        <c:noMultiLvlLbl val="0"/>
      </c:catAx>
      <c:valAx>
        <c:axId val="161821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1820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F699-A010-4F2B-A469-AFB8C236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389</Words>
  <Characters>2479</Characters>
  <Application>Microsoft Office Word</Application>
  <DocSecurity>0</DocSecurity>
  <Lines>112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2</cp:revision>
  <dcterms:created xsi:type="dcterms:W3CDTF">2025-09-24T16:55:00Z</dcterms:created>
  <dcterms:modified xsi:type="dcterms:W3CDTF">2025-09-24T16:55:00Z</dcterms:modified>
</cp:coreProperties>
</file>