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345" w:rsidRDefault="00421345" w:rsidP="00421345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421345">
        <w:rPr>
          <w:rFonts w:ascii="Arial" w:eastAsia="Times New Roman" w:hAnsi="Arial" w:cs="Arial"/>
          <w:sz w:val="28"/>
          <w:szCs w:val="28"/>
        </w:rPr>
        <w:t>STATNEWS</w:t>
      </w:r>
    </w:p>
    <w:p w:rsidR="00421345" w:rsidRDefault="00421345" w:rsidP="00421345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proofErr w:type="gramStart"/>
      <w:r>
        <w:rPr>
          <w:rFonts w:ascii="Arial" w:eastAsia="Times New Roman" w:hAnsi="Arial" w:cs="Arial"/>
          <w:sz w:val="20"/>
          <w:szCs w:val="20"/>
        </w:rPr>
        <w:t>a</w:t>
      </w:r>
      <w:r w:rsidRPr="00421345">
        <w:rPr>
          <w:rFonts w:ascii="Arial" w:eastAsia="Times New Roman" w:hAnsi="Arial" w:cs="Arial"/>
          <w:sz w:val="20"/>
          <w:szCs w:val="20"/>
        </w:rPr>
        <w:t>s</w:t>
      </w:r>
      <w:proofErr w:type="gramEnd"/>
      <w:r w:rsidRPr="00421345">
        <w:rPr>
          <w:rFonts w:ascii="Arial" w:eastAsia="Times New Roman" w:hAnsi="Arial" w:cs="Arial"/>
          <w:sz w:val="20"/>
          <w:szCs w:val="20"/>
        </w:rPr>
        <w:t xml:space="preserve"> of May 30</w:t>
      </w:r>
    </w:p>
    <w:p w:rsidR="00421345" w:rsidRDefault="00421345" w:rsidP="00421345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421345" w:rsidRDefault="00421345" w:rsidP="00421345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tbl>
      <w:tblPr>
        <w:tblpPr w:leftFromText="180" w:rightFromText="180" w:vertAnchor="text" w:horzAnchor="page" w:tblpX="5716" w:tblpY="70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260"/>
        <w:gridCol w:w="900"/>
        <w:gridCol w:w="1350"/>
      </w:tblGrid>
      <w:tr w:rsidR="00421345" w:rsidRPr="00421345" w:rsidTr="009030F1">
        <w:trPr>
          <w:trHeight w:val="348"/>
        </w:trPr>
        <w:tc>
          <w:tcPr>
            <w:tcW w:w="5238" w:type="dxa"/>
            <w:gridSpan w:val="4"/>
            <w:tcBorders>
              <w:top w:val="nil"/>
              <w:bottom w:val="double" w:sz="4" w:space="0" w:color="auto"/>
            </w:tcBorders>
            <w:shd w:val="clear" w:color="auto" w:fill="auto"/>
            <w:vAlign w:val="center"/>
          </w:tcPr>
          <w:p w:rsidR="00421345" w:rsidRDefault="00421345" w:rsidP="009030F1">
            <w:pPr>
              <w:spacing w:after="0" w:line="240" w:lineRule="auto"/>
              <w:ind w:left="-84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Consumer Price Index by Province, CAR</w:t>
            </w:r>
          </w:p>
          <w:p w:rsidR="00421345" w:rsidRDefault="00421345" w:rsidP="009030F1">
            <w:pPr>
              <w:spacing w:after="0" w:line="240" w:lineRule="auto"/>
              <w:ind w:left="-84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April, 2014 and April, 2015</w:t>
            </w:r>
          </w:p>
          <w:p w:rsidR="00421345" w:rsidRPr="00421345" w:rsidRDefault="00421345" w:rsidP="009030F1">
            <w:pPr>
              <w:spacing w:after="0" w:line="240" w:lineRule="auto"/>
              <w:ind w:left="-84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(2006 = 100)</w:t>
            </w:r>
          </w:p>
        </w:tc>
      </w:tr>
      <w:tr w:rsidR="00421345" w:rsidRPr="00421345" w:rsidTr="009030F1">
        <w:trPr>
          <w:trHeight w:val="348"/>
        </w:trPr>
        <w:tc>
          <w:tcPr>
            <w:tcW w:w="1728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421345" w:rsidRPr="00421345" w:rsidRDefault="00421345" w:rsidP="009030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421345">
              <w:rPr>
                <w:rFonts w:ascii="Arial" w:eastAsia="Times New Roman" w:hAnsi="Arial" w:cs="Arial"/>
                <w:b/>
              </w:rPr>
              <w:t>Province</w:t>
            </w:r>
          </w:p>
        </w:tc>
        <w:tc>
          <w:tcPr>
            <w:tcW w:w="2160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21345" w:rsidRPr="00421345" w:rsidRDefault="00421345" w:rsidP="009030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421345">
              <w:rPr>
                <w:rFonts w:ascii="Arial" w:eastAsia="Times New Roman" w:hAnsi="Arial" w:cs="Arial"/>
                <w:b/>
              </w:rPr>
              <w:t>April</w:t>
            </w:r>
          </w:p>
        </w:tc>
        <w:tc>
          <w:tcPr>
            <w:tcW w:w="1350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421345" w:rsidRPr="00421345" w:rsidRDefault="00421345" w:rsidP="009030F1">
            <w:pPr>
              <w:spacing w:after="0" w:line="240" w:lineRule="auto"/>
              <w:ind w:left="-84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421345">
              <w:rPr>
                <w:rFonts w:ascii="Arial" w:eastAsia="Times New Roman" w:hAnsi="Arial" w:cs="Arial"/>
                <w:b/>
              </w:rPr>
              <w:t>Index Point Change</w:t>
            </w:r>
          </w:p>
        </w:tc>
      </w:tr>
      <w:tr w:rsidR="00421345" w:rsidRPr="00421345" w:rsidTr="009030F1">
        <w:trPr>
          <w:trHeight w:val="260"/>
        </w:trPr>
        <w:tc>
          <w:tcPr>
            <w:tcW w:w="1728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21345" w:rsidRPr="00421345" w:rsidRDefault="00421345" w:rsidP="009030F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1345" w:rsidRPr="00421345" w:rsidRDefault="00421345" w:rsidP="009030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421345">
              <w:rPr>
                <w:rFonts w:ascii="Arial" w:eastAsia="Times New Roman" w:hAnsi="Arial" w:cs="Arial"/>
                <w:b/>
              </w:rPr>
              <w:t>2014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1345" w:rsidRPr="00421345" w:rsidRDefault="00421345" w:rsidP="009030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421345">
              <w:rPr>
                <w:rFonts w:ascii="Arial" w:eastAsia="Times New Roman" w:hAnsi="Arial" w:cs="Arial"/>
                <w:b/>
              </w:rPr>
              <w:t>2015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421345" w:rsidRPr="00421345" w:rsidRDefault="00421345" w:rsidP="009030F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</w:p>
        </w:tc>
      </w:tr>
      <w:tr w:rsidR="00421345" w:rsidRPr="00421345" w:rsidTr="009030F1">
        <w:trPr>
          <w:trHeight w:val="357"/>
        </w:trPr>
        <w:tc>
          <w:tcPr>
            <w:tcW w:w="172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421345" w:rsidRPr="00421345" w:rsidRDefault="00421345" w:rsidP="009030F1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421345">
              <w:rPr>
                <w:rFonts w:ascii="Arial" w:eastAsia="Times New Roman" w:hAnsi="Arial" w:cs="Arial"/>
                <w:b/>
              </w:rPr>
              <w:t>CAR</w:t>
            </w:r>
          </w:p>
        </w:tc>
        <w:tc>
          <w:tcPr>
            <w:tcW w:w="1260" w:type="dxa"/>
            <w:tcBorders>
              <w:top w:val="double" w:sz="4" w:space="0" w:color="auto"/>
            </w:tcBorders>
            <w:shd w:val="clear" w:color="auto" w:fill="auto"/>
            <w:vAlign w:val="bottom"/>
          </w:tcPr>
          <w:p w:rsidR="00421345" w:rsidRPr="00421345" w:rsidRDefault="00421345" w:rsidP="009030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421345">
              <w:rPr>
                <w:rFonts w:ascii="Arial" w:eastAsia="Times New Roman" w:hAnsi="Arial" w:cs="Arial"/>
              </w:rPr>
              <w:t>135.2</w:t>
            </w:r>
          </w:p>
        </w:tc>
        <w:tc>
          <w:tcPr>
            <w:tcW w:w="900" w:type="dxa"/>
            <w:tcBorders>
              <w:top w:val="double" w:sz="4" w:space="0" w:color="auto"/>
            </w:tcBorders>
            <w:shd w:val="clear" w:color="auto" w:fill="auto"/>
            <w:vAlign w:val="bottom"/>
          </w:tcPr>
          <w:p w:rsidR="00421345" w:rsidRPr="00421345" w:rsidRDefault="00421345" w:rsidP="009030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421345">
              <w:rPr>
                <w:rFonts w:ascii="Arial" w:eastAsia="Times New Roman" w:hAnsi="Arial" w:cs="Arial"/>
              </w:rPr>
              <w:t>138.5</w:t>
            </w:r>
          </w:p>
        </w:tc>
        <w:tc>
          <w:tcPr>
            <w:tcW w:w="1350" w:type="dxa"/>
            <w:tcBorders>
              <w:top w:val="double" w:sz="4" w:space="0" w:color="auto"/>
            </w:tcBorders>
            <w:shd w:val="clear" w:color="auto" w:fill="auto"/>
            <w:vAlign w:val="bottom"/>
          </w:tcPr>
          <w:p w:rsidR="00421345" w:rsidRPr="00421345" w:rsidRDefault="00421345" w:rsidP="009030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421345">
              <w:rPr>
                <w:rFonts w:ascii="Arial" w:eastAsia="Times New Roman" w:hAnsi="Arial" w:cs="Arial"/>
              </w:rPr>
              <w:t>3.3</w:t>
            </w:r>
          </w:p>
        </w:tc>
      </w:tr>
      <w:tr w:rsidR="00421345" w:rsidRPr="00421345" w:rsidTr="009030F1">
        <w:tc>
          <w:tcPr>
            <w:tcW w:w="1728" w:type="dxa"/>
            <w:shd w:val="clear" w:color="auto" w:fill="auto"/>
            <w:vAlign w:val="bottom"/>
          </w:tcPr>
          <w:p w:rsidR="00421345" w:rsidRPr="00421345" w:rsidRDefault="00421345" w:rsidP="009030F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421345">
              <w:rPr>
                <w:rFonts w:ascii="Arial" w:eastAsia="Times New Roman" w:hAnsi="Arial" w:cs="Arial"/>
                <w:bCs/>
              </w:rPr>
              <w:t xml:space="preserve">   </w:t>
            </w:r>
            <w:proofErr w:type="spellStart"/>
            <w:r w:rsidRPr="00421345">
              <w:rPr>
                <w:rFonts w:ascii="Arial" w:eastAsia="Times New Roman" w:hAnsi="Arial" w:cs="Arial"/>
                <w:bCs/>
              </w:rPr>
              <w:t>Abra</w:t>
            </w:r>
            <w:proofErr w:type="spellEnd"/>
          </w:p>
        </w:tc>
        <w:tc>
          <w:tcPr>
            <w:tcW w:w="1260" w:type="dxa"/>
            <w:shd w:val="clear" w:color="auto" w:fill="auto"/>
            <w:vAlign w:val="bottom"/>
          </w:tcPr>
          <w:p w:rsidR="00421345" w:rsidRPr="00421345" w:rsidRDefault="00421345" w:rsidP="009030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421345">
              <w:rPr>
                <w:rFonts w:ascii="Arial" w:eastAsia="Times New Roman" w:hAnsi="Arial" w:cs="Arial"/>
              </w:rPr>
              <w:t>129.6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421345" w:rsidRPr="00421345" w:rsidRDefault="00421345" w:rsidP="009030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421345">
              <w:rPr>
                <w:rFonts w:ascii="Arial" w:eastAsia="Times New Roman" w:hAnsi="Arial" w:cs="Arial"/>
              </w:rPr>
              <w:t>130.1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421345" w:rsidRPr="00421345" w:rsidRDefault="00421345" w:rsidP="009030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421345">
              <w:rPr>
                <w:rFonts w:ascii="Arial" w:eastAsia="Times New Roman" w:hAnsi="Arial" w:cs="Arial"/>
              </w:rPr>
              <w:t>0.5</w:t>
            </w:r>
          </w:p>
        </w:tc>
      </w:tr>
      <w:tr w:rsidR="00421345" w:rsidRPr="00421345" w:rsidTr="009030F1">
        <w:trPr>
          <w:trHeight w:val="70"/>
        </w:trPr>
        <w:tc>
          <w:tcPr>
            <w:tcW w:w="1728" w:type="dxa"/>
            <w:shd w:val="clear" w:color="auto" w:fill="auto"/>
            <w:vAlign w:val="bottom"/>
          </w:tcPr>
          <w:p w:rsidR="00421345" w:rsidRPr="00421345" w:rsidRDefault="00421345" w:rsidP="009030F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421345">
              <w:rPr>
                <w:rFonts w:ascii="Arial" w:eastAsia="Times New Roman" w:hAnsi="Arial" w:cs="Arial"/>
                <w:bCs/>
              </w:rPr>
              <w:t xml:space="preserve">   </w:t>
            </w:r>
            <w:proofErr w:type="spellStart"/>
            <w:r w:rsidRPr="00421345">
              <w:rPr>
                <w:rFonts w:ascii="Arial" w:eastAsia="Times New Roman" w:hAnsi="Arial" w:cs="Arial"/>
                <w:bCs/>
              </w:rPr>
              <w:t>Apayao</w:t>
            </w:r>
            <w:proofErr w:type="spellEnd"/>
          </w:p>
        </w:tc>
        <w:tc>
          <w:tcPr>
            <w:tcW w:w="1260" w:type="dxa"/>
            <w:shd w:val="clear" w:color="auto" w:fill="auto"/>
            <w:vAlign w:val="bottom"/>
          </w:tcPr>
          <w:p w:rsidR="00421345" w:rsidRPr="00421345" w:rsidRDefault="00421345" w:rsidP="009030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421345">
              <w:rPr>
                <w:rFonts w:ascii="Arial" w:eastAsia="Times New Roman" w:hAnsi="Arial" w:cs="Arial"/>
              </w:rPr>
              <w:t>127.8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421345" w:rsidRPr="00421345" w:rsidRDefault="00421345" w:rsidP="009030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421345">
              <w:rPr>
                <w:rFonts w:ascii="Arial" w:eastAsia="Times New Roman" w:hAnsi="Arial" w:cs="Arial"/>
              </w:rPr>
              <w:t>130.0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421345" w:rsidRPr="00421345" w:rsidRDefault="00421345" w:rsidP="009030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421345">
              <w:rPr>
                <w:rFonts w:ascii="Arial" w:eastAsia="Times New Roman" w:hAnsi="Arial" w:cs="Arial"/>
              </w:rPr>
              <w:t>2.2</w:t>
            </w:r>
          </w:p>
        </w:tc>
      </w:tr>
      <w:tr w:rsidR="00421345" w:rsidRPr="00421345" w:rsidTr="009030F1">
        <w:tc>
          <w:tcPr>
            <w:tcW w:w="1728" w:type="dxa"/>
            <w:shd w:val="clear" w:color="auto" w:fill="auto"/>
            <w:vAlign w:val="bottom"/>
          </w:tcPr>
          <w:p w:rsidR="00421345" w:rsidRPr="00421345" w:rsidRDefault="00421345" w:rsidP="009030F1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421345">
              <w:rPr>
                <w:rFonts w:ascii="Arial" w:eastAsia="Times New Roman" w:hAnsi="Arial" w:cs="Arial"/>
                <w:bCs/>
              </w:rPr>
              <w:t xml:space="preserve">   </w:t>
            </w:r>
            <w:proofErr w:type="spellStart"/>
            <w:r w:rsidRPr="00421345">
              <w:rPr>
                <w:rFonts w:ascii="Arial" w:eastAsia="Times New Roman" w:hAnsi="Arial" w:cs="Arial"/>
                <w:bCs/>
              </w:rPr>
              <w:t>Benguet</w:t>
            </w:r>
            <w:proofErr w:type="spellEnd"/>
          </w:p>
        </w:tc>
        <w:tc>
          <w:tcPr>
            <w:tcW w:w="1260" w:type="dxa"/>
            <w:shd w:val="clear" w:color="auto" w:fill="auto"/>
            <w:vAlign w:val="bottom"/>
          </w:tcPr>
          <w:p w:rsidR="00421345" w:rsidRPr="00421345" w:rsidRDefault="00421345" w:rsidP="009030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421345">
              <w:rPr>
                <w:rFonts w:ascii="Arial" w:eastAsia="Times New Roman" w:hAnsi="Arial" w:cs="Arial"/>
              </w:rPr>
              <w:t>136.1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421345" w:rsidRPr="00421345" w:rsidRDefault="00421345" w:rsidP="009030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421345">
              <w:rPr>
                <w:rFonts w:ascii="Arial" w:eastAsia="Times New Roman" w:hAnsi="Arial" w:cs="Arial"/>
              </w:rPr>
              <w:t>141.5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421345" w:rsidRPr="00421345" w:rsidRDefault="00421345" w:rsidP="009030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421345">
              <w:rPr>
                <w:rFonts w:ascii="Arial" w:eastAsia="Times New Roman" w:hAnsi="Arial" w:cs="Arial"/>
              </w:rPr>
              <w:t>5.4</w:t>
            </w:r>
          </w:p>
        </w:tc>
      </w:tr>
      <w:tr w:rsidR="00421345" w:rsidRPr="00421345" w:rsidTr="009030F1">
        <w:tc>
          <w:tcPr>
            <w:tcW w:w="1728" w:type="dxa"/>
            <w:shd w:val="clear" w:color="auto" w:fill="auto"/>
            <w:vAlign w:val="bottom"/>
          </w:tcPr>
          <w:p w:rsidR="00421345" w:rsidRPr="00421345" w:rsidRDefault="00421345" w:rsidP="009030F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421345">
              <w:rPr>
                <w:rFonts w:ascii="Arial" w:eastAsia="Times New Roman" w:hAnsi="Arial" w:cs="Arial"/>
                <w:bCs/>
              </w:rPr>
              <w:t xml:space="preserve">   </w:t>
            </w:r>
            <w:proofErr w:type="spellStart"/>
            <w:r w:rsidRPr="00421345">
              <w:rPr>
                <w:rFonts w:ascii="Arial" w:eastAsia="Times New Roman" w:hAnsi="Arial" w:cs="Arial"/>
                <w:bCs/>
              </w:rPr>
              <w:t>Ifugao</w:t>
            </w:r>
            <w:proofErr w:type="spellEnd"/>
          </w:p>
        </w:tc>
        <w:tc>
          <w:tcPr>
            <w:tcW w:w="1260" w:type="dxa"/>
            <w:shd w:val="clear" w:color="auto" w:fill="auto"/>
            <w:vAlign w:val="bottom"/>
          </w:tcPr>
          <w:p w:rsidR="00421345" w:rsidRPr="00421345" w:rsidRDefault="00421345" w:rsidP="009030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421345">
              <w:rPr>
                <w:rFonts w:ascii="Arial" w:eastAsia="Times New Roman" w:hAnsi="Arial" w:cs="Arial"/>
              </w:rPr>
              <w:t>140.9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421345" w:rsidRPr="00421345" w:rsidRDefault="00421345" w:rsidP="009030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421345">
              <w:rPr>
                <w:rFonts w:ascii="Arial" w:eastAsia="Times New Roman" w:hAnsi="Arial" w:cs="Arial"/>
              </w:rPr>
              <w:t>141.1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421345" w:rsidRPr="00421345" w:rsidRDefault="00421345" w:rsidP="009030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421345">
              <w:rPr>
                <w:rFonts w:ascii="Arial" w:eastAsia="Times New Roman" w:hAnsi="Arial" w:cs="Arial"/>
              </w:rPr>
              <w:t>0.2</w:t>
            </w:r>
          </w:p>
        </w:tc>
      </w:tr>
      <w:tr w:rsidR="00421345" w:rsidRPr="00421345" w:rsidTr="009030F1">
        <w:tc>
          <w:tcPr>
            <w:tcW w:w="17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21345" w:rsidRPr="00421345" w:rsidRDefault="00421345" w:rsidP="009030F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421345">
              <w:rPr>
                <w:rFonts w:ascii="Arial" w:eastAsia="Times New Roman" w:hAnsi="Arial" w:cs="Arial"/>
                <w:bCs/>
              </w:rPr>
              <w:t xml:space="preserve">   </w:t>
            </w:r>
            <w:proofErr w:type="spellStart"/>
            <w:r w:rsidRPr="00421345">
              <w:rPr>
                <w:rFonts w:ascii="Arial" w:eastAsia="Times New Roman" w:hAnsi="Arial" w:cs="Arial"/>
                <w:bCs/>
              </w:rPr>
              <w:t>Kalinga</w:t>
            </w:r>
            <w:proofErr w:type="spellEnd"/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21345" w:rsidRPr="00421345" w:rsidRDefault="00421345" w:rsidP="009030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421345">
              <w:rPr>
                <w:rFonts w:ascii="Arial" w:eastAsia="Times New Roman" w:hAnsi="Arial" w:cs="Arial"/>
              </w:rPr>
              <w:t>132.4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21345" w:rsidRPr="00421345" w:rsidRDefault="00421345" w:rsidP="009030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421345">
              <w:rPr>
                <w:rFonts w:ascii="Arial" w:eastAsia="Times New Roman" w:hAnsi="Arial" w:cs="Arial"/>
              </w:rPr>
              <w:t>132.8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21345" w:rsidRPr="00421345" w:rsidRDefault="00421345" w:rsidP="009030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421345">
              <w:rPr>
                <w:rFonts w:ascii="Arial" w:eastAsia="Times New Roman" w:hAnsi="Arial" w:cs="Arial"/>
              </w:rPr>
              <w:t>0.4</w:t>
            </w:r>
          </w:p>
        </w:tc>
      </w:tr>
      <w:tr w:rsidR="00421345" w:rsidRPr="00421345" w:rsidTr="009030F1">
        <w:tc>
          <w:tcPr>
            <w:tcW w:w="1728" w:type="dxa"/>
            <w:tcBorders>
              <w:bottom w:val="double" w:sz="4" w:space="0" w:color="auto"/>
            </w:tcBorders>
            <w:shd w:val="clear" w:color="auto" w:fill="auto"/>
            <w:vAlign w:val="bottom"/>
          </w:tcPr>
          <w:p w:rsidR="00421345" w:rsidRPr="00421345" w:rsidRDefault="00421345" w:rsidP="009030F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421345">
              <w:rPr>
                <w:rFonts w:ascii="Arial" w:eastAsia="Times New Roman" w:hAnsi="Arial" w:cs="Arial"/>
                <w:bCs/>
              </w:rPr>
              <w:t xml:space="preserve">   Mt. Province</w:t>
            </w:r>
          </w:p>
        </w:tc>
        <w:tc>
          <w:tcPr>
            <w:tcW w:w="1260" w:type="dxa"/>
            <w:tcBorders>
              <w:bottom w:val="double" w:sz="4" w:space="0" w:color="auto"/>
            </w:tcBorders>
            <w:shd w:val="clear" w:color="auto" w:fill="auto"/>
            <w:vAlign w:val="bottom"/>
          </w:tcPr>
          <w:p w:rsidR="00421345" w:rsidRPr="00421345" w:rsidRDefault="00421345" w:rsidP="009030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421345">
              <w:rPr>
                <w:rFonts w:ascii="Arial" w:eastAsia="Times New Roman" w:hAnsi="Arial" w:cs="Arial"/>
              </w:rPr>
              <w:t>139.5</w:t>
            </w:r>
          </w:p>
        </w:tc>
        <w:tc>
          <w:tcPr>
            <w:tcW w:w="900" w:type="dxa"/>
            <w:tcBorders>
              <w:bottom w:val="double" w:sz="4" w:space="0" w:color="auto"/>
            </w:tcBorders>
            <w:shd w:val="clear" w:color="auto" w:fill="auto"/>
            <w:vAlign w:val="bottom"/>
          </w:tcPr>
          <w:p w:rsidR="00421345" w:rsidRPr="00421345" w:rsidRDefault="00421345" w:rsidP="009030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421345">
              <w:rPr>
                <w:rFonts w:ascii="Arial" w:eastAsia="Times New Roman" w:hAnsi="Arial" w:cs="Arial"/>
              </w:rPr>
              <w:t>143.3</w:t>
            </w:r>
          </w:p>
        </w:tc>
        <w:tc>
          <w:tcPr>
            <w:tcW w:w="1350" w:type="dxa"/>
            <w:tcBorders>
              <w:bottom w:val="double" w:sz="4" w:space="0" w:color="auto"/>
            </w:tcBorders>
            <w:shd w:val="clear" w:color="auto" w:fill="auto"/>
            <w:vAlign w:val="bottom"/>
          </w:tcPr>
          <w:p w:rsidR="00421345" w:rsidRPr="00421345" w:rsidRDefault="00421345" w:rsidP="009030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421345">
              <w:rPr>
                <w:rFonts w:ascii="Arial" w:eastAsia="Times New Roman" w:hAnsi="Arial" w:cs="Arial"/>
              </w:rPr>
              <w:t>3.8</w:t>
            </w:r>
          </w:p>
        </w:tc>
      </w:tr>
    </w:tbl>
    <w:p w:rsidR="00421345" w:rsidRPr="00421345" w:rsidRDefault="00421345" w:rsidP="00421345">
      <w:pPr>
        <w:tabs>
          <w:tab w:val="num" w:pos="900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68310A">
        <w:rPr>
          <w:rFonts w:ascii="Arial" w:eastAsia="Times New Roman" w:hAnsi="Arial" w:cs="Arial"/>
          <w:sz w:val="24"/>
          <w:szCs w:val="24"/>
        </w:rPr>
        <w:t xml:space="preserve">     The </w:t>
      </w:r>
      <w:r w:rsidRPr="00421345">
        <w:rPr>
          <w:rFonts w:ascii="Arial" w:eastAsia="Times New Roman" w:hAnsi="Arial" w:cs="Arial"/>
          <w:sz w:val="24"/>
          <w:szCs w:val="24"/>
        </w:rPr>
        <w:t>Consumer Price Index of CAR in April, 2015 was 138.5, higher by 3.3 from last year’s 135.2.</w:t>
      </w:r>
      <w:r w:rsidRPr="0068310A">
        <w:rPr>
          <w:rFonts w:ascii="Arial" w:eastAsia="Times New Roman" w:hAnsi="Arial" w:cs="Arial"/>
          <w:sz w:val="24"/>
          <w:szCs w:val="24"/>
        </w:rPr>
        <w:t xml:space="preserve">  </w:t>
      </w:r>
      <w:r w:rsidRPr="00421345">
        <w:rPr>
          <w:rFonts w:ascii="Arial" w:eastAsia="Times New Roman" w:hAnsi="Arial" w:cs="Arial"/>
          <w:sz w:val="24"/>
          <w:szCs w:val="24"/>
        </w:rPr>
        <w:t>Generally, there was an increase in the CPI of all the provinces due to the increase in the average prices of goods and services.</w:t>
      </w:r>
      <w:r w:rsidRPr="0068310A">
        <w:rPr>
          <w:rFonts w:ascii="Arial" w:eastAsia="Times New Roman" w:hAnsi="Arial" w:cs="Arial"/>
          <w:sz w:val="24"/>
          <w:szCs w:val="24"/>
        </w:rPr>
        <w:t xml:space="preserve"> </w:t>
      </w:r>
      <w:r w:rsidRPr="00421345">
        <w:rPr>
          <w:rFonts w:ascii="Arial" w:eastAsia="Times New Roman" w:hAnsi="Arial" w:cs="Arial"/>
          <w:sz w:val="24"/>
          <w:szCs w:val="24"/>
        </w:rPr>
        <w:t xml:space="preserve">Among provinces, Mt. Province posted the highest CPI at 143.3 followed by </w:t>
      </w:r>
      <w:proofErr w:type="spellStart"/>
      <w:r w:rsidRPr="00421345">
        <w:rPr>
          <w:rFonts w:ascii="Arial" w:eastAsia="Times New Roman" w:hAnsi="Arial" w:cs="Arial"/>
          <w:sz w:val="24"/>
          <w:szCs w:val="24"/>
        </w:rPr>
        <w:t>Benguet</w:t>
      </w:r>
      <w:proofErr w:type="spellEnd"/>
      <w:r w:rsidRPr="00421345">
        <w:rPr>
          <w:rFonts w:ascii="Arial" w:eastAsia="Times New Roman" w:hAnsi="Arial" w:cs="Arial"/>
          <w:sz w:val="24"/>
          <w:szCs w:val="24"/>
        </w:rPr>
        <w:t xml:space="preserve"> at 141.5 and </w:t>
      </w:r>
      <w:proofErr w:type="spellStart"/>
      <w:r w:rsidRPr="00421345">
        <w:rPr>
          <w:rFonts w:ascii="Arial" w:eastAsia="Times New Roman" w:hAnsi="Arial" w:cs="Arial"/>
          <w:sz w:val="24"/>
          <w:szCs w:val="24"/>
        </w:rPr>
        <w:t>Ifugao</w:t>
      </w:r>
      <w:proofErr w:type="spellEnd"/>
      <w:r w:rsidRPr="00421345">
        <w:rPr>
          <w:rFonts w:ascii="Arial" w:eastAsia="Times New Roman" w:hAnsi="Arial" w:cs="Arial"/>
          <w:sz w:val="24"/>
          <w:szCs w:val="24"/>
        </w:rPr>
        <w:t xml:space="preserve"> at 141.1. On the other hand, </w:t>
      </w:r>
      <w:proofErr w:type="spellStart"/>
      <w:r w:rsidRPr="00421345">
        <w:rPr>
          <w:rFonts w:ascii="Arial" w:eastAsia="Times New Roman" w:hAnsi="Arial" w:cs="Arial"/>
          <w:sz w:val="24"/>
          <w:szCs w:val="24"/>
        </w:rPr>
        <w:t>Apayao</w:t>
      </w:r>
      <w:proofErr w:type="spellEnd"/>
      <w:r w:rsidRPr="00421345">
        <w:rPr>
          <w:rFonts w:ascii="Arial" w:eastAsia="Times New Roman" w:hAnsi="Arial" w:cs="Arial"/>
          <w:sz w:val="24"/>
          <w:szCs w:val="24"/>
        </w:rPr>
        <w:t xml:space="preserve"> posted the lowest at 130.0.</w:t>
      </w:r>
      <w:r w:rsidRPr="0068310A">
        <w:rPr>
          <w:rFonts w:ascii="Arial" w:eastAsia="Times New Roman" w:hAnsi="Arial" w:cs="Arial"/>
          <w:sz w:val="24"/>
          <w:szCs w:val="24"/>
        </w:rPr>
        <w:t xml:space="preserve"> </w:t>
      </w:r>
      <w:r w:rsidRPr="00421345">
        <w:rPr>
          <w:rFonts w:ascii="Arial" w:eastAsia="Times New Roman" w:hAnsi="Arial" w:cs="Arial"/>
          <w:sz w:val="24"/>
          <w:szCs w:val="24"/>
        </w:rPr>
        <w:t xml:space="preserve">In terms of index point change, </w:t>
      </w:r>
      <w:proofErr w:type="spellStart"/>
      <w:r w:rsidRPr="00421345">
        <w:rPr>
          <w:rFonts w:ascii="Arial" w:eastAsia="Times New Roman" w:hAnsi="Arial" w:cs="Arial"/>
          <w:sz w:val="24"/>
          <w:szCs w:val="24"/>
        </w:rPr>
        <w:t>Benguet</w:t>
      </w:r>
      <w:proofErr w:type="spellEnd"/>
      <w:r w:rsidRPr="00421345">
        <w:rPr>
          <w:rFonts w:ascii="Arial" w:eastAsia="Times New Roman" w:hAnsi="Arial" w:cs="Arial"/>
          <w:sz w:val="24"/>
          <w:szCs w:val="24"/>
        </w:rPr>
        <w:t xml:space="preserve"> reported the highest at 5.4 while </w:t>
      </w:r>
      <w:proofErr w:type="spellStart"/>
      <w:r w:rsidRPr="00421345">
        <w:rPr>
          <w:rFonts w:ascii="Arial" w:eastAsia="Times New Roman" w:hAnsi="Arial" w:cs="Arial"/>
          <w:sz w:val="24"/>
          <w:szCs w:val="24"/>
        </w:rPr>
        <w:t>Ifugao</w:t>
      </w:r>
      <w:proofErr w:type="spellEnd"/>
      <w:r w:rsidRPr="00421345">
        <w:rPr>
          <w:rFonts w:ascii="Arial" w:eastAsia="Times New Roman" w:hAnsi="Arial" w:cs="Arial"/>
          <w:sz w:val="24"/>
          <w:szCs w:val="24"/>
        </w:rPr>
        <w:t xml:space="preserve"> was lowest at 0.2.</w:t>
      </w:r>
    </w:p>
    <w:p w:rsidR="00421345" w:rsidRPr="00421345" w:rsidRDefault="00421345" w:rsidP="0042134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421345" w:rsidRPr="0068310A" w:rsidRDefault="00421345" w:rsidP="0042134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68310A">
        <w:rPr>
          <w:rFonts w:ascii="Arial" w:eastAsia="Times New Roman" w:hAnsi="Arial" w:cs="Arial"/>
          <w:sz w:val="24"/>
          <w:szCs w:val="24"/>
        </w:rPr>
        <w:t xml:space="preserve">     </w:t>
      </w:r>
      <w:r w:rsidRPr="00421345">
        <w:rPr>
          <w:rFonts w:ascii="Arial" w:eastAsia="Times New Roman" w:hAnsi="Arial" w:cs="Arial"/>
          <w:sz w:val="24"/>
          <w:szCs w:val="24"/>
        </w:rPr>
        <w:t>The Consumer Price Index is the general measure of the change in the average retail prices of a market basket or collection of goods and services commonly purchased by the average Filipino household.</w:t>
      </w:r>
    </w:p>
    <w:p w:rsidR="00A74349" w:rsidRPr="00421345" w:rsidRDefault="00A74349" w:rsidP="00421345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bookmarkStart w:id="0" w:name="_GoBack"/>
      <w:bookmarkEnd w:id="0"/>
    </w:p>
    <w:p w:rsidR="00421345" w:rsidRPr="00421345" w:rsidRDefault="00421345" w:rsidP="00421345">
      <w:p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Arial" w:eastAsia="Times New Roman" w:hAnsi="Arial" w:cs="Arial"/>
          <w:b/>
          <w:sz w:val="24"/>
          <w:szCs w:val="24"/>
        </w:rPr>
      </w:pPr>
      <w:r w:rsidRPr="0068310A">
        <w:rPr>
          <w:rFonts w:ascii="Arial" w:eastAsia="Times New Roman" w:hAnsi="Arial" w:cs="Arial"/>
          <w:sz w:val="24"/>
          <w:szCs w:val="24"/>
        </w:rPr>
        <w:t xml:space="preserve">      </w:t>
      </w:r>
      <w:r w:rsidRPr="00421345">
        <w:rPr>
          <w:rFonts w:ascii="Arial" w:eastAsia="Times New Roman" w:hAnsi="Arial" w:cs="Arial"/>
          <w:sz w:val="24"/>
          <w:szCs w:val="24"/>
        </w:rPr>
        <w:t xml:space="preserve">Among the commodity groups, under </w:t>
      </w:r>
      <w:r w:rsidRPr="00421345">
        <w:rPr>
          <w:rFonts w:ascii="Arial" w:eastAsia="Times New Roman" w:hAnsi="Arial" w:cs="Arial"/>
          <w:i/>
          <w:sz w:val="24"/>
          <w:szCs w:val="24"/>
        </w:rPr>
        <w:t>Alcoholic Beverages and Tobacco</w:t>
      </w:r>
      <w:r w:rsidRPr="00421345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421345">
        <w:rPr>
          <w:rFonts w:ascii="Arial" w:eastAsia="Times New Roman" w:hAnsi="Arial" w:cs="Arial"/>
          <w:sz w:val="24"/>
          <w:szCs w:val="24"/>
        </w:rPr>
        <w:t>Abra</w:t>
      </w:r>
      <w:proofErr w:type="spellEnd"/>
      <w:r w:rsidRPr="00421345">
        <w:rPr>
          <w:rFonts w:ascii="Arial" w:eastAsia="Times New Roman" w:hAnsi="Arial" w:cs="Arial"/>
          <w:sz w:val="24"/>
          <w:szCs w:val="24"/>
        </w:rPr>
        <w:t xml:space="preserve"> had the highest consumer price index at 194.8 followed by </w:t>
      </w:r>
      <w:proofErr w:type="spellStart"/>
      <w:r w:rsidRPr="00421345">
        <w:rPr>
          <w:rFonts w:ascii="Arial" w:eastAsia="Times New Roman" w:hAnsi="Arial" w:cs="Arial"/>
          <w:sz w:val="24"/>
          <w:szCs w:val="24"/>
        </w:rPr>
        <w:t>Kalinga</w:t>
      </w:r>
      <w:proofErr w:type="spellEnd"/>
      <w:r w:rsidRPr="00421345"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r w:rsidRPr="00421345">
        <w:rPr>
          <w:rFonts w:ascii="Arial" w:eastAsia="Times New Roman" w:hAnsi="Arial" w:cs="Arial"/>
          <w:sz w:val="24"/>
          <w:szCs w:val="24"/>
        </w:rPr>
        <w:t>Benguet</w:t>
      </w:r>
      <w:proofErr w:type="spellEnd"/>
      <w:r w:rsidRPr="00421345">
        <w:rPr>
          <w:rFonts w:ascii="Arial" w:eastAsia="Times New Roman" w:hAnsi="Arial" w:cs="Arial"/>
          <w:sz w:val="24"/>
          <w:szCs w:val="24"/>
        </w:rPr>
        <w:t xml:space="preserve"> at 191.0 and 190.4, respectively.</w:t>
      </w:r>
      <w:r w:rsidRPr="0068310A">
        <w:rPr>
          <w:rFonts w:ascii="Arial" w:eastAsia="Times New Roman" w:hAnsi="Arial" w:cs="Arial"/>
          <w:b/>
          <w:sz w:val="24"/>
          <w:szCs w:val="24"/>
        </w:rPr>
        <w:t xml:space="preserve">  </w:t>
      </w:r>
      <w:r w:rsidRPr="00421345">
        <w:rPr>
          <w:rFonts w:ascii="Arial" w:eastAsia="Times New Roman" w:hAnsi="Arial" w:cs="Arial"/>
          <w:i/>
          <w:sz w:val="24"/>
          <w:szCs w:val="24"/>
        </w:rPr>
        <w:t>Food and Non-Alcoholic Beverages</w:t>
      </w:r>
      <w:r w:rsidRPr="00421345">
        <w:rPr>
          <w:rFonts w:ascii="Arial" w:eastAsia="Times New Roman" w:hAnsi="Arial" w:cs="Arial"/>
          <w:sz w:val="24"/>
          <w:szCs w:val="24"/>
        </w:rPr>
        <w:t xml:space="preserve"> came next with </w:t>
      </w:r>
      <w:proofErr w:type="spellStart"/>
      <w:r w:rsidRPr="00421345">
        <w:rPr>
          <w:rFonts w:ascii="Arial" w:eastAsia="Times New Roman" w:hAnsi="Arial" w:cs="Arial"/>
          <w:sz w:val="24"/>
          <w:szCs w:val="24"/>
        </w:rPr>
        <w:t>Benguet</w:t>
      </w:r>
      <w:proofErr w:type="spellEnd"/>
      <w:r w:rsidRPr="00421345">
        <w:rPr>
          <w:rFonts w:ascii="Arial" w:eastAsia="Times New Roman" w:hAnsi="Arial" w:cs="Arial"/>
          <w:sz w:val="24"/>
          <w:szCs w:val="24"/>
        </w:rPr>
        <w:t xml:space="preserve"> having the most at 157.2 followed by Mt. Province at 153.7.</w:t>
      </w:r>
      <w:r w:rsidRPr="0068310A">
        <w:rPr>
          <w:rFonts w:ascii="Arial" w:eastAsia="Times New Roman" w:hAnsi="Arial" w:cs="Arial"/>
          <w:b/>
          <w:sz w:val="24"/>
          <w:szCs w:val="24"/>
        </w:rPr>
        <w:t xml:space="preserve">  </w:t>
      </w:r>
      <w:r w:rsidRPr="00421345">
        <w:rPr>
          <w:rFonts w:ascii="Arial" w:eastAsia="Times New Roman" w:hAnsi="Arial" w:cs="Arial"/>
          <w:i/>
          <w:sz w:val="24"/>
          <w:szCs w:val="24"/>
        </w:rPr>
        <w:t>Education</w:t>
      </w:r>
      <w:r w:rsidRPr="00421345">
        <w:rPr>
          <w:rFonts w:ascii="Arial" w:eastAsia="Times New Roman" w:hAnsi="Arial" w:cs="Arial"/>
          <w:sz w:val="24"/>
          <w:szCs w:val="24"/>
        </w:rPr>
        <w:t xml:space="preserve"> had the third highest index by commodity group with Mt. Province having contributed the most at 175.5 followed by </w:t>
      </w:r>
      <w:proofErr w:type="spellStart"/>
      <w:r w:rsidRPr="00421345">
        <w:rPr>
          <w:rFonts w:ascii="Arial" w:eastAsia="Times New Roman" w:hAnsi="Arial" w:cs="Arial"/>
          <w:sz w:val="24"/>
          <w:szCs w:val="24"/>
        </w:rPr>
        <w:t>Kalinga</w:t>
      </w:r>
      <w:proofErr w:type="spellEnd"/>
      <w:r w:rsidRPr="00421345">
        <w:rPr>
          <w:rFonts w:ascii="Arial" w:eastAsia="Times New Roman" w:hAnsi="Arial" w:cs="Arial"/>
          <w:sz w:val="24"/>
          <w:szCs w:val="24"/>
        </w:rPr>
        <w:t xml:space="preserve"> at 157.3.</w:t>
      </w:r>
      <w:r w:rsidRPr="0068310A">
        <w:rPr>
          <w:rFonts w:ascii="Arial" w:eastAsia="Times New Roman" w:hAnsi="Arial" w:cs="Arial"/>
          <w:b/>
          <w:sz w:val="24"/>
          <w:szCs w:val="24"/>
        </w:rPr>
        <w:t xml:space="preserve">  </w:t>
      </w:r>
      <w:r w:rsidRPr="00421345">
        <w:rPr>
          <w:rFonts w:ascii="Arial" w:eastAsia="Times New Roman" w:hAnsi="Arial" w:cs="Arial"/>
          <w:i/>
          <w:sz w:val="24"/>
          <w:szCs w:val="24"/>
        </w:rPr>
        <w:t>Communication</w:t>
      </w:r>
      <w:r w:rsidRPr="00421345">
        <w:rPr>
          <w:rFonts w:ascii="Arial" w:eastAsia="Times New Roman" w:hAnsi="Arial" w:cs="Arial"/>
          <w:sz w:val="24"/>
          <w:szCs w:val="24"/>
        </w:rPr>
        <w:t xml:space="preserve"> had the lowest consumer price index.  </w:t>
      </w:r>
      <w:proofErr w:type="spellStart"/>
      <w:r w:rsidRPr="00421345">
        <w:rPr>
          <w:rFonts w:ascii="Arial" w:eastAsia="Times New Roman" w:hAnsi="Arial" w:cs="Arial"/>
          <w:sz w:val="24"/>
          <w:szCs w:val="24"/>
        </w:rPr>
        <w:t>Abra</w:t>
      </w:r>
      <w:proofErr w:type="spellEnd"/>
      <w:r w:rsidRPr="00421345">
        <w:rPr>
          <w:rFonts w:ascii="Arial" w:eastAsia="Times New Roman" w:hAnsi="Arial" w:cs="Arial"/>
          <w:sz w:val="24"/>
          <w:szCs w:val="24"/>
        </w:rPr>
        <w:t xml:space="preserve"> posted the highest index at 111.3 while </w:t>
      </w:r>
      <w:proofErr w:type="spellStart"/>
      <w:r w:rsidRPr="00421345">
        <w:rPr>
          <w:rFonts w:ascii="Arial" w:eastAsia="Times New Roman" w:hAnsi="Arial" w:cs="Arial"/>
          <w:sz w:val="24"/>
          <w:szCs w:val="24"/>
        </w:rPr>
        <w:t>Apayao</w:t>
      </w:r>
      <w:proofErr w:type="spellEnd"/>
      <w:r w:rsidRPr="00421345">
        <w:rPr>
          <w:rFonts w:ascii="Arial" w:eastAsia="Times New Roman" w:hAnsi="Arial" w:cs="Arial"/>
          <w:sz w:val="24"/>
          <w:szCs w:val="24"/>
        </w:rPr>
        <w:t xml:space="preserve"> had the lowest at 77.7.</w:t>
      </w:r>
    </w:p>
    <w:p w:rsidR="00A74349" w:rsidRPr="0068310A" w:rsidRDefault="00A74349" w:rsidP="0042134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421345" w:rsidRPr="00421345" w:rsidRDefault="00A74349" w:rsidP="0068310A">
      <w:pPr>
        <w:spacing w:after="0" w:line="240" w:lineRule="auto"/>
        <w:jc w:val="both"/>
        <w:rPr>
          <w:rFonts w:ascii="Arial" w:eastAsia="Times New Roman" w:hAnsi="Arial" w:cs="Arial"/>
          <w:i/>
          <w:sz w:val="24"/>
          <w:szCs w:val="24"/>
        </w:rPr>
      </w:pPr>
      <w:r w:rsidRPr="0068310A">
        <w:rPr>
          <w:rFonts w:ascii="Arial" w:eastAsia="Times New Roman" w:hAnsi="Arial" w:cs="Arial"/>
          <w:sz w:val="24"/>
          <w:szCs w:val="24"/>
        </w:rPr>
        <w:t xml:space="preserve">     </w:t>
      </w:r>
      <w:r w:rsidR="00421345" w:rsidRPr="00421345">
        <w:rPr>
          <w:rFonts w:ascii="Arial" w:eastAsia="Times New Roman" w:hAnsi="Arial" w:cs="Arial"/>
          <w:sz w:val="24"/>
          <w:szCs w:val="24"/>
        </w:rPr>
        <w:t xml:space="preserve">Across provinces, </w:t>
      </w:r>
      <w:proofErr w:type="spellStart"/>
      <w:r w:rsidR="00421345" w:rsidRPr="00421345">
        <w:rPr>
          <w:rFonts w:ascii="Arial" w:eastAsia="Times New Roman" w:hAnsi="Arial" w:cs="Arial"/>
          <w:sz w:val="24"/>
          <w:szCs w:val="24"/>
        </w:rPr>
        <w:t>Apayao</w:t>
      </w:r>
      <w:proofErr w:type="spellEnd"/>
      <w:r w:rsidR="00421345" w:rsidRPr="00421345">
        <w:rPr>
          <w:rFonts w:ascii="Arial" w:eastAsia="Times New Roman" w:hAnsi="Arial" w:cs="Arial"/>
          <w:sz w:val="24"/>
          <w:szCs w:val="24"/>
        </w:rPr>
        <w:t xml:space="preserve"> posted the lowest index except for </w:t>
      </w:r>
      <w:r w:rsidR="00421345" w:rsidRPr="00421345">
        <w:rPr>
          <w:rFonts w:ascii="Arial" w:eastAsia="Times New Roman" w:hAnsi="Arial" w:cs="Arial"/>
          <w:i/>
          <w:sz w:val="24"/>
          <w:szCs w:val="24"/>
        </w:rPr>
        <w:t>Food and Non-</w:t>
      </w:r>
      <w:proofErr w:type="gramStart"/>
      <w:r w:rsidR="00421345" w:rsidRPr="00421345">
        <w:rPr>
          <w:rFonts w:ascii="Arial" w:eastAsia="Times New Roman" w:hAnsi="Arial" w:cs="Arial"/>
          <w:i/>
          <w:sz w:val="24"/>
          <w:szCs w:val="24"/>
        </w:rPr>
        <w:t xml:space="preserve">Alcoholic </w:t>
      </w:r>
      <w:r w:rsidRPr="0068310A">
        <w:rPr>
          <w:rFonts w:ascii="Arial" w:eastAsia="Times New Roman" w:hAnsi="Arial" w:cs="Arial"/>
          <w:i/>
          <w:sz w:val="24"/>
          <w:szCs w:val="24"/>
        </w:rPr>
        <w:t xml:space="preserve"> </w:t>
      </w:r>
      <w:r w:rsidR="00421345" w:rsidRPr="00421345">
        <w:rPr>
          <w:rFonts w:ascii="Arial" w:eastAsia="Times New Roman" w:hAnsi="Arial" w:cs="Arial"/>
          <w:i/>
          <w:sz w:val="24"/>
          <w:szCs w:val="24"/>
        </w:rPr>
        <w:t>Beverages</w:t>
      </w:r>
      <w:proofErr w:type="gramEnd"/>
      <w:r w:rsidR="00421345" w:rsidRPr="00421345">
        <w:rPr>
          <w:rFonts w:ascii="Arial" w:eastAsia="Times New Roman" w:hAnsi="Arial" w:cs="Arial"/>
          <w:i/>
          <w:sz w:val="24"/>
          <w:szCs w:val="24"/>
        </w:rPr>
        <w:t>, Alcoholic Beverages and Tobacco, Recreation and Culture; and Restaurants and Miscellaneous Goods and Services.</w:t>
      </w:r>
      <w:r w:rsidR="00421345" w:rsidRPr="00421345">
        <w:rPr>
          <w:rFonts w:ascii="Arial" w:eastAsia="Times New Roman" w:hAnsi="Arial" w:cs="Arial"/>
          <w:b/>
          <w:bCs/>
          <w:szCs w:val="24"/>
        </w:rPr>
        <w:tab/>
      </w:r>
    </w:p>
    <w:p w:rsidR="00421345" w:rsidRPr="00421345" w:rsidRDefault="00421345" w:rsidP="00421345">
      <w:pPr>
        <w:spacing w:after="0" w:line="240" w:lineRule="auto"/>
        <w:ind w:left="720"/>
        <w:jc w:val="both"/>
        <w:rPr>
          <w:rFonts w:ascii="Arial" w:eastAsia="Times New Roman" w:hAnsi="Arial" w:cs="Arial"/>
          <w:b/>
          <w:sz w:val="16"/>
          <w:szCs w:val="16"/>
        </w:rPr>
      </w:pPr>
    </w:p>
    <w:p w:rsidR="00421345" w:rsidRPr="00421345" w:rsidRDefault="00421345" w:rsidP="00421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270"/>
        <w:jc w:val="center"/>
        <w:rPr>
          <w:rFonts w:ascii="Arial" w:eastAsia="Times New Roman" w:hAnsi="Arial" w:cs="Arial"/>
          <w:b/>
          <w:bCs/>
          <w:lang w:val="en-PH" w:eastAsia="en-PH"/>
        </w:rPr>
      </w:pPr>
      <w:proofErr w:type="gramStart"/>
      <w:r w:rsidRPr="00421345">
        <w:rPr>
          <w:rFonts w:ascii="Arial" w:eastAsia="Times New Roman" w:hAnsi="Arial" w:cs="Arial"/>
          <w:b/>
          <w:bCs/>
          <w:lang w:val="en-PH" w:eastAsia="en-PH"/>
        </w:rPr>
        <w:t>Table 2.</w:t>
      </w:r>
      <w:proofErr w:type="gramEnd"/>
      <w:r w:rsidRPr="00421345">
        <w:rPr>
          <w:rFonts w:ascii="Arial" w:eastAsia="Times New Roman" w:hAnsi="Arial" w:cs="Arial"/>
          <w:b/>
          <w:bCs/>
          <w:lang w:val="en-PH" w:eastAsia="en-PH"/>
        </w:rPr>
        <w:t xml:space="preserve"> Consumer Price Index by Commodity Group and by Province, CAR:</w:t>
      </w:r>
    </w:p>
    <w:p w:rsidR="00421345" w:rsidRPr="00421345" w:rsidRDefault="00421345" w:rsidP="00421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270"/>
        <w:jc w:val="center"/>
        <w:rPr>
          <w:rFonts w:ascii="Arial" w:eastAsia="Times New Roman" w:hAnsi="Arial" w:cs="Arial"/>
          <w:b/>
          <w:bCs/>
          <w:lang w:val="en-PH" w:eastAsia="en-PH"/>
        </w:rPr>
      </w:pPr>
      <w:r w:rsidRPr="00421345">
        <w:rPr>
          <w:rFonts w:ascii="Arial" w:eastAsia="Times New Roman" w:hAnsi="Arial" w:cs="Arial"/>
          <w:b/>
          <w:bCs/>
          <w:lang w:val="en-PH" w:eastAsia="en-PH"/>
        </w:rPr>
        <w:t>April, 2015</w:t>
      </w:r>
    </w:p>
    <w:p w:rsidR="00421345" w:rsidRPr="00421345" w:rsidRDefault="00421345" w:rsidP="00421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270"/>
        <w:jc w:val="center"/>
        <w:rPr>
          <w:rFonts w:ascii="Arial" w:eastAsia="Times New Roman" w:hAnsi="Arial" w:cs="Arial"/>
          <w:b/>
          <w:bCs/>
          <w:lang w:val="en-PH" w:eastAsia="en-PH"/>
        </w:rPr>
      </w:pPr>
      <w:r w:rsidRPr="00421345">
        <w:rPr>
          <w:rFonts w:ascii="Arial" w:eastAsia="Times New Roman" w:hAnsi="Arial" w:cs="Arial"/>
          <w:b/>
          <w:bCs/>
          <w:lang w:val="en-PH" w:eastAsia="en-PH"/>
        </w:rPr>
        <w:t>(2006=100)</w:t>
      </w:r>
    </w:p>
    <w:tbl>
      <w:tblPr>
        <w:tblW w:w="8838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78"/>
        <w:gridCol w:w="801"/>
        <w:gridCol w:w="720"/>
        <w:gridCol w:w="900"/>
        <w:gridCol w:w="810"/>
        <w:gridCol w:w="810"/>
        <w:gridCol w:w="729"/>
        <w:gridCol w:w="990"/>
      </w:tblGrid>
      <w:tr w:rsidR="00421345" w:rsidRPr="00421345" w:rsidTr="0068310A">
        <w:trPr>
          <w:trHeight w:val="223"/>
          <w:jc w:val="center"/>
        </w:trPr>
        <w:tc>
          <w:tcPr>
            <w:tcW w:w="3078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Commodity Group</w:t>
            </w:r>
          </w:p>
        </w:tc>
        <w:tc>
          <w:tcPr>
            <w:tcW w:w="5760" w:type="dxa"/>
            <w:gridSpan w:val="7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Province</w:t>
            </w:r>
          </w:p>
        </w:tc>
      </w:tr>
      <w:tr w:rsidR="00040666" w:rsidRPr="0068310A" w:rsidTr="0068310A">
        <w:trPr>
          <w:trHeight w:val="414"/>
          <w:jc w:val="center"/>
        </w:trPr>
        <w:tc>
          <w:tcPr>
            <w:tcW w:w="3078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CAR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ind w:left="-126" w:right="-108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9030F1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Abra</w:t>
            </w:r>
            <w:proofErr w:type="spellEnd"/>
          </w:p>
        </w:tc>
        <w:tc>
          <w:tcPr>
            <w:tcW w:w="90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21345" w:rsidRPr="009030F1" w:rsidRDefault="00421345" w:rsidP="00040666">
            <w:pPr>
              <w:spacing w:after="0" w:line="240" w:lineRule="auto"/>
              <w:ind w:left="-198" w:right="-90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9030F1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Apayao</w:t>
            </w:r>
            <w:proofErr w:type="spellEnd"/>
          </w:p>
        </w:tc>
        <w:tc>
          <w:tcPr>
            <w:tcW w:w="81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ind w:left="-126" w:right="-108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9030F1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Benguet</w:t>
            </w:r>
            <w:proofErr w:type="spellEnd"/>
          </w:p>
        </w:tc>
        <w:tc>
          <w:tcPr>
            <w:tcW w:w="81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ind w:left="-36" w:right="-108" w:hanging="9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9030F1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Ifugao</w:t>
            </w:r>
            <w:proofErr w:type="spellEnd"/>
          </w:p>
        </w:tc>
        <w:tc>
          <w:tcPr>
            <w:tcW w:w="72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9030F1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Kalinga</w:t>
            </w:r>
            <w:proofErr w:type="spellEnd"/>
          </w:p>
        </w:tc>
        <w:tc>
          <w:tcPr>
            <w:tcW w:w="99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ind w:right="-108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Mt. Province</w:t>
            </w:r>
          </w:p>
        </w:tc>
      </w:tr>
      <w:tr w:rsidR="00040666" w:rsidRPr="0068310A" w:rsidTr="0068310A">
        <w:trPr>
          <w:trHeight w:val="376"/>
          <w:jc w:val="center"/>
        </w:trPr>
        <w:tc>
          <w:tcPr>
            <w:tcW w:w="3078" w:type="dxa"/>
            <w:shd w:val="clear" w:color="auto" w:fill="auto"/>
            <w:vAlign w:val="bottom"/>
          </w:tcPr>
          <w:p w:rsidR="00421345" w:rsidRPr="009030F1" w:rsidRDefault="00421345" w:rsidP="0042134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All Items</w:t>
            </w:r>
          </w:p>
        </w:tc>
        <w:tc>
          <w:tcPr>
            <w:tcW w:w="801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138.5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21345" w:rsidRPr="009030F1" w:rsidRDefault="00421345" w:rsidP="00040666">
            <w:pPr>
              <w:spacing w:after="0" w:line="240" w:lineRule="auto"/>
              <w:ind w:right="-108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 xml:space="preserve"> 130.1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130.0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141.5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141.1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132.8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143.3</w:t>
            </w:r>
          </w:p>
        </w:tc>
      </w:tr>
      <w:tr w:rsidR="00040666" w:rsidRPr="0068310A" w:rsidTr="0068310A">
        <w:trPr>
          <w:trHeight w:val="504"/>
          <w:jc w:val="center"/>
        </w:trPr>
        <w:tc>
          <w:tcPr>
            <w:tcW w:w="3078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    Food and Non-Alcoholic  </w:t>
            </w:r>
          </w:p>
          <w:p w:rsidR="00421345" w:rsidRPr="009030F1" w:rsidRDefault="00421345" w:rsidP="0042134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       Beverages</w:t>
            </w:r>
          </w:p>
        </w:tc>
        <w:tc>
          <w:tcPr>
            <w:tcW w:w="801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150.6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138.4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145.9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157.2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148.8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140.9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153.7</w:t>
            </w:r>
          </w:p>
        </w:tc>
      </w:tr>
      <w:tr w:rsidR="00040666" w:rsidRPr="0068310A" w:rsidTr="0068310A">
        <w:trPr>
          <w:trHeight w:val="531"/>
          <w:jc w:val="center"/>
        </w:trPr>
        <w:tc>
          <w:tcPr>
            <w:tcW w:w="3078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    Alcoholic Beverages &amp; </w:t>
            </w:r>
          </w:p>
          <w:p w:rsidR="00421345" w:rsidRPr="009030F1" w:rsidRDefault="00421345" w:rsidP="0042134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       Tobacco</w:t>
            </w:r>
          </w:p>
        </w:tc>
        <w:tc>
          <w:tcPr>
            <w:tcW w:w="801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187.1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194.8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186.5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190.4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175.6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191.0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169.4</w:t>
            </w:r>
          </w:p>
        </w:tc>
      </w:tr>
      <w:tr w:rsidR="00040666" w:rsidRPr="0068310A" w:rsidTr="0068310A">
        <w:trPr>
          <w:trHeight w:val="261"/>
          <w:jc w:val="center"/>
        </w:trPr>
        <w:tc>
          <w:tcPr>
            <w:tcW w:w="3078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    Clothing and Footwear</w:t>
            </w:r>
          </w:p>
        </w:tc>
        <w:tc>
          <w:tcPr>
            <w:tcW w:w="801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128.5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139.7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115.6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123.7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144.9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118.9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144.2</w:t>
            </w:r>
          </w:p>
        </w:tc>
      </w:tr>
      <w:tr w:rsidR="00040666" w:rsidRPr="0068310A" w:rsidTr="0068310A">
        <w:trPr>
          <w:trHeight w:val="522"/>
          <w:jc w:val="center"/>
        </w:trPr>
        <w:tc>
          <w:tcPr>
            <w:tcW w:w="3078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    Housing, Water, Electricity,   </w:t>
            </w:r>
          </w:p>
          <w:p w:rsidR="00421345" w:rsidRPr="009030F1" w:rsidRDefault="00421345" w:rsidP="0042134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       Gas and  Other Fuels</w:t>
            </w:r>
          </w:p>
        </w:tc>
        <w:tc>
          <w:tcPr>
            <w:tcW w:w="801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131.1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112.0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105.0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143.9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131.2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110.3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129.7</w:t>
            </w:r>
          </w:p>
        </w:tc>
      </w:tr>
      <w:tr w:rsidR="00040666" w:rsidRPr="0068310A" w:rsidTr="0068310A">
        <w:trPr>
          <w:trHeight w:val="721"/>
          <w:jc w:val="center"/>
        </w:trPr>
        <w:tc>
          <w:tcPr>
            <w:tcW w:w="3078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    Furnishing, Household  </w:t>
            </w:r>
          </w:p>
          <w:p w:rsidR="00421345" w:rsidRPr="009030F1" w:rsidRDefault="00421345" w:rsidP="0042134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       Equipment and Routine </w:t>
            </w:r>
          </w:p>
          <w:p w:rsidR="00421345" w:rsidRPr="009030F1" w:rsidRDefault="00421345" w:rsidP="0042134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       Maintenance of the House</w:t>
            </w:r>
          </w:p>
        </w:tc>
        <w:tc>
          <w:tcPr>
            <w:tcW w:w="801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127.5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121.8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113.4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131.5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116.9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132.3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133.5</w:t>
            </w:r>
          </w:p>
        </w:tc>
      </w:tr>
      <w:tr w:rsidR="00040666" w:rsidRPr="0068310A" w:rsidTr="0068310A">
        <w:trPr>
          <w:trHeight w:val="261"/>
          <w:jc w:val="center"/>
        </w:trPr>
        <w:tc>
          <w:tcPr>
            <w:tcW w:w="3078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    Health</w:t>
            </w:r>
          </w:p>
        </w:tc>
        <w:tc>
          <w:tcPr>
            <w:tcW w:w="801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129.4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119.3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109.7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135.5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113.9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125.7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131.5</w:t>
            </w:r>
          </w:p>
        </w:tc>
      </w:tr>
      <w:tr w:rsidR="00040666" w:rsidRPr="0068310A" w:rsidTr="0068310A">
        <w:trPr>
          <w:trHeight w:val="261"/>
          <w:jc w:val="center"/>
        </w:trPr>
        <w:tc>
          <w:tcPr>
            <w:tcW w:w="3078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    Transport</w:t>
            </w:r>
          </w:p>
        </w:tc>
        <w:tc>
          <w:tcPr>
            <w:tcW w:w="801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129.6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148.4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114.7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127.3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131.9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142.4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122.1</w:t>
            </w:r>
          </w:p>
        </w:tc>
      </w:tr>
      <w:tr w:rsidR="00040666" w:rsidRPr="0068310A" w:rsidTr="0068310A">
        <w:trPr>
          <w:trHeight w:val="261"/>
          <w:jc w:val="center"/>
        </w:trPr>
        <w:tc>
          <w:tcPr>
            <w:tcW w:w="3078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    Communication</w:t>
            </w:r>
          </w:p>
        </w:tc>
        <w:tc>
          <w:tcPr>
            <w:tcW w:w="801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83.1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111.3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77.7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79.9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99.1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77.9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86.4</w:t>
            </w:r>
          </w:p>
        </w:tc>
      </w:tr>
      <w:tr w:rsidR="00040666" w:rsidRPr="0068310A" w:rsidTr="0068310A">
        <w:trPr>
          <w:trHeight w:val="261"/>
          <w:jc w:val="center"/>
        </w:trPr>
        <w:tc>
          <w:tcPr>
            <w:tcW w:w="3078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    Recreation and Culture</w:t>
            </w:r>
          </w:p>
        </w:tc>
        <w:tc>
          <w:tcPr>
            <w:tcW w:w="801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107.3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107.4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115.6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104.5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106.3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113.7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110.4</w:t>
            </w:r>
          </w:p>
        </w:tc>
      </w:tr>
      <w:tr w:rsidR="00040666" w:rsidRPr="0068310A" w:rsidTr="0068310A">
        <w:trPr>
          <w:trHeight w:val="256"/>
          <w:jc w:val="center"/>
        </w:trPr>
        <w:tc>
          <w:tcPr>
            <w:tcW w:w="30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    Education</w:t>
            </w: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147.4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143.8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140.9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138.3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155.8</w:t>
            </w:r>
          </w:p>
        </w:tc>
        <w:tc>
          <w:tcPr>
            <w:tcW w:w="72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157.3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175.5</w:t>
            </w:r>
          </w:p>
        </w:tc>
      </w:tr>
      <w:tr w:rsidR="00040666" w:rsidRPr="0068310A" w:rsidTr="0068310A">
        <w:trPr>
          <w:trHeight w:val="692"/>
          <w:jc w:val="center"/>
        </w:trPr>
        <w:tc>
          <w:tcPr>
            <w:tcW w:w="307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    Restaurants </w:t>
            </w:r>
          </w:p>
          <w:p w:rsidR="00421345" w:rsidRPr="009030F1" w:rsidRDefault="00421345" w:rsidP="0042134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       and Miscellaneous Goods      </w:t>
            </w:r>
            <w:r w:rsidRPr="009030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br/>
              <w:t xml:space="preserve">        and Services</w:t>
            </w:r>
          </w:p>
        </w:tc>
        <w:tc>
          <w:tcPr>
            <w:tcW w:w="8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126.6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114.8</w:t>
            </w:r>
          </w:p>
        </w:tc>
        <w:tc>
          <w:tcPr>
            <w:tcW w:w="90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132.3</w:t>
            </w:r>
          </w:p>
        </w:tc>
        <w:tc>
          <w:tcPr>
            <w:tcW w:w="81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124.9</w:t>
            </w:r>
          </w:p>
        </w:tc>
        <w:tc>
          <w:tcPr>
            <w:tcW w:w="81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145.2</w:t>
            </w:r>
          </w:p>
        </w:tc>
        <w:tc>
          <w:tcPr>
            <w:tcW w:w="72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127.6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21345" w:rsidRPr="009030F1" w:rsidRDefault="00421345" w:rsidP="004213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30F1">
              <w:rPr>
                <w:rFonts w:ascii="Arial" w:eastAsia="Times New Roman" w:hAnsi="Arial" w:cs="Arial"/>
                <w:sz w:val="20"/>
                <w:szCs w:val="20"/>
              </w:rPr>
              <w:t>132.8</w:t>
            </w:r>
          </w:p>
        </w:tc>
      </w:tr>
    </w:tbl>
    <w:p w:rsidR="00421345" w:rsidRPr="00421345" w:rsidRDefault="00421345" w:rsidP="0068310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</w:p>
    <w:sectPr w:rsidR="00421345" w:rsidRPr="00421345" w:rsidSect="0018234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BDCD"/>
      </v:shape>
    </w:pict>
  </w:numPicBullet>
  <w:abstractNum w:abstractNumId="0">
    <w:nsid w:val="05C22132"/>
    <w:multiLevelType w:val="hybridMultilevel"/>
    <w:tmpl w:val="46E66D38"/>
    <w:lvl w:ilvl="0" w:tplc="3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sz w:val="24"/>
        <w:szCs w:val="24"/>
      </w:rPr>
    </w:lvl>
    <w:lvl w:ilvl="1" w:tplc="FB8A78C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544189"/>
    <w:multiLevelType w:val="hybridMultilevel"/>
    <w:tmpl w:val="E190F2E2"/>
    <w:lvl w:ilvl="0" w:tplc="34090007">
      <w:start w:val="1"/>
      <w:numFmt w:val="bullet"/>
      <w:lvlText w:val=""/>
      <w:lvlPicBulletId w:val="0"/>
      <w:lvlJc w:val="left"/>
      <w:pPr>
        <w:ind w:left="77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>
    <w:nsid w:val="5C43465B"/>
    <w:multiLevelType w:val="hybridMultilevel"/>
    <w:tmpl w:val="88D84B48"/>
    <w:lvl w:ilvl="0" w:tplc="34090007">
      <w:start w:val="1"/>
      <w:numFmt w:val="bullet"/>
      <w:lvlText w:val=""/>
      <w:lvlPicBulletId w:val="0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45"/>
    <w:rsid w:val="0000493A"/>
    <w:rsid w:val="00040666"/>
    <w:rsid w:val="000D11F7"/>
    <w:rsid w:val="00182344"/>
    <w:rsid w:val="00421345"/>
    <w:rsid w:val="004C0EDB"/>
    <w:rsid w:val="005B1D7C"/>
    <w:rsid w:val="0068310A"/>
    <w:rsid w:val="009030F1"/>
    <w:rsid w:val="00915B80"/>
    <w:rsid w:val="00A30D9A"/>
    <w:rsid w:val="00A7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3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3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2F7D9-C8FD-49F8-B87F-975A01F3C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9</cp:revision>
  <dcterms:created xsi:type="dcterms:W3CDTF">2015-05-28T22:09:00Z</dcterms:created>
  <dcterms:modified xsi:type="dcterms:W3CDTF">2015-05-29T17:19:00Z</dcterms:modified>
</cp:coreProperties>
</file>