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AF962" w14:textId="77777777" w:rsidR="002B1921" w:rsidRDefault="00000000">
      <w:pPr>
        <w:spacing w:before="157" w:after="157" w:line="270" w:lineRule="auto"/>
      </w:pPr>
      <w:bookmarkStart w:id="0" w:name="the_age_of_execution"/>
      <w:r>
        <w:rPr>
          <w:rFonts w:ascii="source serif 4" w:eastAsia="source serif 4" w:hAnsi="source serif 4" w:cs="source serif 4"/>
          <w:b/>
          <w:color w:val="000000"/>
          <w:sz w:val="39"/>
        </w:rPr>
        <w:t>THE AGE OF EXECUTION</w:t>
      </w:r>
      <w:bookmarkEnd w:id="0"/>
    </w:p>
    <w:p w14:paraId="78DE1298" w14:textId="77777777" w:rsidR="002B1921" w:rsidRDefault="00000000">
      <w:pPr>
        <w:spacing w:before="315" w:after="105" w:line="360" w:lineRule="auto"/>
        <w:ind w:left="-30"/>
      </w:pPr>
      <w:bookmarkStart w:id="1" w:name="a_manifesto_for_the_post_rhetoric_b27c62"/>
      <w:r>
        <w:rPr>
          <w:rFonts w:ascii="source serif 4" w:eastAsia="source serif 4" w:hAnsi="source serif 4" w:cs="source serif 4"/>
          <w:b/>
          <w:color w:val="000000"/>
          <w:sz w:val="24"/>
        </w:rPr>
        <w:t>A Manifesto for the Post-Rhetoric Economy</w:t>
      </w:r>
      <w:bookmarkEnd w:id="1"/>
    </w:p>
    <w:p w14:paraId="7A7C43EE" w14:textId="77777777" w:rsidR="002B1921" w:rsidRDefault="00000000">
      <w:pPr>
        <w:spacing w:after="210" w:line="360" w:lineRule="auto"/>
      </w:pPr>
      <w:r>
        <w:rPr>
          <w:rFonts w:ascii="source serif 4" w:eastAsia="source serif 4" w:hAnsi="source serif 4" w:cs="source serif 4"/>
          <w:b/>
          <w:color w:val="000000"/>
        </w:rPr>
        <w:t>The Transition Finance Credibility Index — Foundational Document</w:t>
      </w:r>
      <w:r>
        <w:rPr>
          <w:rFonts w:ascii="source serif 4" w:eastAsia="source serif 4" w:hAnsi="source serif 4" w:cs="source serif 4"/>
          <w:color w:val="000000"/>
        </w:rPr>
        <w:br/>
        <w:t>Draft v0.1, Second Edition · Kyoto, September 2026</w:t>
      </w:r>
    </w:p>
    <w:p w14:paraId="0C470543" w14:textId="77777777" w:rsidR="002B1921" w:rsidRDefault="00000000">
      <w:pPr>
        <w:spacing w:before="210" w:after="0" w:line="360" w:lineRule="auto"/>
      </w:pPr>
      <w:r>
        <w:rPr>
          <w:noProof/>
        </w:rPr>
      </w:r>
      <w:r>
        <w:rPr>
          <w:noProof/>
        </w:rPr>
        <w:pict w14:anchorId="6A0FB798">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A1A24D" w14:textId="77777777" w:rsidR="002B1921" w:rsidRDefault="00000000">
      <w:pPr>
        <w:spacing w:after="210" w:line="360" w:lineRule="auto"/>
      </w:pPr>
      <w:r>
        <w:rPr>
          <w:rFonts w:ascii="source serif 4" w:eastAsia="source serif 4" w:hAnsi="source serif 4" w:cs="source serif 4"/>
          <w:b/>
          <w:color w:val="000000"/>
        </w:rPr>
        <w:t>Status.</w:t>
      </w:r>
      <w:r>
        <w:rPr>
          <w:rFonts w:ascii="source serif 4" w:eastAsia="source serif 4" w:hAnsi="source serif 4" w:cs="source serif 4"/>
          <w:color w:val="000000"/>
        </w:rPr>
        <w:t xml:space="preserve"> Drafting stage. Free iteration and breaking changes until DOI minting, at which point v1.0 freezes as canonical. This Second Edition is a deliberate tabula rasa: it supersedes and withdraws every draft of the first series, while carrying forward their intellectual content entire. Companion to the TFCI Standard v0.1, Second Edition, which governs the instrument. </w:t>
      </w:r>
      <w:r>
        <w:rPr>
          <w:rFonts w:ascii="source serif 4" w:eastAsia="source serif 4" w:hAnsi="source serif 4" w:cs="source serif 4"/>
          <w:b/>
          <w:color w:val="000000"/>
        </w:rPr>
        <w:t>The Standard says how it works. This says what it is.</w:t>
      </w:r>
      <w:r>
        <w:rPr>
          <w:rFonts w:ascii="source serif 4" w:eastAsia="source serif 4" w:hAnsi="source serif 4" w:cs="source serif 4"/>
          <w:color w:val="000000"/>
        </w:rPr>
        <w:t xml:space="preserve"> In any conflict between poetry and schema, the schema governs — and the poetry is written so that never happens.</w:t>
      </w:r>
    </w:p>
    <w:p w14:paraId="22DC17FA" w14:textId="77777777" w:rsidR="002B1921" w:rsidRDefault="00000000">
      <w:pPr>
        <w:spacing w:before="210" w:after="0" w:line="360" w:lineRule="auto"/>
      </w:pPr>
      <w:r>
        <w:rPr>
          <w:noProof/>
        </w:rPr>
      </w:r>
      <w:r>
        <w:rPr>
          <w:noProof/>
        </w:rPr>
        <w:pict w14:anchorId="2CD6606A">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90878B" w14:textId="77777777" w:rsidR="002B1921" w:rsidRDefault="00000000">
      <w:pPr>
        <w:spacing w:before="315" w:after="105" w:line="360" w:lineRule="auto"/>
        <w:ind w:left="-30"/>
      </w:pPr>
      <w:bookmarkStart w:id="2" w:name="i_the_great_divergence_and_the_or_a1876d"/>
      <w:r>
        <w:rPr>
          <w:rFonts w:ascii="source serif 4" w:eastAsia="source serif 4" w:hAnsi="source serif 4" w:cs="source serif 4"/>
          <w:b/>
          <w:color w:val="000000"/>
          <w:sz w:val="24"/>
        </w:rPr>
        <w:t>I. The Great Divergence — and the original sin of the rating industry</w:t>
      </w:r>
      <w:bookmarkEnd w:id="2"/>
    </w:p>
    <w:p w14:paraId="73ACC266" w14:textId="77777777" w:rsidR="002B1921" w:rsidRDefault="00000000">
      <w:pPr>
        <w:spacing w:after="210" w:line="360" w:lineRule="auto"/>
      </w:pPr>
      <w:r>
        <w:rPr>
          <w:rFonts w:ascii="source serif 4" w:eastAsia="source serif 4" w:hAnsi="source serif 4" w:cs="source serif 4"/>
          <w:color w:val="000000"/>
        </w:rPr>
        <w:t>The twentieth century gave us two master metrics. GDP measured what an economy produces. The credit rating measured whether a borrower repays. Both became load-bearing: entire institutions exist to make those numbers move.</w:t>
      </w:r>
    </w:p>
    <w:p w14:paraId="45AABA44" w14:textId="77777777" w:rsidR="002B1921" w:rsidRDefault="00000000">
      <w:pPr>
        <w:spacing w:after="210" w:line="360" w:lineRule="auto"/>
      </w:pPr>
      <w:r>
        <w:rPr>
          <w:rFonts w:ascii="source serif 4" w:eastAsia="source serif 4" w:hAnsi="source serif 4" w:cs="source serif 4"/>
          <w:color w:val="000000"/>
        </w:rPr>
        <w:t xml:space="preserve">The twenty-first century's defining question is different: </w:t>
      </w:r>
      <w:r>
        <w:rPr>
          <w:rFonts w:ascii="source serif 4" w:eastAsia="source serif 4" w:hAnsi="source serif 4" w:cs="source serif 4"/>
          <w:b/>
          <w:color w:val="000000"/>
        </w:rPr>
        <w:t>can a civilization execute the future it has announced?</w:t>
      </w:r>
    </w:p>
    <w:p w14:paraId="41B89C3E" w14:textId="77777777" w:rsidR="002B1921" w:rsidRDefault="00000000">
      <w:pPr>
        <w:spacing w:after="210" w:line="360" w:lineRule="auto"/>
      </w:pPr>
      <w:r>
        <w:rPr>
          <w:rFonts w:ascii="source serif 4" w:eastAsia="source serif 4" w:hAnsi="source serif 4" w:cs="source serif 4"/>
          <w:color w:val="000000"/>
        </w:rPr>
        <w:t xml:space="preserve">Humanity has mapped the capital required for the transition — ~$42.7 trillion across twenty sectors — and has announced stupendous fractions of it. Announced capital is loud: it arrives with press releases, summits, and head-of-state stagecraft. Commissioned capital is quiet: it arrives with grid-connection certificates, commissioning reports, and steel in the ground. Because the first is loud and the second is quiet, the world's information systems systematically over-record intent and under-record reality. A chasm has opened between </w:t>
      </w:r>
      <w:r>
        <w:rPr>
          <w:rFonts w:ascii="source serif 4" w:eastAsia="source serif 4" w:hAnsi="source serif 4" w:cs="source serif 4"/>
          <w:i/>
          <w:color w:val="000000"/>
        </w:rPr>
        <w:t>announced intent</w:t>
      </w:r>
      <w:r>
        <w:rPr>
          <w:rFonts w:ascii="source serif 4" w:eastAsia="source serif 4" w:hAnsi="source serif 4" w:cs="source serif 4"/>
          <w:color w:val="000000"/>
        </w:rPr>
        <w:t xml:space="preserve"> and </w:t>
      </w:r>
      <w:r>
        <w:rPr>
          <w:rFonts w:ascii="source serif 4" w:eastAsia="source serif 4" w:hAnsi="source serif 4" w:cs="source serif 4"/>
          <w:i/>
          <w:color w:val="000000"/>
        </w:rPr>
        <w:t>commissioned reality</w:t>
      </w:r>
      <w:r>
        <w:rPr>
          <w:rFonts w:ascii="source serif 4" w:eastAsia="source serif 4" w:hAnsi="source serif 4" w:cs="source serif 4"/>
          <w:color w:val="000000"/>
        </w:rPr>
        <w:t>, and the instruments that should measure the chasm don't.</w:t>
      </w:r>
    </w:p>
    <w:p w14:paraId="624ED2AF" w14:textId="77777777" w:rsidR="002B1921" w:rsidRDefault="00000000">
      <w:pPr>
        <w:spacing w:after="210" w:line="360" w:lineRule="auto"/>
      </w:pPr>
      <w:r>
        <w:rPr>
          <w:rFonts w:ascii="source serif 4" w:eastAsia="source serif 4" w:hAnsi="source serif 4" w:cs="source serif 4"/>
          <w:color w:val="000000"/>
        </w:rPr>
        <w:t>ESG — the incumbent paradigm — began as a serious attempt and degenerated into a compliance machine: it scores policies, disclosures, and promises. It announces that an announcement was announced. It cannot tell a minister, an allocator, or a schoolchild whether the money will become steel in the ground.</w:t>
      </w:r>
    </w:p>
    <w:p w14:paraId="04F56D74" w14:textId="77777777" w:rsidR="002B1921" w:rsidRDefault="00000000">
      <w:pPr>
        <w:spacing w:after="210" w:line="360" w:lineRule="auto"/>
      </w:pPr>
      <w:r>
        <w:rPr>
          <w:rFonts w:ascii="source serif 4" w:eastAsia="source serif 4" w:hAnsi="source serif 4" w:cs="source serif 4"/>
          <w:color w:val="000000"/>
        </w:rPr>
        <w:lastRenderedPageBreak/>
        <w:t xml:space="preserve">This is the original sin of the whole class of ratings: </w:t>
      </w:r>
      <w:r>
        <w:rPr>
          <w:rFonts w:ascii="source serif 4" w:eastAsia="source serif 4" w:hAnsi="source serif 4" w:cs="source serif 4"/>
          <w:b/>
          <w:color w:val="000000"/>
        </w:rPr>
        <w:t>the measurement of intent, sold as a proxy for reality.</w:t>
      </w:r>
    </w:p>
    <w:p w14:paraId="5674A181" w14:textId="77777777" w:rsidR="002B1921" w:rsidRDefault="00000000">
      <w:pPr>
        <w:spacing w:after="210" w:line="360" w:lineRule="auto"/>
      </w:pPr>
      <w:r>
        <w:rPr>
          <w:rFonts w:ascii="source serif 4" w:eastAsia="source serif 4" w:hAnsi="source serif 4" w:cs="source serif 4"/>
          <w:color w:val="000000"/>
        </w:rPr>
        <w:t>This document declares the correction:</w:t>
      </w:r>
    </w:p>
    <w:p w14:paraId="5364ABB4" w14:textId="77777777" w:rsidR="002B1921" w:rsidRDefault="00000000">
      <w:pPr>
        <w:spacing w:after="210" w:line="360" w:lineRule="auto"/>
      </w:pPr>
      <w:r>
        <w:rPr>
          <w:rFonts w:ascii="source serif 4" w:eastAsia="source serif 4" w:hAnsi="source serif 4" w:cs="source serif 4"/>
          <w:b/>
          <w:color w:val="000000"/>
        </w:rPr>
        <w:t>Execution is the only valid metric of intent.</w:t>
      </w:r>
    </w:p>
    <w:p w14:paraId="581BEA10" w14:textId="77777777" w:rsidR="002B1921" w:rsidRDefault="00000000">
      <w:pPr>
        <w:spacing w:after="210" w:line="360" w:lineRule="auto"/>
      </w:pPr>
      <w:r>
        <w:rPr>
          <w:rFonts w:ascii="source serif 4" w:eastAsia="source serif 4" w:hAnsi="source serif 4" w:cs="source serif 4"/>
          <w:color w:val="000000"/>
        </w:rPr>
        <w:t xml:space="preserve">The TFCI is not an ESG index. It is the first instrument of </w:t>
      </w:r>
      <w:r>
        <w:rPr>
          <w:rFonts w:ascii="source serif 4" w:eastAsia="source serif 4" w:hAnsi="source serif 4" w:cs="source serif 4"/>
          <w:b/>
          <w:color w:val="000000"/>
        </w:rPr>
        <w:t>transition physics</w:t>
      </w:r>
      <w:r>
        <w:rPr>
          <w:rFonts w:ascii="source serif 4" w:eastAsia="source serif 4" w:hAnsi="source serif 4" w:cs="source serif 4"/>
          <w:color w:val="000000"/>
        </w:rPr>
        <w:t>: it measures the structural capacity of a jurisdiction to metabolize capital into delivered infrastructure — and it submits its own measurements to falsification, in public, on a schedule. We measure credibility — the demonstrated, historical, physical capacity to convert announcements into delivered reality — not reputation, not policy, not wealth.</w:t>
      </w:r>
    </w:p>
    <w:p w14:paraId="41EF4134" w14:textId="77777777" w:rsidR="002B1921" w:rsidRDefault="00000000">
      <w:pPr>
        <w:spacing w:after="210" w:line="360" w:lineRule="auto"/>
      </w:pPr>
      <w:r>
        <w:rPr>
          <w:rFonts w:ascii="source serif 4" w:eastAsia="source serif 4" w:hAnsi="source serif 4" w:cs="source serif 4"/>
          <w:b/>
          <w:color w:val="000000"/>
        </w:rPr>
        <w:t>Two quantities, one instrument.</w:t>
      </w:r>
      <w:r>
        <w:rPr>
          <w:rFonts w:ascii="source serif 4" w:eastAsia="source serif 4" w:hAnsi="source serif 4" w:cs="source serif 4"/>
          <w:color w:val="000000"/>
        </w:rPr>
        <w:t xml:space="preserve"> Every number the TFCI publishes ultimately rests on two ledgers: what a jurisdiction </w:t>
      </w:r>
      <w:r>
        <w:rPr>
          <w:rFonts w:ascii="source serif 4" w:eastAsia="source serif 4" w:hAnsi="source serif 4" w:cs="source serif 4"/>
          <w:i/>
          <w:color w:val="000000"/>
        </w:rPr>
        <w:t>announced</w:t>
      </w:r>
      <w:r>
        <w:rPr>
          <w:rFonts w:ascii="source serif 4" w:eastAsia="source serif 4" w:hAnsi="source serif 4" w:cs="source serif 4"/>
          <w:color w:val="000000"/>
        </w:rPr>
        <w:t xml:space="preserve">, and what it </w:t>
      </w:r>
      <w:r>
        <w:rPr>
          <w:rFonts w:ascii="source serif 4" w:eastAsia="source serif 4" w:hAnsi="source serif 4" w:cs="source serif 4"/>
          <w:i/>
          <w:color w:val="000000"/>
        </w:rPr>
        <w:t>commissioned</w:t>
      </w:r>
      <w:r>
        <w:rPr>
          <w:rFonts w:ascii="source serif 4" w:eastAsia="source serif 4" w:hAnsi="source serif 4" w:cs="source serif 4"/>
          <w:color w:val="000000"/>
        </w:rPr>
        <w:t xml:space="preserve">. The distance between them — the </w:t>
      </w:r>
      <w:r>
        <w:rPr>
          <w:rFonts w:ascii="source serif 4" w:eastAsia="source serif 4" w:hAnsi="source serif 4" w:cs="source serif 4"/>
          <w:b/>
          <w:color w:val="000000"/>
        </w:rPr>
        <w:t>Credibility Gap</w:t>
      </w:r>
      <w:r>
        <w:rPr>
          <w:rFonts w:ascii="source serif 4" w:eastAsia="source serif 4" w:hAnsi="source serif 4" w:cs="source serif 4"/>
          <w:color w:val="000000"/>
        </w:rPr>
        <w:t xml:space="preserve"> — is the instrument's defining measurement. It is computed from an append-only, event-sourced record of every announcement, every revision, every financial investment decision, every commissioning, and every cancellation. The ledger cannot be rewritten, and therefore neither can history. Where the evidence is still thin, the instrument does not guess and does not hide: it publishes the coverage state of its own knowledge. An index that measures execution must, above all, execute honestly.</w:t>
      </w:r>
    </w:p>
    <w:p w14:paraId="12A5361E" w14:textId="77777777" w:rsidR="002B1921" w:rsidRDefault="00000000">
      <w:pPr>
        <w:spacing w:before="210" w:after="0" w:line="360" w:lineRule="auto"/>
      </w:pPr>
      <w:r>
        <w:rPr>
          <w:noProof/>
        </w:rPr>
      </w:r>
      <w:r>
        <w:rPr>
          <w:noProof/>
        </w:rPr>
        <w:pict w14:anchorId="4CB30CE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19E8A6" w14:textId="77777777" w:rsidR="002B1921" w:rsidRDefault="00000000">
      <w:pPr>
        <w:spacing w:before="315" w:after="105" w:line="360" w:lineRule="auto"/>
        <w:ind w:left="-30"/>
      </w:pPr>
      <w:bookmarkStart w:id="3" w:name="ii_four_syntheses"/>
      <w:r>
        <w:rPr>
          <w:rFonts w:ascii="source serif 4" w:eastAsia="source serif 4" w:hAnsi="source serif 4" w:cs="source serif 4"/>
          <w:b/>
          <w:color w:val="000000"/>
          <w:sz w:val="24"/>
        </w:rPr>
        <w:t>II. Four syntheses</w:t>
      </w:r>
      <w:bookmarkEnd w:id="3"/>
    </w:p>
    <w:p w14:paraId="67FF1AA5" w14:textId="77777777" w:rsidR="002B1921" w:rsidRDefault="00000000">
      <w:pPr>
        <w:spacing w:after="210" w:line="360" w:lineRule="auto"/>
      </w:pPr>
      <w:r>
        <w:rPr>
          <w:rFonts w:ascii="source serif 4" w:eastAsia="source serif 4" w:hAnsi="source serif 4" w:cs="source serif 4"/>
          <w:color w:val="000000"/>
        </w:rPr>
        <w:t xml:space="preserve">A paradigm shift does not aggregate knowledge; it finds hidden structural isomorphisms between distant fields and fuses them. Four such fusions ground this Index. Each </w:t>
      </w:r>
      <w:proofErr w:type="gramStart"/>
      <w:r>
        <w:rPr>
          <w:rFonts w:ascii="source serif 4" w:eastAsia="source serif 4" w:hAnsi="source serif 4" w:cs="source serif 4"/>
          <w:color w:val="000000"/>
        </w:rPr>
        <w:t>opens</w:t>
      </w:r>
      <w:proofErr w:type="gramEnd"/>
      <w:r>
        <w:rPr>
          <w:rFonts w:ascii="source serif 4" w:eastAsia="source serif 4" w:hAnsi="source serif 4" w:cs="source serif 4"/>
          <w:color w:val="000000"/>
        </w:rPr>
        <w:t xml:space="preserve"> with its lineage.</w:t>
      </w:r>
    </w:p>
    <w:p w14:paraId="40AE0CD3" w14:textId="77777777" w:rsidR="002B1921" w:rsidRDefault="00000000">
      <w:pPr>
        <w:spacing w:before="315" w:after="105" w:line="360" w:lineRule="auto"/>
        <w:ind w:left="-30"/>
      </w:pPr>
      <w:bookmarkStart w:id="4" w:name="bm_1_thermodynamic_capital_theory"/>
      <w:r>
        <w:rPr>
          <w:rFonts w:ascii="source serif 4" w:eastAsia="source serif 4" w:hAnsi="source serif 4" w:cs="source serif 4"/>
          <w:b/>
          <w:color w:val="000000"/>
          <w:sz w:val="24"/>
        </w:rPr>
        <w:t>1. Thermodynamic Capital Theory</w:t>
      </w:r>
      <w:bookmarkEnd w:id="4"/>
    </w:p>
    <w:p w14:paraId="702ECF2B" w14:textId="77777777" w:rsidR="002B1921" w:rsidRDefault="00000000">
      <w:pPr>
        <w:spacing w:after="210" w:line="360" w:lineRule="auto"/>
      </w:pPr>
      <w:r>
        <w:rPr>
          <w:rFonts w:ascii="source serif 4" w:eastAsia="source serif 4" w:hAnsi="source serif 4" w:cs="source serif 4"/>
          <w:i/>
          <w:color w:val="000000"/>
        </w:rPr>
        <w:t>Thermodynamics × cellular biology × macroeconomics.</w:t>
      </w:r>
    </w:p>
    <w:p w14:paraId="4ECEA0A0" w14:textId="77777777" w:rsidR="002B1921" w:rsidRDefault="00000000">
      <w:pPr>
        <w:spacing w:after="210" w:line="360" w:lineRule="auto"/>
      </w:pPr>
      <w:r>
        <w:rPr>
          <w:rFonts w:ascii="source serif 4" w:eastAsia="source serif 4" w:hAnsi="source serif 4" w:cs="source serif 4"/>
          <w:b/>
          <w:color w:val="000000"/>
        </w:rPr>
        <w:t>Lineage.</w:t>
      </w:r>
      <w:r>
        <w:rPr>
          <w:rFonts w:ascii="source serif 4" w:eastAsia="source serif 4" w:hAnsi="source serif 4" w:cs="source serif 4"/>
          <w:color w:val="000000"/>
        </w:rPr>
        <w:t xml:space="preserve"> The application of thermodynamics to economics descends from Nicholas Georgescu-</w:t>
      </w:r>
      <w:proofErr w:type="spellStart"/>
      <w:r>
        <w:rPr>
          <w:rFonts w:ascii="source serif 4" w:eastAsia="source serif 4" w:hAnsi="source serif 4" w:cs="source serif 4"/>
          <w:color w:val="000000"/>
        </w:rPr>
        <w:t>Roegen</w:t>
      </w:r>
      <w:proofErr w:type="spellEnd"/>
      <w:r>
        <w:rPr>
          <w:rFonts w:ascii="source serif 4" w:eastAsia="source serif 4" w:hAnsi="source serif 4" w:cs="source serif 4"/>
          <w:color w:val="000000"/>
        </w:rPr>
        <w:t xml:space="preserve"> (</w:t>
      </w:r>
      <w:r>
        <w:rPr>
          <w:rFonts w:ascii="source serif 4" w:eastAsia="source serif 4" w:hAnsi="source serif 4" w:cs="source serif 4"/>
          <w:i/>
          <w:color w:val="000000"/>
        </w:rPr>
        <w:t>The Entropy Law and the Economic Process</w:t>
      </w:r>
      <w:r>
        <w:rPr>
          <w:rFonts w:ascii="source serif 4" w:eastAsia="source serif 4" w:hAnsi="source serif 4" w:cs="source serif 4"/>
          <w:color w:val="000000"/>
        </w:rPr>
        <w:t xml:space="preserve">, 1971) through Robert Ayres and Herman Daly; the city-as-organism lineage from Abel Wolman's </w:t>
      </w:r>
      <w:r>
        <w:rPr>
          <w:rFonts w:ascii="source serif 4" w:eastAsia="source serif 4" w:hAnsi="source serif 4" w:cs="source serif 4"/>
          <w:i/>
          <w:color w:val="000000"/>
        </w:rPr>
        <w:t>urban metabolism</w:t>
      </w:r>
      <w:r>
        <w:rPr>
          <w:rFonts w:ascii="source serif 4" w:eastAsia="source serif 4" w:hAnsi="source serif 4" w:cs="source serif 4"/>
          <w:color w:val="000000"/>
        </w:rPr>
        <w:t xml:space="preserve"> (1965).</w:t>
      </w:r>
    </w:p>
    <w:p w14:paraId="67F50BA4" w14:textId="77777777" w:rsidR="002B1921" w:rsidRDefault="00000000">
      <w:pPr>
        <w:spacing w:after="210" w:line="360" w:lineRule="auto"/>
      </w:pPr>
      <w:r>
        <w:rPr>
          <w:rFonts w:ascii="source serif 4" w:eastAsia="source serif 4" w:hAnsi="source serif 4" w:cs="source serif 4"/>
          <w:b/>
          <w:color w:val="000000"/>
        </w:rPr>
        <w:t>The TFCI delta.</w:t>
      </w:r>
      <w:r>
        <w:rPr>
          <w:rFonts w:ascii="source serif 4" w:eastAsia="source serif 4" w:hAnsi="source serif 4" w:cs="source serif 4"/>
          <w:color w:val="000000"/>
        </w:rPr>
        <w:t xml:space="preserve"> Those frameworks used thermodynamics to explain macro-level growth and entropy. The TFCI diverges by applying a </w:t>
      </w:r>
      <w:r>
        <w:rPr>
          <w:rFonts w:ascii="source serif 4" w:eastAsia="source serif 4" w:hAnsi="source serif 4" w:cs="source serif 4"/>
          <w:i/>
          <w:color w:val="000000"/>
        </w:rPr>
        <w:t>micro-biological</w:t>
      </w:r>
      <w:r>
        <w:rPr>
          <w:rFonts w:ascii="source serif 4" w:eastAsia="source serif 4" w:hAnsi="source serif 4" w:cs="source serif 4"/>
          <w:color w:val="000000"/>
        </w:rPr>
        <w:t xml:space="preserve"> metabolic model to jurisdictional execution: financial capital is treated not as abstract energy but as </w:t>
      </w:r>
      <w:r>
        <w:rPr>
          <w:rFonts w:ascii="source serif 4" w:eastAsia="source serif 4" w:hAnsi="source serif 4" w:cs="source serif 4"/>
          <w:b/>
          <w:color w:val="000000"/>
        </w:rPr>
        <w:t>ATP</w:t>
      </w:r>
      <w:r>
        <w:rPr>
          <w:rFonts w:ascii="source serif 4" w:eastAsia="source serif 4" w:hAnsi="source serif 4" w:cs="source serif 4"/>
          <w:color w:val="000000"/>
        </w:rPr>
        <w:t xml:space="preserve">, which becomes toxic (stranded) if the jurisdiction lacks the structural organelles — the five pillars — to metabolize it. We do not measure the entropy of </w:t>
      </w:r>
      <w:r>
        <w:rPr>
          <w:rFonts w:ascii="source serif 4" w:eastAsia="source serif 4" w:hAnsi="source serif 4" w:cs="source serif 4"/>
          <w:color w:val="000000"/>
        </w:rPr>
        <w:lastRenderedPageBreak/>
        <w:t xml:space="preserve">GDP; we measure the cellular metabolism of capital. A Physical Bandwidth veto is </w:t>
      </w:r>
      <w:r>
        <w:rPr>
          <w:rFonts w:ascii="source serif 4" w:eastAsia="source serif 4" w:hAnsi="source serif 4" w:cs="source serif 4"/>
          <w:b/>
          <w:color w:val="000000"/>
        </w:rPr>
        <w:t>apoptosis</w:t>
      </w:r>
      <w:r>
        <w:rPr>
          <w:rFonts w:ascii="source serif 4" w:eastAsia="source serif 4" w:hAnsi="source serif 4" w:cs="source serif 4"/>
          <w:color w:val="000000"/>
        </w:rPr>
        <w:t>: the sector dies because the substrate is absent. The TFCI is the first framework to measure the thermodynamic efficiency of capital conversion rather than the eloquence of its announcement.</w:t>
      </w:r>
    </w:p>
    <w:p w14:paraId="3ECC7389" w14:textId="77777777" w:rsidR="002B1921" w:rsidRDefault="00000000">
      <w:pPr>
        <w:spacing w:before="315" w:after="105" w:line="360" w:lineRule="auto"/>
        <w:ind w:left="-30"/>
      </w:pPr>
      <w:bookmarkStart w:id="5" w:name="bm_2_topological_veto_theory"/>
      <w:r>
        <w:rPr>
          <w:rFonts w:ascii="source serif 4" w:eastAsia="source serif 4" w:hAnsi="source serif 4" w:cs="source serif 4"/>
          <w:b/>
          <w:color w:val="000000"/>
          <w:sz w:val="24"/>
        </w:rPr>
        <w:t>2. Topological Veto Theory</w:t>
      </w:r>
      <w:bookmarkEnd w:id="5"/>
    </w:p>
    <w:p w14:paraId="44792A42" w14:textId="77777777" w:rsidR="002B1921" w:rsidRDefault="00000000">
      <w:pPr>
        <w:spacing w:after="210" w:line="360" w:lineRule="auto"/>
      </w:pPr>
      <w:r>
        <w:rPr>
          <w:rFonts w:ascii="source serif 4" w:eastAsia="source serif 4" w:hAnsi="source serif 4" w:cs="source serif 4"/>
          <w:i/>
          <w:color w:val="000000"/>
        </w:rPr>
        <w:t>Graph theory × Kant × materials science.</w:t>
      </w:r>
    </w:p>
    <w:p w14:paraId="7756F77F" w14:textId="77777777" w:rsidR="002B1921" w:rsidRDefault="00000000">
      <w:pPr>
        <w:spacing w:after="210" w:line="360" w:lineRule="auto"/>
      </w:pPr>
      <w:r>
        <w:rPr>
          <w:rFonts w:ascii="source serif 4" w:eastAsia="source serif 4" w:hAnsi="source serif 4" w:cs="source serif 4"/>
          <w:b/>
          <w:color w:val="000000"/>
        </w:rPr>
        <w:t>Lineage.</w:t>
      </w:r>
      <w:r>
        <w:rPr>
          <w:rFonts w:ascii="source serif 4" w:eastAsia="source serif 4" w:hAnsi="source serif 4" w:cs="source serif 4"/>
          <w:color w:val="000000"/>
        </w:rPr>
        <w:t xml:space="preserve"> The weakest-link insight descends from Eliyahu Goldratt's </w:t>
      </w:r>
      <w:r>
        <w:rPr>
          <w:rFonts w:ascii="source serif 4" w:eastAsia="source serif 4" w:hAnsi="source serif 4" w:cs="source serif 4"/>
          <w:i/>
          <w:color w:val="000000"/>
        </w:rPr>
        <w:t>Theory of Constraints</w:t>
      </w:r>
      <w:r>
        <w:rPr>
          <w:rFonts w:ascii="source serif 4" w:eastAsia="source serif 4" w:hAnsi="source serif 4" w:cs="source serif 4"/>
          <w:color w:val="000000"/>
        </w:rPr>
        <w:t xml:space="preserve"> (1984) and, </w:t>
      </w:r>
      <w:proofErr w:type="spellStart"/>
      <w:r>
        <w:rPr>
          <w:rFonts w:ascii="source serif 4" w:eastAsia="source serif 4" w:hAnsi="source serif 4" w:cs="source serif 4"/>
          <w:color w:val="000000"/>
        </w:rPr>
        <w:t>far</w:t>
      </w:r>
      <w:proofErr w:type="spellEnd"/>
      <w:r>
        <w:rPr>
          <w:rFonts w:ascii="source serif 4" w:eastAsia="source serif 4" w:hAnsi="source serif 4" w:cs="source serif 4"/>
          <w:color w:val="000000"/>
        </w:rPr>
        <w:t xml:space="preserve"> older, Justus von Liebig's </w:t>
      </w:r>
      <w:r>
        <w:rPr>
          <w:rFonts w:ascii="source serif 4" w:eastAsia="source serif 4" w:hAnsi="source serif 4" w:cs="source serif 4"/>
          <w:i/>
          <w:color w:val="000000"/>
        </w:rPr>
        <w:t>Law of the Minimum</w:t>
      </w:r>
      <w:r>
        <w:rPr>
          <w:rFonts w:ascii="source serif 4" w:eastAsia="source serif 4" w:hAnsi="source serif 4" w:cs="source serif 4"/>
          <w:color w:val="000000"/>
        </w:rPr>
        <w:t xml:space="preserve"> (1840); network cascades in economics from Acemoglu and colleagues. The doctrine of an imperative that cannot be traded off descends from Kant.</w:t>
      </w:r>
    </w:p>
    <w:p w14:paraId="5E61B4F4" w14:textId="77777777" w:rsidR="002B1921" w:rsidRDefault="00000000">
      <w:pPr>
        <w:spacing w:after="210" w:line="360" w:lineRule="auto"/>
      </w:pPr>
      <w:r>
        <w:rPr>
          <w:rFonts w:ascii="source serif 4" w:eastAsia="source serif 4" w:hAnsi="source serif 4" w:cs="source serif 4"/>
          <w:b/>
          <w:color w:val="000000"/>
        </w:rPr>
        <w:t>The TFCI delta.</w:t>
      </w:r>
      <w:r>
        <w:rPr>
          <w:rFonts w:ascii="source serif 4" w:eastAsia="source serif 4" w:hAnsi="source serif 4" w:cs="source serif 4"/>
          <w:color w:val="000000"/>
        </w:rPr>
        <w:t xml:space="preserve"> Goldratt applied the limiting factor to factory throughput. The TFCI elevates it from a production bottleneck to a </w:t>
      </w:r>
      <w:r>
        <w:rPr>
          <w:rFonts w:ascii="source serif 4" w:eastAsia="source serif 4" w:hAnsi="source serif 4" w:cs="source serif 4"/>
          <w:b/>
          <w:color w:val="000000"/>
        </w:rPr>
        <w:t>Topological Veto</w:t>
      </w:r>
      <w:r>
        <w:rPr>
          <w:rFonts w:ascii="source serif 4" w:eastAsia="source serif 4" w:hAnsi="source serif 4" w:cs="source serif 4"/>
          <w:color w:val="000000"/>
        </w:rPr>
        <w:t xml:space="preserve">: in sovereign execution, a missing pillar is not friction to be optimized but a </w:t>
      </w:r>
      <w:r>
        <w:rPr>
          <w:rFonts w:ascii="source serif 4" w:eastAsia="source serif 4" w:hAnsi="source serif 4" w:cs="source serif 4"/>
          <w:b/>
          <w:color w:val="000000"/>
        </w:rPr>
        <w:t>topological rupture</w:t>
      </w:r>
      <w:r>
        <w:rPr>
          <w:rFonts w:ascii="source serif 4" w:eastAsia="source serif 4" w:hAnsi="source serif 4" w:cs="source serif 4"/>
          <w:color w:val="000000"/>
        </w:rPr>
        <w:t xml:space="preserve"> in the execution graph — the sector is mathematically deleted, and no quantity of regulatory elegance or capital depth bridges a topological void. Two trigger paths (a pillar below the floor; a documented blocking event), one consequence: non-compensation, at whatever average the remaining pillars reach. Transition execution obeys the law of the minimum, not the law of averages.</w:t>
      </w:r>
    </w:p>
    <w:p w14:paraId="6567CB2E" w14:textId="77777777" w:rsidR="002B1921" w:rsidRDefault="00000000">
      <w:pPr>
        <w:spacing w:before="315" w:after="105" w:line="360" w:lineRule="auto"/>
        <w:ind w:left="-30"/>
      </w:pPr>
      <w:bookmarkStart w:id="6" w:name="bm_3_cybernetic_accountability_tr_d8cc66"/>
      <w:r>
        <w:rPr>
          <w:rFonts w:ascii="source serif 4" w:eastAsia="source serif 4" w:hAnsi="source serif 4" w:cs="source serif 4"/>
          <w:b/>
          <w:color w:val="000000"/>
          <w:sz w:val="24"/>
        </w:rPr>
        <w:t>3. Cybernetic Accountability — trust with memory</w:t>
      </w:r>
      <w:bookmarkEnd w:id="6"/>
    </w:p>
    <w:p w14:paraId="59EA9C0B" w14:textId="77777777" w:rsidR="002B1921" w:rsidRDefault="00000000">
      <w:pPr>
        <w:spacing w:after="210" w:line="360" w:lineRule="auto"/>
      </w:pPr>
      <w:r>
        <w:rPr>
          <w:rFonts w:ascii="source serif 4" w:eastAsia="source serif 4" w:hAnsi="source serif 4" w:cs="source serif 4"/>
          <w:i/>
          <w:color w:val="000000"/>
        </w:rPr>
        <w:t>Cybernetics × control theory × behavioral economics.</w:t>
      </w:r>
    </w:p>
    <w:p w14:paraId="18714743" w14:textId="77777777" w:rsidR="002B1921" w:rsidRDefault="00000000">
      <w:pPr>
        <w:spacing w:after="210" w:line="360" w:lineRule="auto"/>
      </w:pPr>
      <w:r>
        <w:rPr>
          <w:rFonts w:ascii="source serif 4" w:eastAsia="source serif 4" w:hAnsi="source serif 4" w:cs="source serif 4"/>
          <w:b/>
          <w:color w:val="000000"/>
        </w:rPr>
        <w:t>Lineage.</w:t>
      </w:r>
      <w:r>
        <w:rPr>
          <w:rFonts w:ascii="source serif 4" w:eastAsia="source serif 4" w:hAnsi="source serif 4" w:cs="source serif 4"/>
          <w:color w:val="000000"/>
        </w:rPr>
        <w:t xml:space="preserve"> The feedback loop is Norbert Wiener's (</w:t>
      </w:r>
      <w:r>
        <w:rPr>
          <w:rFonts w:ascii="source serif 4" w:eastAsia="source serif 4" w:hAnsi="source serif 4" w:cs="source serif 4"/>
          <w:i/>
          <w:color w:val="000000"/>
        </w:rPr>
        <w:t>Cybernetics</w:t>
      </w:r>
      <w:r>
        <w:rPr>
          <w:rFonts w:ascii="source serif 4" w:eastAsia="source serif 4" w:hAnsi="source serif 4" w:cs="source serif 4"/>
          <w:color w:val="000000"/>
        </w:rPr>
        <w:t>, 1948); the idea that a system's state depends on its history descends from materials physics and was carried into macroeconomics by Blanchard and Summers (1986) and the persistence debates they opened.</w:t>
      </w:r>
    </w:p>
    <w:p w14:paraId="4CC79315" w14:textId="77777777" w:rsidR="002B1921" w:rsidRDefault="00000000">
      <w:pPr>
        <w:spacing w:after="210" w:line="360" w:lineRule="auto"/>
      </w:pPr>
      <w:r>
        <w:rPr>
          <w:rFonts w:ascii="source serif 4" w:eastAsia="source serif 4" w:hAnsi="source serif 4" w:cs="source serif 4"/>
          <w:b/>
          <w:color w:val="000000"/>
        </w:rPr>
        <w:t>The TFCI delta.</w:t>
      </w:r>
      <w:r>
        <w:rPr>
          <w:rFonts w:ascii="source serif 4" w:eastAsia="source serif 4" w:hAnsi="source serif 4" w:cs="source serif 4"/>
          <w:color w:val="000000"/>
        </w:rPr>
        <w:t xml:space="preserve"> We adapt hysteresis into </w:t>
      </w:r>
      <w:r>
        <w:rPr>
          <w:rFonts w:ascii="source serif 4" w:eastAsia="source serif 4" w:hAnsi="source serif 4" w:cs="source serif 4"/>
          <w:b/>
          <w:color w:val="000000"/>
        </w:rPr>
        <w:t>Algorithmic Credibility Hysteresis</w:t>
      </w:r>
      <w:r>
        <w:rPr>
          <w:rFonts w:ascii="source serif 4" w:eastAsia="source serif 4" w:hAnsi="source serif 4" w:cs="source serif 4"/>
          <w:color w:val="000000"/>
        </w:rPr>
        <w:t xml:space="preserve">: trust is lost instantly and rebuilt slowly — zero recovery in the first quarter after a veto resolves, capped at +4 points per quarter thereafter. The </w:t>
      </w:r>
      <w:r>
        <w:rPr>
          <w:rFonts w:ascii="source serif 4" w:eastAsia="source serif 4" w:hAnsi="source serif 4" w:cs="source serif 4"/>
          <w:b/>
          <w:color w:val="000000"/>
        </w:rPr>
        <w:t>Conversion Ledger</w:t>
      </w:r>
      <w:r>
        <w:rPr>
          <w:rFonts w:ascii="source serif 4" w:eastAsia="source serif 4" w:hAnsi="source serif 4" w:cs="source serif 4"/>
          <w:color w:val="000000"/>
        </w:rPr>
        <w:t xml:space="preserve"> is the causal engine that closes the loop: every announcement opens an account, every commissioning closes it, every cancellation is recorded as the falsification signal it is, and the </w:t>
      </w:r>
      <w:r>
        <w:rPr>
          <w:rFonts w:ascii="source serif 4" w:eastAsia="source serif 4" w:hAnsi="source serif 4" w:cs="source serif 4"/>
          <w:b/>
          <w:color w:val="000000"/>
        </w:rPr>
        <w:t>Credibility Gap</w:t>
      </w:r>
      <w:r>
        <w:rPr>
          <w:rFonts w:ascii="source serif 4" w:eastAsia="source serif 4" w:hAnsi="source serif 4" w:cs="source serif 4"/>
          <w:color w:val="000000"/>
        </w:rPr>
        <w:t xml:space="preserve"> is the delta between the two sums. The Index enforces the temporal reality of trust arithmetically — and applies the same memory to itself, publishing its own errors on a schedule.</w:t>
      </w:r>
    </w:p>
    <w:p w14:paraId="1F6259E2" w14:textId="77777777" w:rsidR="002B1921" w:rsidRDefault="00000000">
      <w:pPr>
        <w:spacing w:before="315" w:after="105" w:line="360" w:lineRule="auto"/>
        <w:ind w:left="-30"/>
      </w:pPr>
      <w:bookmarkStart w:id="7" w:name="bm_4_ontological_friction"/>
      <w:r>
        <w:rPr>
          <w:rFonts w:ascii="source serif 4" w:eastAsia="source serif 4" w:hAnsi="source serif 4" w:cs="source serif 4"/>
          <w:b/>
          <w:color w:val="000000"/>
          <w:sz w:val="24"/>
        </w:rPr>
        <w:t>4. Ontological Friction</w:t>
      </w:r>
      <w:bookmarkEnd w:id="7"/>
    </w:p>
    <w:p w14:paraId="1B1EF0FF" w14:textId="77777777" w:rsidR="002B1921" w:rsidRDefault="00000000">
      <w:pPr>
        <w:spacing w:after="210" w:line="360" w:lineRule="auto"/>
      </w:pPr>
      <w:r>
        <w:rPr>
          <w:rFonts w:ascii="source serif 4" w:eastAsia="source serif 4" w:hAnsi="source serif 4" w:cs="source serif 4"/>
          <w:i/>
          <w:color w:val="000000"/>
        </w:rPr>
        <w:t>Phenomenology × materials science × institutional economics.</w:t>
      </w:r>
    </w:p>
    <w:p w14:paraId="0D101B77" w14:textId="77777777" w:rsidR="002B1921" w:rsidRDefault="00000000">
      <w:pPr>
        <w:spacing w:after="210" w:line="360" w:lineRule="auto"/>
      </w:pPr>
      <w:r>
        <w:rPr>
          <w:rFonts w:ascii="source serif 4" w:eastAsia="source serif 4" w:hAnsi="source serif 4" w:cs="source serif 4"/>
          <w:b/>
          <w:color w:val="000000"/>
        </w:rPr>
        <w:t>Lineage.</w:t>
      </w:r>
      <w:r>
        <w:rPr>
          <w:rFonts w:ascii="source serif 4" w:eastAsia="source serif 4" w:hAnsi="source serif 4" w:cs="source serif 4"/>
          <w:color w:val="000000"/>
        </w:rPr>
        <w:t xml:space="preserve"> Friction-as-cost descends from Coase (</w:t>
      </w:r>
      <w:r>
        <w:rPr>
          <w:rFonts w:ascii="source serif 4" w:eastAsia="source serif 4" w:hAnsi="source serif 4" w:cs="source serif 4"/>
          <w:i/>
          <w:color w:val="000000"/>
        </w:rPr>
        <w:t>The Nature of the Firm</w:t>
      </w:r>
      <w:r>
        <w:rPr>
          <w:rFonts w:ascii="source serif 4" w:eastAsia="source serif 4" w:hAnsi="source serif 4" w:cs="source serif 4"/>
          <w:color w:val="000000"/>
        </w:rPr>
        <w:t>, 1937) and Williamson; the lifeworld from Husserl and Schutz; the technology-in-the-lifeworld lineage from Latour and Ihde.</w:t>
      </w:r>
    </w:p>
    <w:p w14:paraId="3DFA59E1" w14:textId="77777777" w:rsidR="002B1921" w:rsidRDefault="00000000">
      <w:pPr>
        <w:spacing w:after="210" w:line="360" w:lineRule="auto"/>
      </w:pPr>
      <w:r>
        <w:rPr>
          <w:rFonts w:ascii="source serif 4" w:eastAsia="source serif 4" w:hAnsi="source serif 4" w:cs="source serif 4"/>
          <w:b/>
          <w:color w:val="000000"/>
        </w:rPr>
        <w:lastRenderedPageBreak/>
        <w:t>The TFCI delta.</w:t>
      </w:r>
      <w:r>
        <w:rPr>
          <w:rFonts w:ascii="source serif 4" w:eastAsia="source serif 4" w:hAnsi="source serif 4" w:cs="source serif 4"/>
          <w:color w:val="000000"/>
        </w:rPr>
        <w:t xml:space="preserve"> Transaction costs are financial and legal; they can be paid. </w:t>
      </w:r>
      <w:r>
        <w:rPr>
          <w:rFonts w:ascii="source serif 4" w:eastAsia="source serif 4" w:hAnsi="source serif 4" w:cs="source serif 4"/>
          <w:b/>
          <w:color w:val="000000"/>
        </w:rPr>
        <w:t>Ontological Friction</w:t>
      </w:r>
      <w:r>
        <w:rPr>
          <w:rFonts w:ascii="source serif 4" w:eastAsia="source serif 4" w:hAnsi="source serif 4" w:cs="source serif 4"/>
          <w:color w:val="000000"/>
        </w:rPr>
        <w:t xml:space="preserve"> is physical and existential: the thermodynamic resistance generated when abstract financial capital collides with the messy reality of a specific geography — water scarcity, legacy drag, NIMBYism, consent. It converts the kinetic energy of capital into the waste heat of stranded assets. Unlike transaction costs, ontological friction cannot be bought away; it can only be measured. The Legacy Drag and Social License pillars price it — the first framework to do so at sovereign scale.</w:t>
      </w:r>
    </w:p>
    <w:p w14:paraId="4856E8AD" w14:textId="77777777" w:rsidR="002B1921" w:rsidRDefault="00000000">
      <w:pPr>
        <w:spacing w:before="210" w:after="0" w:line="360" w:lineRule="auto"/>
      </w:pPr>
      <w:r>
        <w:rPr>
          <w:noProof/>
        </w:rPr>
      </w:r>
      <w:r>
        <w:rPr>
          <w:noProof/>
        </w:rPr>
        <w:pict w14:anchorId="6AB7F81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2909D1" w14:textId="77777777" w:rsidR="002B1921" w:rsidRDefault="00000000">
      <w:pPr>
        <w:spacing w:before="315" w:after="105" w:line="360" w:lineRule="auto"/>
        <w:ind w:left="-30"/>
      </w:pPr>
      <w:bookmarkStart w:id="8" w:name="iii_the_five_forces"/>
      <w:r>
        <w:rPr>
          <w:rFonts w:ascii="source serif 4" w:eastAsia="source serif 4" w:hAnsi="source serif 4" w:cs="source serif 4"/>
          <w:b/>
          <w:color w:val="000000"/>
          <w:sz w:val="24"/>
        </w:rPr>
        <w:t>III. The five forces</w:t>
      </w:r>
      <w:bookmarkEnd w:id="8"/>
    </w:p>
    <w:p w14:paraId="466A7004" w14:textId="77777777" w:rsidR="002B1921" w:rsidRDefault="00000000">
      <w:pPr>
        <w:spacing w:after="210" w:line="360" w:lineRule="auto"/>
      </w:pPr>
      <w:r>
        <w:rPr>
          <w:rFonts w:ascii="source serif 4" w:eastAsia="source serif 4" w:hAnsi="source serif 4" w:cs="source serif 4"/>
          <w:color w:val="000000"/>
        </w:rPr>
        <w:t>The pillars are not questionnaire categories. They are the five fundamental forces of civilizational execution; each carries its question and its physics.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61"/>
        <w:gridCol w:w="3773"/>
        <w:gridCol w:w="3870"/>
      </w:tblGrid>
      <w:tr w:rsidR="002B1921" w14:paraId="08D3B0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58222A" w14:textId="77777777" w:rsidR="002B1921" w:rsidRDefault="00000000">
            <w:pPr>
              <w:spacing w:line="360" w:lineRule="auto"/>
            </w:pPr>
            <w:r>
              <w:rPr>
                <w:rFonts w:ascii="source sans 3" w:eastAsia="source sans 3" w:hAnsi="source sans 3" w:cs="source sans 3"/>
                <w:color w:val="000000"/>
                <w:sz w:val="17"/>
              </w:rPr>
              <w:t>Force</w:t>
            </w:r>
          </w:p>
        </w:tc>
        <w:tc>
          <w:tcPr>
            <w:tcW w:w="0" w:type="auto"/>
            <w:tcBorders>
              <w:top w:val="single" w:sz="1" w:space="0" w:color="000000"/>
              <w:bottom w:val="single" w:sz="1" w:space="0" w:color="000000"/>
              <w:right w:val="single" w:sz="1" w:space="0" w:color="000000"/>
            </w:tcBorders>
          </w:tcPr>
          <w:p w14:paraId="5C23A7DB" w14:textId="77777777" w:rsidR="002B1921" w:rsidRDefault="00000000">
            <w:pPr>
              <w:spacing w:line="360" w:lineRule="auto"/>
            </w:pPr>
            <w:r>
              <w:rPr>
                <w:rFonts w:ascii="source sans 3" w:eastAsia="source sans 3" w:hAnsi="source sans 3" w:cs="source sans 3"/>
                <w:color w:val="000000"/>
                <w:sz w:val="17"/>
              </w:rPr>
              <w:t>Question</w:t>
            </w:r>
          </w:p>
        </w:tc>
        <w:tc>
          <w:tcPr>
            <w:tcW w:w="0" w:type="auto"/>
            <w:tcBorders>
              <w:top w:val="single" w:sz="1" w:space="0" w:color="000000"/>
              <w:bottom w:val="single" w:sz="1" w:space="0" w:color="000000"/>
            </w:tcBorders>
          </w:tcPr>
          <w:p w14:paraId="5EEB6D79" w14:textId="77777777" w:rsidR="002B1921" w:rsidRDefault="00000000">
            <w:pPr>
              <w:spacing w:line="360" w:lineRule="auto"/>
            </w:pPr>
            <w:r>
              <w:rPr>
                <w:rFonts w:ascii="source sans 3" w:eastAsia="source sans 3" w:hAnsi="source sans 3" w:cs="source sans 3"/>
                <w:color w:val="000000"/>
                <w:sz w:val="17"/>
              </w:rPr>
              <w:t>Grounding</w:t>
            </w:r>
          </w:p>
        </w:tc>
      </w:tr>
      <w:tr w:rsidR="002B1921" w14:paraId="4B0A58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361749" w14:textId="77777777" w:rsidR="002B1921" w:rsidRDefault="00000000">
            <w:pPr>
              <w:spacing w:line="360" w:lineRule="auto"/>
            </w:pPr>
            <w:r>
              <w:rPr>
                <w:rFonts w:ascii="source serif 4" w:eastAsia="source serif 4" w:hAnsi="source serif 4" w:cs="source serif 4"/>
                <w:b/>
                <w:color w:val="000000"/>
                <w:sz w:val="17"/>
              </w:rPr>
              <w:t>Regulatory Certainty</w:t>
            </w:r>
          </w:p>
        </w:tc>
        <w:tc>
          <w:tcPr>
            <w:tcW w:w="0" w:type="auto"/>
            <w:tcBorders>
              <w:top w:val="single" w:sz="1" w:space="0" w:color="000000"/>
              <w:bottom w:val="single" w:sz="1" w:space="0" w:color="000000"/>
              <w:right w:val="single" w:sz="1" w:space="0" w:color="000000"/>
            </w:tcBorders>
          </w:tcPr>
          <w:p w14:paraId="02281A0C" w14:textId="77777777" w:rsidR="002B1921" w:rsidRDefault="00000000">
            <w:pPr>
              <w:spacing w:line="360" w:lineRule="auto"/>
            </w:pPr>
            <w:r>
              <w:rPr>
                <w:rFonts w:ascii="source sans 3" w:eastAsia="source sans 3" w:hAnsi="source sans 3" w:cs="source sans 3"/>
                <w:color w:val="000000"/>
                <w:sz w:val="17"/>
              </w:rPr>
              <w:t>Are the rules stable, binding, and impossible to game?</w:t>
            </w:r>
          </w:p>
        </w:tc>
        <w:tc>
          <w:tcPr>
            <w:tcW w:w="0" w:type="auto"/>
            <w:tcBorders>
              <w:top w:val="single" w:sz="1" w:space="0" w:color="000000"/>
              <w:bottom w:val="single" w:sz="1" w:space="0" w:color="000000"/>
            </w:tcBorders>
          </w:tcPr>
          <w:p w14:paraId="577BFF9F" w14:textId="77777777" w:rsidR="002B1921" w:rsidRDefault="00000000">
            <w:pPr>
              <w:spacing w:line="360" w:lineRule="auto"/>
            </w:pPr>
            <w:r>
              <w:rPr>
                <w:rFonts w:ascii="source sans 3" w:eastAsia="source sans 3" w:hAnsi="source sans 3" w:cs="source sans 3"/>
                <w:color w:val="000000"/>
                <w:sz w:val="17"/>
              </w:rPr>
              <w:t>The law of non-contradiction, applied to governance</w:t>
            </w:r>
          </w:p>
        </w:tc>
      </w:tr>
      <w:tr w:rsidR="002B1921" w14:paraId="142C45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F69EC8" w14:textId="77777777" w:rsidR="002B1921" w:rsidRDefault="00000000">
            <w:pPr>
              <w:spacing w:line="360" w:lineRule="auto"/>
            </w:pPr>
            <w:r>
              <w:rPr>
                <w:rFonts w:ascii="source serif 4" w:eastAsia="source serif 4" w:hAnsi="source serif 4" w:cs="source serif 4"/>
                <w:b/>
                <w:color w:val="000000"/>
                <w:sz w:val="17"/>
              </w:rPr>
              <w:t>Physical Bandwidth</w:t>
            </w:r>
          </w:p>
        </w:tc>
        <w:tc>
          <w:tcPr>
            <w:tcW w:w="0" w:type="auto"/>
            <w:tcBorders>
              <w:top w:val="single" w:sz="1" w:space="0" w:color="000000"/>
              <w:bottom w:val="single" w:sz="1" w:space="0" w:color="000000"/>
              <w:right w:val="single" w:sz="1" w:space="0" w:color="000000"/>
            </w:tcBorders>
          </w:tcPr>
          <w:p w14:paraId="1E364263" w14:textId="77777777" w:rsidR="002B1921" w:rsidRDefault="00000000">
            <w:pPr>
              <w:spacing w:line="360" w:lineRule="auto"/>
            </w:pPr>
            <w:r>
              <w:rPr>
                <w:rFonts w:ascii="source sans 3" w:eastAsia="source sans 3" w:hAnsi="source sans 3" w:cs="source sans 3"/>
                <w:color w:val="000000"/>
                <w:sz w:val="17"/>
              </w:rPr>
              <w:t>Do water, land, grid, and minerals permit the work?</w:t>
            </w:r>
          </w:p>
        </w:tc>
        <w:tc>
          <w:tcPr>
            <w:tcW w:w="0" w:type="auto"/>
            <w:tcBorders>
              <w:top w:val="single" w:sz="1" w:space="0" w:color="000000"/>
              <w:bottom w:val="single" w:sz="1" w:space="0" w:color="000000"/>
            </w:tcBorders>
          </w:tcPr>
          <w:p w14:paraId="229DA0BD" w14:textId="77777777" w:rsidR="002B1921" w:rsidRDefault="00000000">
            <w:pPr>
              <w:spacing w:line="360" w:lineRule="auto"/>
            </w:pPr>
            <w:r>
              <w:rPr>
                <w:rFonts w:ascii="source sans 3" w:eastAsia="source sans 3" w:hAnsi="source sans 3" w:cs="source sans 3"/>
                <w:color w:val="000000"/>
                <w:sz w:val="17"/>
              </w:rPr>
              <w:t>The thermodynamic limit — physics holds no hearings</w:t>
            </w:r>
          </w:p>
        </w:tc>
      </w:tr>
      <w:tr w:rsidR="002B1921" w14:paraId="31B3DC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65E8DA" w14:textId="77777777" w:rsidR="002B1921" w:rsidRDefault="00000000">
            <w:pPr>
              <w:spacing w:line="360" w:lineRule="auto"/>
            </w:pPr>
            <w:r>
              <w:rPr>
                <w:rFonts w:ascii="source serif 4" w:eastAsia="source serif 4" w:hAnsi="source serif 4" w:cs="source serif 4"/>
                <w:b/>
                <w:color w:val="000000"/>
                <w:sz w:val="17"/>
              </w:rPr>
              <w:t>Capital Architecture</w:t>
            </w:r>
          </w:p>
        </w:tc>
        <w:tc>
          <w:tcPr>
            <w:tcW w:w="0" w:type="auto"/>
            <w:tcBorders>
              <w:top w:val="single" w:sz="1" w:space="0" w:color="000000"/>
              <w:bottom w:val="single" w:sz="1" w:space="0" w:color="000000"/>
              <w:right w:val="single" w:sz="1" w:space="0" w:color="000000"/>
            </w:tcBorders>
          </w:tcPr>
          <w:p w14:paraId="3DA29417" w14:textId="77777777" w:rsidR="002B1921" w:rsidRDefault="00000000">
            <w:pPr>
              <w:spacing w:line="360" w:lineRule="auto"/>
            </w:pPr>
            <w:r>
              <w:rPr>
                <w:rFonts w:ascii="source sans 3" w:eastAsia="source sans 3" w:hAnsi="source sans 3" w:cs="source sans 3"/>
                <w:color w:val="000000"/>
                <w:sz w:val="17"/>
              </w:rPr>
              <w:t xml:space="preserve">Can the financial system absorb generational </w:t>
            </w:r>
            <w:proofErr w:type="spellStart"/>
            <w:r>
              <w:rPr>
                <w:rFonts w:ascii="source sans 3" w:eastAsia="source sans 3" w:hAnsi="source sans 3" w:cs="source sans 3"/>
                <w:color w:val="000000"/>
                <w:sz w:val="17"/>
              </w:rPr>
              <w:t>CapEx</w:t>
            </w:r>
            <w:proofErr w:type="spellEnd"/>
            <w:r>
              <w:rPr>
                <w:rFonts w:ascii="source sans 3" w:eastAsia="source sans 3" w:hAnsi="source sans 3" w:cs="source sans 3"/>
                <w:color w:val="000000"/>
                <w:sz w:val="17"/>
              </w:rPr>
              <w:t>?</w:t>
            </w:r>
          </w:p>
        </w:tc>
        <w:tc>
          <w:tcPr>
            <w:tcW w:w="0" w:type="auto"/>
            <w:tcBorders>
              <w:top w:val="single" w:sz="1" w:space="0" w:color="000000"/>
              <w:bottom w:val="single" w:sz="1" w:space="0" w:color="000000"/>
            </w:tcBorders>
          </w:tcPr>
          <w:p w14:paraId="2118063B" w14:textId="77777777" w:rsidR="002B1921" w:rsidRDefault="00000000">
            <w:pPr>
              <w:spacing w:line="360" w:lineRule="auto"/>
            </w:pPr>
            <w:r>
              <w:rPr>
                <w:rFonts w:ascii="source sans 3" w:eastAsia="source sans 3" w:hAnsi="source sans 3" w:cs="source sans 3"/>
                <w:color w:val="000000"/>
                <w:sz w:val="17"/>
              </w:rPr>
              <w:t>The hydraulic dynamics of finance</w:t>
            </w:r>
          </w:p>
        </w:tc>
      </w:tr>
      <w:tr w:rsidR="002B1921" w14:paraId="3983A0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1EF6E3" w14:textId="77777777" w:rsidR="002B1921" w:rsidRDefault="00000000">
            <w:pPr>
              <w:spacing w:line="360" w:lineRule="auto"/>
            </w:pPr>
            <w:r>
              <w:rPr>
                <w:rFonts w:ascii="source serif 4" w:eastAsia="source serif 4" w:hAnsi="source serif 4" w:cs="source serif 4"/>
                <w:b/>
                <w:color w:val="000000"/>
                <w:sz w:val="17"/>
              </w:rPr>
              <w:t>Social License</w:t>
            </w:r>
          </w:p>
        </w:tc>
        <w:tc>
          <w:tcPr>
            <w:tcW w:w="0" w:type="auto"/>
            <w:tcBorders>
              <w:top w:val="single" w:sz="1" w:space="0" w:color="000000"/>
              <w:bottom w:val="single" w:sz="1" w:space="0" w:color="000000"/>
              <w:right w:val="single" w:sz="1" w:space="0" w:color="000000"/>
            </w:tcBorders>
          </w:tcPr>
          <w:p w14:paraId="2AF23AE2" w14:textId="77777777" w:rsidR="002B1921" w:rsidRDefault="00000000">
            <w:pPr>
              <w:spacing w:line="360" w:lineRule="auto"/>
            </w:pPr>
            <w:r>
              <w:rPr>
                <w:rFonts w:ascii="source sans 3" w:eastAsia="source sans 3" w:hAnsi="source sans 3" w:cs="source sans 3"/>
                <w:color w:val="000000"/>
                <w:sz w:val="17"/>
              </w:rPr>
              <w:t>Does the populace consent to the physical reality?</w:t>
            </w:r>
          </w:p>
        </w:tc>
        <w:tc>
          <w:tcPr>
            <w:tcW w:w="0" w:type="auto"/>
            <w:tcBorders>
              <w:top w:val="single" w:sz="1" w:space="0" w:color="000000"/>
              <w:bottom w:val="single" w:sz="1" w:space="0" w:color="000000"/>
            </w:tcBorders>
          </w:tcPr>
          <w:p w14:paraId="29C9B077" w14:textId="77777777" w:rsidR="002B1921" w:rsidRDefault="00000000">
            <w:pPr>
              <w:spacing w:line="360" w:lineRule="auto"/>
            </w:pPr>
            <w:r>
              <w:rPr>
                <w:rFonts w:ascii="source sans 3" w:eastAsia="source sans 3" w:hAnsi="source sans 3" w:cs="source sans 3"/>
                <w:color w:val="000000"/>
                <w:sz w:val="17"/>
              </w:rPr>
              <w:t>The social contract, priced</w:t>
            </w:r>
          </w:p>
        </w:tc>
      </w:tr>
      <w:tr w:rsidR="002B1921" w14:paraId="087608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A56546" w14:textId="77777777" w:rsidR="002B1921" w:rsidRDefault="00000000">
            <w:pPr>
              <w:spacing w:line="360" w:lineRule="auto"/>
            </w:pPr>
            <w:r>
              <w:rPr>
                <w:rFonts w:ascii="source serif 4" w:eastAsia="source serif 4" w:hAnsi="source serif 4" w:cs="source serif 4"/>
                <w:b/>
                <w:color w:val="000000"/>
                <w:sz w:val="17"/>
              </w:rPr>
              <w:t>Execution Velocity</w:t>
            </w:r>
          </w:p>
        </w:tc>
        <w:tc>
          <w:tcPr>
            <w:tcW w:w="0" w:type="auto"/>
            <w:tcBorders>
              <w:top w:val="single" w:sz="1" w:space="0" w:color="000000"/>
              <w:bottom w:val="single" w:sz="1" w:space="0" w:color="000000"/>
              <w:right w:val="single" w:sz="1" w:space="0" w:color="000000"/>
            </w:tcBorders>
          </w:tcPr>
          <w:p w14:paraId="292AF05E" w14:textId="77777777" w:rsidR="002B1921" w:rsidRDefault="00000000">
            <w:pPr>
              <w:spacing w:line="360" w:lineRule="auto"/>
            </w:pPr>
            <w:r>
              <w:rPr>
                <w:rFonts w:ascii="source sans 3" w:eastAsia="source sans 3" w:hAnsi="source sans 3" w:cs="source sans 3"/>
                <w:color w:val="000000"/>
                <w:sz w:val="17"/>
              </w:rPr>
              <w:t>Can the machinery of delivery actually build, on time?</w:t>
            </w:r>
          </w:p>
        </w:tc>
        <w:tc>
          <w:tcPr>
            <w:tcW w:w="0" w:type="auto"/>
            <w:tcBorders>
              <w:top w:val="single" w:sz="1" w:space="0" w:color="000000"/>
              <w:bottom w:val="single" w:sz="1" w:space="0" w:color="000000"/>
            </w:tcBorders>
          </w:tcPr>
          <w:p w14:paraId="6F5419FE" w14:textId="77777777" w:rsidR="002B1921" w:rsidRDefault="00000000">
            <w:pPr>
              <w:spacing w:line="360" w:lineRule="auto"/>
            </w:pPr>
            <w:r>
              <w:rPr>
                <w:rFonts w:ascii="source sans 3" w:eastAsia="source sans 3" w:hAnsi="source sans 3" w:cs="source sans 3"/>
                <w:color w:val="000000"/>
                <w:sz w:val="17"/>
              </w:rPr>
              <w:t>The pragmatic test — the only evidence</w:t>
            </w:r>
          </w:p>
        </w:tc>
      </w:tr>
    </w:tbl>
    <w:p w14:paraId="33415C6B" w14:textId="77777777" w:rsidR="002B1921" w:rsidRDefault="002B1921"/>
    <w:p w14:paraId="6D83330F" w14:textId="77777777" w:rsidR="002B1921" w:rsidRDefault="00000000">
      <w:pPr>
        <w:spacing w:after="210" w:line="360" w:lineRule="auto"/>
      </w:pPr>
      <w:r>
        <w:rPr>
          <w:rFonts w:ascii="source serif 4" w:eastAsia="source serif 4" w:hAnsi="source serif 4" w:cs="source serif 4"/>
          <w:color w:val="000000"/>
        </w:rPr>
        <w:t>When a condition is absent, no object-level resource compensates. That is the whole doctrine of the veto. The absence of a veto is itself a recorded state — the null force, documented, never silent.</w:t>
      </w:r>
    </w:p>
    <w:p w14:paraId="5D4ABD82" w14:textId="77777777" w:rsidR="002B1921" w:rsidRDefault="00000000">
      <w:pPr>
        <w:spacing w:before="210" w:after="0" w:line="360" w:lineRule="auto"/>
      </w:pPr>
      <w:r>
        <w:rPr>
          <w:noProof/>
        </w:rPr>
      </w:r>
      <w:r>
        <w:rPr>
          <w:noProof/>
        </w:rPr>
        <w:pict w14:anchorId="2DF2109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551632" w14:textId="77777777" w:rsidR="002B1921" w:rsidRDefault="00000000">
      <w:pPr>
        <w:spacing w:before="315" w:after="105" w:line="360" w:lineRule="auto"/>
        <w:ind w:left="-30"/>
      </w:pPr>
      <w:bookmarkStart w:id="9" w:name="iv_the_charter_five_commitments"/>
      <w:r>
        <w:rPr>
          <w:rFonts w:ascii="source serif 4" w:eastAsia="source serif 4" w:hAnsi="source serif 4" w:cs="source serif 4"/>
          <w:b/>
          <w:color w:val="000000"/>
          <w:sz w:val="24"/>
        </w:rPr>
        <w:t>IV. The charter — five commitments</w:t>
      </w:r>
      <w:bookmarkEnd w:id="9"/>
    </w:p>
    <w:p w14:paraId="36413A35" w14:textId="77777777" w:rsidR="002B1921" w:rsidRDefault="00000000">
      <w:pPr>
        <w:numPr>
          <w:ilvl w:val="0"/>
          <w:numId w:val="1"/>
        </w:numPr>
        <w:spacing w:after="210" w:line="360" w:lineRule="auto"/>
      </w:pPr>
      <w:r>
        <w:rPr>
          <w:rFonts w:ascii="source serif 4" w:eastAsia="source serif 4" w:hAnsi="source serif 4" w:cs="source serif 4"/>
          <w:b/>
          <w:color w:val="000000"/>
        </w:rPr>
        <w:t>Execution over intent.</w:t>
      </w:r>
      <w:r>
        <w:rPr>
          <w:rFonts w:ascii="source serif 4" w:eastAsia="source serif 4" w:hAnsi="source serif 4" w:cs="source serif 4"/>
          <w:color w:val="000000"/>
        </w:rPr>
        <w:t xml:space="preserve"> We score what a jurisdiction can deliver, never what it announces.</w:t>
      </w:r>
    </w:p>
    <w:p w14:paraId="7F62C603" w14:textId="77777777" w:rsidR="002B1921" w:rsidRDefault="00000000">
      <w:pPr>
        <w:numPr>
          <w:ilvl w:val="0"/>
          <w:numId w:val="1"/>
        </w:numPr>
        <w:spacing w:after="210" w:line="360" w:lineRule="auto"/>
      </w:pPr>
      <w:r>
        <w:rPr>
          <w:rFonts w:ascii="source serif 4" w:eastAsia="source serif 4" w:hAnsi="source serif 4" w:cs="source serif 4"/>
          <w:b/>
          <w:color w:val="000000"/>
        </w:rPr>
        <w:t>Physics is non-negotiable.</w:t>
      </w:r>
      <w:r>
        <w:rPr>
          <w:rFonts w:ascii="source serif 4" w:eastAsia="source serif 4" w:hAnsi="source serif 4" w:cs="source serif 4"/>
          <w:color w:val="000000"/>
        </w:rPr>
        <w:t xml:space="preserve"> No capital compensates for an absent condition of possibility.</w:t>
      </w:r>
    </w:p>
    <w:p w14:paraId="0B535B3A" w14:textId="77777777" w:rsidR="002B1921" w:rsidRDefault="00000000">
      <w:pPr>
        <w:numPr>
          <w:ilvl w:val="0"/>
          <w:numId w:val="1"/>
        </w:numPr>
        <w:spacing w:after="210" w:line="360" w:lineRule="auto"/>
      </w:pPr>
      <w:r>
        <w:rPr>
          <w:rFonts w:ascii="source serif 4" w:eastAsia="source serif 4" w:hAnsi="source serif 4" w:cs="source serif 4"/>
          <w:b/>
          <w:color w:val="000000"/>
        </w:rPr>
        <w:lastRenderedPageBreak/>
        <w:t>Falsifiability.</w:t>
      </w:r>
      <w:r>
        <w:rPr>
          <w:rFonts w:ascii="source serif 4" w:eastAsia="source serif 4" w:hAnsi="source serif 4" w:cs="source serif 4"/>
          <w:color w:val="000000"/>
        </w:rPr>
        <w:t xml:space="preserve"> Scores are predictions; the Conversion Ledger — append-only, event-sourced, publicly accountable — tests them. The Gap is computed from that ledger, published on the instrument's landing page, and </w:t>
      </w:r>
      <w:proofErr w:type="spellStart"/>
      <w:r>
        <w:rPr>
          <w:rFonts w:ascii="source serif 4" w:eastAsia="source serif 4" w:hAnsi="source serif 4" w:cs="source serif 4"/>
          <w:color w:val="000000"/>
        </w:rPr>
        <w:t>backtested</w:t>
      </w:r>
      <w:proofErr w:type="spellEnd"/>
      <w:r>
        <w:rPr>
          <w:rFonts w:ascii="source serif 4" w:eastAsia="source serif 4" w:hAnsi="source serif 4" w:cs="source serif 4"/>
          <w:color w:val="000000"/>
        </w:rPr>
        <w:t xml:space="preserve"> annually. The Index measures itself with the same instruments it applies to others, and where its evidence is incomplete it publishes the coverage state rather than a silence.</w:t>
      </w:r>
    </w:p>
    <w:p w14:paraId="17DF768C" w14:textId="77777777" w:rsidR="002B1921" w:rsidRDefault="00000000">
      <w:pPr>
        <w:numPr>
          <w:ilvl w:val="0"/>
          <w:numId w:val="1"/>
        </w:numPr>
        <w:spacing w:after="210" w:line="360" w:lineRule="auto"/>
      </w:pPr>
      <w:r>
        <w:rPr>
          <w:rFonts w:ascii="source serif 4" w:eastAsia="source serif 4" w:hAnsi="source serif 4" w:cs="source serif 4"/>
          <w:b/>
          <w:color w:val="000000"/>
        </w:rPr>
        <w:t>Universality.</w:t>
      </w:r>
      <w:r>
        <w:rPr>
          <w:rFonts w:ascii="source serif 4" w:eastAsia="source serif 4" w:hAnsi="source serif 4" w:cs="source serif 4"/>
          <w:color w:val="000000"/>
        </w:rPr>
        <w:t xml:space="preserve"> One rulebook, from Norway to Nauru — the veil test written in schema. Where evidence runs thin, the rulebook does not bend; the evidence regime is published instead. Every score carries its provenance: analyst, hybrid, or empirical.</w:t>
      </w:r>
    </w:p>
    <w:p w14:paraId="72D38E5B" w14:textId="77777777" w:rsidR="002B1921" w:rsidRDefault="00000000">
      <w:pPr>
        <w:numPr>
          <w:ilvl w:val="0"/>
          <w:numId w:val="1"/>
        </w:numPr>
        <w:spacing w:after="210" w:line="360" w:lineRule="auto"/>
      </w:pPr>
      <w:r>
        <w:rPr>
          <w:rFonts w:ascii="source serif 4" w:eastAsia="source serif 4" w:hAnsi="source serif 4" w:cs="source serif 4"/>
          <w:b/>
          <w:color w:val="000000"/>
        </w:rPr>
        <w:t>Memory.</w:t>
      </w:r>
      <w:r>
        <w:rPr>
          <w:rFonts w:ascii="source serif 4" w:eastAsia="source serif 4" w:hAnsi="source serif 4" w:cs="source serif 4"/>
          <w:color w:val="000000"/>
        </w:rPr>
        <w:t xml:space="preserve"> Trust degrades instantly and recovers slowly; the Index's own history is part of its body, and its ledger is immutable by construction.</w:t>
      </w:r>
    </w:p>
    <w:p w14:paraId="39092D6C" w14:textId="77777777" w:rsidR="002B1921" w:rsidRDefault="00000000">
      <w:pPr>
        <w:spacing w:before="210" w:after="0" w:line="360" w:lineRule="auto"/>
      </w:pPr>
      <w:r>
        <w:rPr>
          <w:noProof/>
        </w:rPr>
      </w:r>
      <w:r>
        <w:rPr>
          <w:noProof/>
        </w:rPr>
        <w:pict w14:anchorId="4FCC418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206585" w14:textId="77777777" w:rsidR="002B1921" w:rsidRDefault="00000000">
      <w:pPr>
        <w:spacing w:before="315" w:after="105" w:line="360" w:lineRule="auto"/>
        <w:ind w:left="-30"/>
      </w:pPr>
      <w:bookmarkStart w:id="10" w:name="v_the_succession"/>
      <w:r>
        <w:rPr>
          <w:rFonts w:ascii="source serif 4" w:eastAsia="source serif 4" w:hAnsi="source serif 4" w:cs="source serif 4"/>
          <w:b/>
          <w:color w:val="000000"/>
          <w:sz w:val="24"/>
        </w:rPr>
        <w:t>V. The succession</w:t>
      </w:r>
      <w:bookmarkEnd w:id="10"/>
    </w:p>
    <w:p w14:paraId="65E37EA0" w14:textId="77777777" w:rsidR="002B1921" w:rsidRDefault="00000000">
      <w:pPr>
        <w:spacing w:after="210" w:line="360" w:lineRule="auto"/>
      </w:pPr>
      <w:r>
        <w:rPr>
          <w:rFonts w:ascii="source serif 4" w:eastAsia="source serif 4" w:hAnsi="source serif 4" w:cs="source serif 4"/>
          <w:color w:val="000000"/>
        </w:rPr>
        <w:t>GDP was never meant to carry the weight it carries. Its own architect, Simon Kuznets, warned the United States Congress in 1934 against mistaking the measure of production for the measurement of purpose; the world spent ninety years learning that he was right — and reasons to build the successor instrument anyway.</w:t>
      </w:r>
    </w:p>
    <w:p w14:paraId="637D9BC3" w14:textId="77777777" w:rsidR="002B1921" w:rsidRDefault="00000000">
      <w:pPr>
        <w:spacing w:after="210" w:line="360" w:lineRule="auto"/>
      </w:pPr>
      <w:r>
        <w:rPr>
          <w:rFonts w:ascii="source serif 4" w:eastAsia="source serif 4" w:hAnsi="source serif 4" w:cs="source serif 4"/>
          <w:color w:val="000000"/>
        </w:rPr>
        <w:t xml:space="preserve">In 1997, the world gathered in Kyoto and declared the destination. The Kyoto Protocol was the triumph of </w:t>
      </w:r>
      <w:r>
        <w:rPr>
          <w:rFonts w:ascii="source serif 4" w:eastAsia="source serif 4" w:hAnsi="source serif 4" w:cs="source serif 4"/>
          <w:i/>
          <w:color w:val="000000"/>
        </w:rPr>
        <w:t>intent</w:t>
      </w:r>
      <w:r>
        <w:rPr>
          <w:rFonts w:ascii="source serif 4" w:eastAsia="source serif 4" w:hAnsi="source serif 4" w:cs="source serif 4"/>
          <w:color w:val="000000"/>
        </w:rPr>
        <w:t xml:space="preserve">: for the first time, the future of the physical planet was written into a framework of commitment. The era that followed — the pledges, the targets, the summits — produced declarations in abundance. What it never produced was an instrument capable of answering the one question that matters to every one of those commitments: </w:t>
      </w:r>
      <w:r>
        <w:rPr>
          <w:rFonts w:ascii="source serif 4" w:eastAsia="source serif 4" w:hAnsi="source serif 4" w:cs="source serif 4"/>
          <w:i/>
          <w:color w:val="000000"/>
        </w:rPr>
        <w:t>will it be built?</w:t>
      </w:r>
    </w:p>
    <w:p w14:paraId="64CD674C" w14:textId="77777777" w:rsidR="002B1921" w:rsidRDefault="00000000">
      <w:pPr>
        <w:spacing w:after="210" w:line="360" w:lineRule="auto"/>
      </w:pPr>
      <w:r>
        <w:rPr>
          <w:rFonts w:ascii="source serif 4" w:eastAsia="source serif 4" w:hAnsi="source serif 4" w:cs="source serif 4"/>
          <w:color w:val="000000"/>
        </w:rPr>
        <w:t>This document is written in Kyoto, in the spirit of what Kyoto declared, to supply what the era lacked. Not a new protocol. Not a new target. An instrument: a falsifiable rulebook by which the distance between the announced and the delivered is measured, jurisdiction by jurisdiction, sector by sector, quarter by quarter. Intent thirty years ago; execution now. If the Protocol gave the century its destination, let this century's instrument be the gauge on its road.</w:t>
      </w:r>
    </w:p>
    <w:p w14:paraId="3700B82F" w14:textId="77777777" w:rsidR="002B1921" w:rsidRDefault="00000000">
      <w:pPr>
        <w:spacing w:after="210" w:line="360" w:lineRule="auto"/>
      </w:pPr>
      <w:r>
        <w:rPr>
          <w:rFonts w:ascii="source serif 4" w:eastAsia="source serif 4" w:hAnsi="source serif 4" w:cs="source serif 4"/>
          <w:color w:val="000000"/>
        </w:rPr>
        <w:t>We are moving from the Age of Rhetoric to the Age of Execution. The TFCI does not claim to be the destination. It claims to be the compass — fixed by rules, corrected by physics, audited by history.</w:t>
      </w:r>
    </w:p>
    <w:p w14:paraId="31A6BA4B" w14:textId="77777777" w:rsidR="002B1921" w:rsidRDefault="00000000">
      <w:pPr>
        <w:spacing w:after="210" w:line="360" w:lineRule="auto"/>
      </w:pPr>
      <w:r>
        <w:rPr>
          <w:rFonts w:ascii="source serif 4" w:eastAsia="source serif 4" w:hAnsi="source serif 4" w:cs="source serif 4"/>
          <w:b/>
          <w:color w:val="000000"/>
        </w:rPr>
        <w:t>The Transition Finance Credibility Index.</w:t>
      </w:r>
      <w:r>
        <w:rPr>
          <w:rFonts w:ascii="source serif 4" w:eastAsia="source serif 4" w:hAnsi="source serif 4" w:cs="source serif 4"/>
          <w:color w:val="000000"/>
        </w:rPr>
        <w:br/>
      </w:r>
      <w:r>
        <w:rPr>
          <w:rFonts w:ascii="source serif 4" w:eastAsia="source serif 4" w:hAnsi="source serif 4" w:cs="source serif 4"/>
          <w:i/>
          <w:color w:val="000000"/>
        </w:rPr>
        <w:t>Drafted in Kyoto, September 2026.</w:t>
      </w:r>
    </w:p>
    <w:p w14:paraId="64459334" w14:textId="77777777" w:rsidR="002B1921" w:rsidRDefault="00000000">
      <w:pPr>
        <w:spacing w:before="210" w:after="0" w:line="360" w:lineRule="auto"/>
      </w:pPr>
      <w:r>
        <w:rPr>
          <w:noProof/>
        </w:rPr>
      </w:r>
      <w:r>
        <w:rPr>
          <w:noProof/>
        </w:rPr>
        <w:pict w14:anchorId="65D412F3">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2D286D" w14:textId="77777777" w:rsidR="002B1921" w:rsidRDefault="00000000">
      <w:pPr>
        <w:spacing w:before="315" w:after="105" w:line="360" w:lineRule="auto"/>
        <w:ind w:left="-30"/>
      </w:pPr>
      <w:bookmarkStart w:id="11" w:name="appendix_a_academic_lineage_diffe_9dcc2b"/>
      <w:r>
        <w:rPr>
          <w:rFonts w:ascii="source serif 4" w:eastAsia="source serif 4" w:hAnsi="source serif 4" w:cs="source serif 4"/>
          <w:b/>
          <w:color w:val="000000"/>
          <w:sz w:val="24"/>
        </w:rPr>
        <w:t>Appendix A — Academic lineage &amp; differentiation (normative)</w:t>
      </w:r>
      <w:bookmarkEnd w:id="11"/>
    </w:p>
    <w:p w14:paraId="4B74C513" w14:textId="0C5CFE53" w:rsidR="002B1921" w:rsidRDefault="00000000">
      <w:pPr>
        <w:spacing w:after="210" w:line="360" w:lineRule="auto"/>
      </w:pPr>
      <w:r>
        <w:rPr>
          <w:rFonts w:ascii="source serif 4" w:eastAsia="source serif 4" w:hAnsi="source serif 4" w:cs="source serif 4"/>
          <w:color w:val="000000"/>
        </w:rPr>
        <w:t>The TFCI stands on the shoulders of giants. We state our debts explicitly and our deltas precisely</w:t>
      </w:r>
      <w:r w:rsidR="00247905">
        <w:rPr>
          <w:rFonts w:ascii="source serif 4" w:eastAsia="source serif 4" w:hAnsi="source serif 4" w:cs="source serif 4"/>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48"/>
        <w:gridCol w:w="2952"/>
        <w:gridCol w:w="4604"/>
      </w:tblGrid>
      <w:tr w:rsidR="002B1921" w14:paraId="0CC53E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B93DD2" w14:textId="77777777" w:rsidR="002B1921" w:rsidRDefault="00000000">
            <w:pPr>
              <w:spacing w:line="360" w:lineRule="auto"/>
            </w:pPr>
            <w:r>
              <w:rPr>
                <w:rFonts w:ascii="source sans 3" w:eastAsia="source sans 3" w:hAnsi="source sans 3" w:cs="source sans 3"/>
                <w:color w:val="000000"/>
                <w:sz w:val="17"/>
              </w:rPr>
              <w:t>Synthesis</w:t>
            </w:r>
          </w:p>
        </w:tc>
        <w:tc>
          <w:tcPr>
            <w:tcW w:w="0" w:type="auto"/>
            <w:tcBorders>
              <w:top w:val="single" w:sz="1" w:space="0" w:color="000000"/>
              <w:bottom w:val="single" w:sz="1" w:space="0" w:color="000000"/>
              <w:right w:val="single" w:sz="1" w:space="0" w:color="000000"/>
            </w:tcBorders>
          </w:tcPr>
          <w:p w14:paraId="32858BEA" w14:textId="77777777" w:rsidR="002B1921" w:rsidRDefault="00000000">
            <w:pPr>
              <w:spacing w:line="360" w:lineRule="auto"/>
            </w:pPr>
            <w:r>
              <w:rPr>
                <w:rFonts w:ascii="source sans 3" w:eastAsia="source sans 3" w:hAnsi="source sans 3" w:cs="source sans 3"/>
                <w:color w:val="000000"/>
                <w:sz w:val="17"/>
              </w:rPr>
              <w:t>Lineage</w:t>
            </w:r>
          </w:p>
        </w:tc>
        <w:tc>
          <w:tcPr>
            <w:tcW w:w="0" w:type="auto"/>
            <w:tcBorders>
              <w:top w:val="single" w:sz="1" w:space="0" w:color="000000"/>
              <w:bottom w:val="single" w:sz="1" w:space="0" w:color="000000"/>
            </w:tcBorders>
          </w:tcPr>
          <w:p w14:paraId="485555B1" w14:textId="77777777" w:rsidR="002B1921" w:rsidRDefault="00000000">
            <w:pPr>
              <w:spacing w:line="360" w:lineRule="auto"/>
            </w:pPr>
            <w:r>
              <w:rPr>
                <w:rFonts w:ascii="source sans 3" w:eastAsia="source sans 3" w:hAnsi="source sans 3" w:cs="source sans 3"/>
                <w:color w:val="000000"/>
                <w:sz w:val="17"/>
              </w:rPr>
              <w:t>The TFCI delta</w:t>
            </w:r>
          </w:p>
        </w:tc>
      </w:tr>
      <w:tr w:rsidR="002B1921" w14:paraId="053401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398AB" w14:textId="77777777" w:rsidR="002B1921" w:rsidRDefault="00000000">
            <w:pPr>
              <w:spacing w:line="360" w:lineRule="auto"/>
            </w:pPr>
            <w:r>
              <w:rPr>
                <w:rFonts w:ascii="source sans 3" w:eastAsia="source sans 3" w:hAnsi="source sans 3" w:cs="source sans 3"/>
                <w:color w:val="000000"/>
                <w:sz w:val="17"/>
              </w:rPr>
              <w:t>Thermodynamic Capital Theory</w:t>
            </w:r>
          </w:p>
        </w:tc>
        <w:tc>
          <w:tcPr>
            <w:tcW w:w="0" w:type="auto"/>
            <w:tcBorders>
              <w:top w:val="single" w:sz="1" w:space="0" w:color="000000"/>
              <w:bottom w:val="single" w:sz="1" w:space="0" w:color="000000"/>
              <w:right w:val="single" w:sz="1" w:space="0" w:color="000000"/>
            </w:tcBorders>
          </w:tcPr>
          <w:p w14:paraId="6D348E4B" w14:textId="77777777" w:rsidR="002B1921" w:rsidRDefault="00000000">
            <w:pPr>
              <w:spacing w:line="360" w:lineRule="auto"/>
            </w:pPr>
            <w:r>
              <w:rPr>
                <w:rFonts w:ascii="source sans 3" w:eastAsia="source sans 3" w:hAnsi="source sans 3" w:cs="source sans 3"/>
                <w:color w:val="000000"/>
                <w:sz w:val="17"/>
              </w:rPr>
              <w:t>Georgescu-</w:t>
            </w:r>
            <w:proofErr w:type="spellStart"/>
            <w:r>
              <w:rPr>
                <w:rFonts w:ascii="source sans 3" w:eastAsia="source sans 3" w:hAnsi="source sans 3" w:cs="source sans 3"/>
                <w:color w:val="000000"/>
                <w:sz w:val="17"/>
              </w:rPr>
              <w:t>Roegen</w:t>
            </w:r>
            <w:proofErr w:type="spellEnd"/>
            <w:r>
              <w:rPr>
                <w:rFonts w:ascii="source sans 3" w:eastAsia="source sans 3" w:hAnsi="source sans 3" w:cs="source sans 3"/>
                <w:color w:val="000000"/>
                <w:sz w:val="17"/>
              </w:rPr>
              <w:t xml:space="preserve"> (1971); Ayres; Daly; Wolman (1965)</w:t>
            </w:r>
          </w:p>
        </w:tc>
        <w:tc>
          <w:tcPr>
            <w:tcW w:w="0" w:type="auto"/>
            <w:tcBorders>
              <w:top w:val="single" w:sz="1" w:space="0" w:color="000000"/>
              <w:bottom w:val="single" w:sz="1" w:space="0" w:color="000000"/>
            </w:tcBorders>
          </w:tcPr>
          <w:p w14:paraId="1443B99A" w14:textId="77777777" w:rsidR="002B1921" w:rsidRDefault="00000000">
            <w:pPr>
              <w:spacing w:line="360" w:lineRule="auto"/>
            </w:pPr>
            <w:r>
              <w:rPr>
                <w:rFonts w:ascii="source sans 3" w:eastAsia="source sans 3" w:hAnsi="source sans 3" w:cs="source sans 3"/>
                <w:color w:val="000000"/>
                <w:sz w:val="17"/>
              </w:rPr>
              <w:t>Macro entropy/GDP → micro-biological metabolism of capital; stranded assets as unmetabolized ATP</w:t>
            </w:r>
          </w:p>
        </w:tc>
      </w:tr>
      <w:tr w:rsidR="002B1921" w14:paraId="560AAE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1F84A1" w14:textId="77777777" w:rsidR="002B1921" w:rsidRDefault="00000000">
            <w:pPr>
              <w:spacing w:line="360" w:lineRule="auto"/>
            </w:pPr>
            <w:r>
              <w:rPr>
                <w:rFonts w:ascii="source sans 3" w:eastAsia="source sans 3" w:hAnsi="source sans 3" w:cs="source sans 3"/>
                <w:color w:val="000000"/>
                <w:sz w:val="17"/>
              </w:rPr>
              <w:t>Topological Veto Theory</w:t>
            </w:r>
          </w:p>
        </w:tc>
        <w:tc>
          <w:tcPr>
            <w:tcW w:w="0" w:type="auto"/>
            <w:tcBorders>
              <w:top w:val="single" w:sz="1" w:space="0" w:color="000000"/>
              <w:bottom w:val="single" w:sz="1" w:space="0" w:color="000000"/>
              <w:right w:val="single" w:sz="1" w:space="0" w:color="000000"/>
            </w:tcBorders>
          </w:tcPr>
          <w:p w14:paraId="4F2FF2AC" w14:textId="77777777" w:rsidR="002B1921" w:rsidRDefault="00000000">
            <w:pPr>
              <w:spacing w:line="360" w:lineRule="auto"/>
            </w:pPr>
            <w:r>
              <w:rPr>
                <w:rFonts w:ascii="source sans 3" w:eastAsia="source sans 3" w:hAnsi="source sans 3" w:cs="source sans 3"/>
                <w:color w:val="000000"/>
                <w:sz w:val="17"/>
              </w:rPr>
              <w:t>Goldratt TOC (1984); Liebig (1840); network-economics cascades</w:t>
            </w:r>
          </w:p>
        </w:tc>
        <w:tc>
          <w:tcPr>
            <w:tcW w:w="0" w:type="auto"/>
            <w:tcBorders>
              <w:top w:val="single" w:sz="1" w:space="0" w:color="000000"/>
              <w:bottom w:val="single" w:sz="1" w:space="0" w:color="000000"/>
            </w:tcBorders>
          </w:tcPr>
          <w:p w14:paraId="7D7D96AF" w14:textId="77777777" w:rsidR="002B1921" w:rsidRDefault="00000000">
            <w:pPr>
              <w:spacing w:line="360" w:lineRule="auto"/>
            </w:pPr>
            <w:r>
              <w:rPr>
                <w:rFonts w:ascii="source sans 3" w:eastAsia="source sans 3" w:hAnsi="source sans 3" w:cs="source sans 3"/>
                <w:color w:val="000000"/>
                <w:sz w:val="17"/>
              </w:rPr>
              <w:t>Production bottleneck → sovereign topological rupture; non-compensation as doctrine</w:t>
            </w:r>
          </w:p>
        </w:tc>
      </w:tr>
      <w:tr w:rsidR="002B1921" w14:paraId="00CF27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D4AF13" w14:textId="77777777" w:rsidR="002B1921" w:rsidRDefault="00000000">
            <w:pPr>
              <w:spacing w:line="360" w:lineRule="auto"/>
            </w:pPr>
            <w:r>
              <w:rPr>
                <w:rFonts w:ascii="source sans 3" w:eastAsia="source sans 3" w:hAnsi="source sans 3" w:cs="source sans 3"/>
                <w:color w:val="000000"/>
                <w:sz w:val="17"/>
              </w:rPr>
              <w:t>Cybernetic Accountability</w:t>
            </w:r>
          </w:p>
        </w:tc>
        <w:tc>
          <w:tcPr>
            <w:tcW w:w="0" w:type="auto"/>
            <w:tcBorders>
              <w:top w:val="single" w:sz="1" w:space="0" w:color="000000"/>
              <w:bottom w:val="single" w:sz="1" w:space="0" w:color="000000"/>
              <w:right w:val="single" w:sz="1" w:space="0" w:color="000000"/>
            </w:tcBorders>
          </w:tcPr>
          <w:p w14:paraId="644D588C" w14:textId="77777777" w:rsidR="002B1921" w:rsidRDefault="00000000">
            <w:pPr>
              <w:spacing w:line="360" w:lineRule="auto"/>
            </w:pPr>
            <w:r>
              <w:rPr>
                <w:rFonts w:ascii="source sans 3" w:eastAsia="source sans 3" w:hAnsi="source sans 3" w:cs="source sans 3"/>
                <w:color w:val="000000"/>
                <w:sz w:val="17"/>
              </w:rPr>
              <w:t>Wiener (1948); Blanchard &amp; Summers (1986) and the persistence literature</w:t>
            </w:r>
          </w:p>
        </w:tc>
        <w:tc>
          <w:tcPr>
            <w:tcW w:w="0" w:type="auto"/>
            <w:tcBorders>
              <w:top w:val="single" w:sz="1" w:space="0" w:color="000000"/>
              <w:bottom w:val="single" w:sz="1" w:space="0" w:color="000000"/>
            </w:tcBorders>
          </w:tcPr>
          <w:p w14:paraId="064ADB63" w14:textId="77777777" w:rsidR="002B1921" w:rsidRDefault="00000000">
            <w:pPr>
              <w:spacing w:line="360" w:lineRule="auto"/>
            </w:pPr>
            <w:r>
              <w:rPr>
                <w:rFonts w:ascii="source sans 3" w:eastAsia="source sans 3" w:hAnsi="source sans 3" w:cs="source sans 3"/>
                <w:color w:val="000000"/>
                <w:sz w:val="17"/>
              </w:rPr>
              <w:t>Macroeconomic hysteresis → Algorithmic Credibility Hysteresis on sovereign trust (zero-recovery quarter, +4/quarter cap)</w:t>
            </w:r>
          </w:p>
        </w:tc>
      </w:tr>
      <w:tr w:rsidR="002B1921" w14:paraId="239D60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257EFD" w14:textId="77777777" w:rsidR="002B1921" w:rsidRDefault="00000000">
            <w:pPr>
              <w:spacing w:line="360" w:lineRule="auto"/>
            </w:pPr>
            <w:r>
              <w:rPr>
                <w:rFonts w:ascii="source sans 3" w:eastAsia="source sans 3" w:hAnsi="source sans 3" w:cs="source sans 3"/>
                <w:color w:val="000000"/>
                <w:sz w:val="17"/>
              </w:rPr>
              <w:t>Ontological Friction</w:t>
            </w:r>
          </w:p>
        </w:tc>
        <w:tc>
          <w:tcPr>
            <w:tcW w:w="0" w:type="auto"/>
            <w:tcBorders>
              <w:top w:val="single" w:sz="1" w:space="0" w:color="000000"/>
              <w:bottom w:val="single" w:sz="1" w:space="0" w:color="000000"/>
              <w:right w:val="single" w:sz="1" w:space="0" w:color="000000"/>
            </w:tcBorders>
          </w:tcPr>
          <w:p w14:paraId="07857AD8" w14:textId="77777777" w:rsidR="002B1921" w:rsidRDefault="00000000">
            <w:pPr>
              <w:spacing w:line="360" w:lineRule="auto"/>
            </w:pPr>
            <w:r>
              <w:rPr>
                <w:rFonts w:ascii="source sans 3" w:eastAsia="source sans 3" w:hAnsi="source sans 3" w:cs="source sans 3"/>
                <w:color w:val="000000"/>
                <w:sz w:val="17"/>
              </w:rPr>
              <w:t>Coase (1937); Williamson; Husserl &amp; Schutz (lifeworld); Latour; Ihde</w:t>
            </w:r>
          </w:p>
        </w:tc>
        <w:tc>
          <w:tcPr>
            <w:tcW w:w="0" w:type="auto"/>
            <w:tcBorders>
              <w:top w:val="single" w:sz="1" w:space="0" w:color="000000"/>
              <w:bottom w:val="single" w:sz="1" w:space="0" w:color="000000"/>
            </w:tcBorders>
          </w:tcPr>
          <w:p w14:paraId="26C661A9" w14:textId="77777777" w:rsidR="002B1921" w:rsidRDefault="00000000">
            <w:pPr>
              <w:spacing w:line="360" w:lineRule="auto"/>
            </w:pPr>
            <w:r>
              <w:rPr>
                <w:rFonts w:ascii="source sans 3" w:eastAsia="source sans 3" w:hAnsi="source sans 3" w:cs="source sans 3"/>
                <w:color w:val="000000"/>
                <w:sz w:val="17"/>
              </w:rPr>
              <w:t>Transaction costs (payable) → physical/existential resistance (measurable only)</w:t>
            </w:r>
          </w:p>
        </w:tc>
      </w:tr>
    </w:tbl>
    <w:p w14:paraId="678D1237" w14:textId="77777777" w:rsidR="002B1921" w:rsidRDefault="002B1921"/>
    <w:p w14:paraId="77989C79" w14:textId="77777777" w:rsidR="002B1921" w:rsidRDefault="00000000">
      <w:pPr>
        <w:spacing w:before="315" w:after="105" w:line="360" w:lineRule="auto"/>
        <w:ind w:left="-30"/>
      </w:pPr>
      <w:bookmarkStart w:id="12" w:name="appendix_b_controlled_vocabulary_ac2a81"/>
      <w:r>
        <w:rPr>
          <w:rFonts w:ascii="source serif 4" w:eastAsia="source serif 4" w:hAnsi="source serif 4" w:cs="source serif 4"/>
          <w:b/>
          <w:color w:val="000000"/>
          <w:sz w:val="24"/>
        </w:rPr>
        <w:t>Appendix B — Controlled vocabulary (normative)</w:t>
      </w:r>
      <w:bookmarkEnd w:id="12"/>
    </w:p>
    <w:p w14:paraId="34B7CB77" w14:textId="74078FC1" w:rsidR="002B1921" w:rsidRDefault="00000000">
      <w:pPr>
        <w:spacing w:after="210" w:line="360" w:lineRule="auto"/>
      </w:pPr>
      <w:r>
        <w:rPr>
          <w:rFonts w:ascii="source serif 4" w:eastAsia="source serif 4" w:hAnsi="source serif 4" w:cs="source serif 4"/>
          <w:color w:val="000000"/>
        </w:rPr>
        <w:t xml:space="preserve">This Manifesto commits to the vocabulary of the Standard. One concept, one term, everywhere: </w:t>
      </w:r>
      <w:r>
        <w:rPr>
          <w:rFonts w:ascii="source serif 4" w:eastAsia="source serif 4" w:hAnsi="source serif 4" w:cs="source serif 4"/>
          <w:i/>
          <w:color w:val="000000"/>
        </w:rPr>
        <w:t>jurisdiction</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announced capital</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commissioned capital</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 xml:space="preserve">Credibility </w:t>
      </w:r>
      <w:r w:rsidR="00247905">
        <w:rPr>
          <w:rFonts w:ascii="source serif 4" w:eastAsia="source serif 4" w:hAnsi="source serif 4" w:cs="source serif 4"/>
          <w:i/>
          <w:color w:val="000000"/>
        </w:rPr>
        <w:t>Gap,</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Execution Ratio</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Survival Ratio</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veto</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pillar</w:t>
      </w:r>
      <w:r>
        <w:rPr>
          <w:rFonts w:ascii="source serif 4" w:eastAsia="source serif 4" w:hAnsi="source serif 4" w:cs="source serif 4"/>
          <w:color w:val="000000"/>
        </w:rPr>
        <w:t xml:space="preserve">, </w:t>
      </w:r>
      <w:r>
        <w:rPr>
          <w:rFonts w:ascii="source serif 4" w:eastAsia="source serif 4" w:hAnsi="source serif 4" w:cs="source serif 4"/>
          <w:i/>
          <w:color w:val="000000"/>
        </w:rPr>
        <w:t>sector</w:t>
      </w:r>
      <w:r>
        <w:rPr>
          <w:rFonts w:ascii="source serif 4" w:eastAsia="source serif 4" w:hAnsi="source serif 4" w:cs="source serif 4"/>
          <w:color w:val="000000"/>
        </w:rPr>
        <w:t xml:space="preserve">. The distance between announcement and commissioning has one name and one arithmetic. </w:t>
      </w:r>
    </w:p>
    <w:p w14:paraId="0A05514D" w14:textId="77777777" w:rsidR="002B1921" w:rsidRDefault="00000000">
      <w:pPr>
        <w:spacing w:before="210" w:after="0" w:line="360" w:lineRule="auto"/>
      </w:pPr>
      <w:r>
        <w:rPr>
          <w:noProof/>
        </w:rPr>
      </w:r>
      <w:r>
        <w:rPr>
          <w:noProof/>
        </w:rPr>
        <w:pict w14:anchorId="4347B39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2B192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655A7"/>
    <w:multiLevelType w:val="hybridMultilevel"/>
    <w:tmpl w:val="770CA69A"/>
    <w:lvl w:ilvl="0" w:tplc="10C6F178">
      <w:start w:val="1"/>
      <w:numFmt w:val="decimal"/>
      <w:lvlText w:val="%1."/>
      <w:lvlJc w:val="left"/>
      <w:pPr>
        <w:tabs>
          <w:tab w:val="num" w:pos="900"/>
        </w:tabs>
        <w:ind w:left="540" w:hanging="360"/>
      </w:pPr>
    </w:lvl>
    <w:lvl w:ilvl="1" w:tplc="4EEE561C">
      <w:numFmt w:val="decimal"/>
      <w:lvlText w:val=""/>
      <w:lvlJc w:val="left"/>
    </w:lvl>
    <w:lvl w:ilvl="2" w:tplc="E5C8C87A">
      <w:numFmt w:val="decimal"/>
      <w:lvlText w:val=""/>
      <w:lvlJc w:val="left"/>
    </w:lvl>
    <w:lvl w:ilvl="3" w:tplc="746012C4">
      <w:numFmt w:val="decimal"/>
      <w:lvlText w:val=""/>
      <w:lvlJc w:val="left"/>
    </w:lvl>
    <w:lvl w:ilvl="4" w:tplc="55227260">
      <w:numFmt w:val="decimal"/>
      <w:lvlText w:val=""/>
      <w:lvlJc w:val="left"/>
    </w:lvl>
    <w:lvl w:ilvl="5" w:tplc="3C7CD5EA">
      <w:numFmt w:val="decimal"/>
      <w:lvlText w:val=""/>
      <w:lvlJc w:val="left"/>
    </w:lvl>
    <w:lvl w:ilvl="6" w:tplc="26A4AA7A">
      <w:numFmt w:val="decimal"/>
      <w:lvlText w:val=""/>
      <w:lvlJc w:val="left"/>
    </w:lvl>
    <w:lvl w:ilvl="7" w:tplc="9E04A998">
      <w:numFmt w:val="decimal"/>
      <w:lvlText w:val=""/>
      <w:lvlJc w:val="left"/>
    </w:lvl>
    <w:lvl w:ilvl="8" w:tplc="AB78B144">
      <w:numFmt w:val="decimal"/>
      <w:lvlText w:val=""/>
      <w:lvlJc w:val="left"/>
    </w:lvl>
  </w:abstractNum>
  <w:num w:numId="1" w16cid:durableId="129925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921"/>
    <w:rsid w:val="00247905"/>
    <w:rsid w:val="002B1921"/>
    <w:rsid w:val="00413B58"/>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ACD1E92"/>
  <w15:docId w15:val="{5CAB691B-5E90-480B-8309-A7C21DA7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1813</Words>
  <Characters>10446</Characters>
  <Application>Microsoft Office Word</Application>
  <DocSecurity>0</DocSecurity>
  <Lines>199</Lines>
  <Paragraphs>84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 B</cp:lastModifiedBy>
  <cp:revision>3</cp:revision>
  <dcterms:created xsi:type="dcterms:W3CDTF">2026-09-13T03:03:00Z</dcterms:created>
  <dcterms:modified xsi:type="dcterms:W3CDTF">2026-09-13T07:29:00Z</dcterms:modified>
</cp:coreProperties>
</file>