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48"/>
          <w:szCs w:val="48"/>
        </w:rPr>
        <w:t xml:space="preserve">AutoTender-VN: Hệ thống RAG hỗ trợ soạn thảo Hồ sơ mời thầu Công nghệ thông tin dựa trên Kho tri thức Pháp luật Đấu thầu Việt Nam</w:t>
      </w:r>
    </w:p>
    <w:p>
      <w:pPr>
        <w:spacing w:after="40"/>
        <w:jc w:val="center"/>
      </w:pPr>
      <w:r>
        <w:rPr>
          <w:rFonts w:ascii="Times New Roman" w:cs="Times New Roman" w:eastAsia="Times New Roman" w:hAnsi="Times New Roman"/>
          <w:sz w:val="22"/>
          <w:szCs w:val="22"/>
        </w:rPr>
        <w:t xml:space="preserve">Nguyễn Đình Đán, Nguyễn Văn Vũ, Triệu Việt Hoa, Hoàng Xuân Sơn, Nguyễn Thái Thịnh</w:t>
      </w:r>
    </w:p>
    <w:p>
      <w:pPr>
        <w:spacing w:after="300"/>
        <w:jc w:val="center"/>
      </w:pPr>
      <w:r>
        <w:rPr>
          <w:rFonts w:ascii="Times New Roman" w:cs="Times New Roman" w:eastAsia="Times New Roman" w:hAnsi="Times New Roman"/>
          <w:i/>
          <w:iCs/>
          <w:sz w:val="22"/>
          <w:szCs w:val="22"/>
        </w:rPr>
        <w:t xml:space="preserve">Trường Kinh doanh FSB, Đại học FPT — Đồ án cuối môn Deep Learning, bậc Thạc sĩ</w:t>
      </w:r>
    </w:p>
    <w:p>
      <w:pPr>
        <w:spacing w:after="100"/>
        <w:ind w:left="400" w:right="400"/>
        <w:jc w:val="both"/>
      </w:pPr>
      <w:r>
        <w:rPr>
          <w:rFonts w:ascii="Times New Roman" w:cs="Times New Roman" w:eastAsia="Times New Roman" w:hAnsi="Times New Roman"/>
          <w:b/>
          <w:bCs/>
          <w:i/>
          <w:iCs/>
          <w:sz w:val="20"/>
          <w:szCs w:val="20"/>
        </w:rPr>
        <w:t xml:space="preserve">Tóm tắt—</w:t>
      </w:r>
      <w:r>
        <w:rPr>
          <w:rFonts w:ascii="Times New Roman" w:cs="Times New Roman" w:eastAsia="Times New Roman" w:hAnsi="Times New Roman"/>
          <w:sz w:val="20"/>
          <w:szCs w:val="20"/>
        </w:rPr>
        <w:t xml:space="preserve">Soạn thảo Hồ sơ mời thầu (HSMT) cho gói thầu phần mềm là công việc tốn thời gian, đòi hỏi bám sát nhiều văn bản pháp luật đấu thầu thường xuyên sửa đổi, trong khi việc dùng trực tiếp mô hình ngôn ngữ lớn (LLM) tiềm ẩn rủi ro "ảo giác" — tự sinh ra điều khoản pháp lý không có căn cứ. Bài báo trình bày AutoTender-VN, một hệ thống sinh văn bản có tăng cường truy hồi (Retrieval-Augmented Generation — RAG) chuyên biệt cho miền HSMT phần mềm/công nghệ thông tin (CNTT) tại Việt Nam. Hệ thống dựng kho tri thức pháp luật thật gồm 326 Điều (684 đoạn sau khi chia theo Khoản) trích xuất nguyên văn từ Luật Đấu thầu 22/2023/QH15, Nghị định 214/2025/NĐ-CP, hai Thông tư hướng dẫn và Nghị định 45/2026/NĐ-CP chuyên ngành CNTT; kết hợp truy hồi lai (dense + BM25, hợp nhất bằng Reciprocal Rank Fusion) và xếp hạng lại bằng cross-encoder; sinh từng mục HSMT qua Claude API với trích dẫn căn cứ bắt buộc và bộ kiểm tra số liệu độc lập với mô hình. Trên 46 câu hỏi gán tay, cấu hình truy hồi lai kết hợp rerank đạt Recall@5 = 0.761, MRR = 0.587, nDCG@5 = 0.627 — cải thiện rõ so với BM25 đơn lẻ (Recall@5 = 0.565) và dense đơn lẻ (Recall@5 = 0.696). Ở tầng sinh văn bản, so sánh có/không truy hồi cho thấy RAG nâng độ bám căn cứ pháp lý (faithfulness) từ 0.41 lên 0.94 và độ đầy đủ nội dung (completeness) từ 0.44 lên 0.87, đo bằng LLM-as-judge trên 8 câu hỏi thật. Một đợt rà soát kỹ thuật trực tiếp trên mã nguồn (không chỉ tài liệu) phát hiện và sửa 3 lỗi thật trong pipeline truy hồi — đáng chú ý nhất là 65% đoạn văn bản trong kho tri thức bị cắt âm thầm khi embed do vượt quá giới hạn kiến trúc của mô hình — nâng độ tách biệt không gian embedding 13-15%. Bài báo cũng trình bày cơ sở học biểu diễn (representation learning) của các thành phần mạng nơ-ron trong hệ thống — kiến trúc bi-encoder/cross-encoder, khảo sát không gian embedding bằng t-SNE/UMAP, và cơ chế sinh tự hồi quy của LLM giải thích vì sao RAG giảm ảo giác — cùng các giới hạn còn tồn tại của hệ thống.</w:t>
      </w:r>
    </w:p>
    <w:p>
      <w:pPr>
        <w:spacing w:after="200"/>
        <w:ind w:left="400" w:right="400"/>
        <w:jc w:val="both"/>
      </w:pPr>
      <w:r>
        <w:rPr>
          <w:rFonts w:ascii="Times New Roman" w:cs="Times New Roman" w:eastAsia="Times New Roman" w:hAnsi="Times New Roman"/>
          <w:b/>
          <w:bCs/>
          <w:i/>
          <w:iCs/>
          <w:sz w:val="20"/>
          <w:szCs w:val="20"/>
        </w:rPr>
        <w:t xml:space="preserve">Từ khóa—</w:t>
      </w:r>
      <w:r>
        <w:rPr>
          <w:rFonts w:ascii="Times New Roman" w:cs="Times New Roman" w:eastAsia="Times New Roman" w:hAnsi="Times New Roman"/>
          <w:i/>
          <w:iCs/>
          <w:sz w:val="20"/>
          <w:szCs w:val="20"/>
        </w:rPr>
        <w:t xml:space="preserve">Retrieval-Augmented Generation, mô hình ngôn ngữ lớn, truy hồi lai, sentence embedding, xử lý ngôn ngữ tự nhiên tiếng Việt, đấu thầu điện tử.</w:t>
      </w:r>
    </w:p>
    <w:p>
      <w:pPr>
        <w:sectPr>
          <w:pgSz w:w="12240" w:h="15840" w:orient="portrait"/>
          <w:pgMar w:top="1440" w:right="1080" w:bottom="1440" w:left="1080" w:header="708" w:footer="708" w:gutter="0"/>
          <w:pgNumType/>
          <w:docGrid w:linePitch="360"/>
        </w:sectPr>
      </w:pPr>
    </w:p>
    <w:p>
      <w:pPr>
        <w:spacing w:after="120" w:before="240"/>
        <w:jc w:val="center"/>
      </w:pPr>
      <w:r>
        <w:rPr>
          <w:rFonts w:ascii="Times New Roman" w:cs="Times New Roman" w:eastAsia="Times New Roman" w:hAnsi="Times New Roman"/>
          <w:b/>
          <w:bCs/>
          <w:sz w:val="20"/>
          <w:szCs w:val="20"/>
        </w:rPr>
        <w:t xml:space="preserve">I. GIỚI THIỆU</w:t>
      </w:r>
    </w:p>
    <w:p>
      <w:pPr>
        <w:spacing w:after="120"/>
        <w:jc w:val="both"/>
      </w:pPr>
      <w:r>
        <w:rPr>
          <w:rFonts w:ascii="Times New Roman" w:cs="Times New Roman" w:eastAsia="Times New Roman" w:hAnsi="Times New Roman"/>
          <w:sz w:val="20"/>
          <w:szCs w:val="20"/>
        </w:rPr>
        <w:t xml:space="preserve">Theo Luật Đấu thầu số 22/2023/QH15 (Điều 44), Hồ sơ mời thầu (HSMT) là toàn bộ tài liệu chứa các yêu cầu của một gói thầu, làm căn cứ để nhà thầu chuẩn bị hồ sơ dự thầu và để bên mời thầu tổ chức đánh giá. Một bộ HSMT gồm nhiều thành phần — chỉ dẫn nhà thầu, bảng dữ liệu đấu thầu, tiêu chuẩn đánh giá, biểu mẫu, điều kiện hợp đồng — trong đó bộ tiêu chuẩn đánh giá (năng lực, kinh nghiệm, kỹ thuật) là phần cốt lõi, quyết định trực tiếp nhà thầu nào đạt yêu cầu.</w:t>
      </w:r>
    </w:p>
    <w:p>
      <w:pPr>
        <w:spacing w:after="120"/>
        <w:jc w:val="both"/>
      </w:pPr>
      <w:r>
        <w:rPr>
          <w:rFonts w:ascii="Times New Roman" w:cs="Times New Roman" w:eastAsia="Times New Roman" w:hAnsi="Times New Roman"/>
          <w:sz w:val="20"/>
          <w:szCs w:val="20"/>
        </w:rPr>
        <w:t xml:space="preserve">Soạn thảo các mục này đòi hỏi đối chiếu đồng thời nhiều văn bản pháp luật — Luật gốc, các luật sửa đổi, nghị định hướng dẫn, thông tư ban hành mẫu — vốn thay đổi thường xuyên. Việc gọi thẳng một LLM để sinh nội dung, dù nhanh, tiềm ẩn rủi ro "ảo giác": mô hình có thể trích dẫn sai điều khoản hoặc dùng văn bản đã hết hiệu lực, hậu quả pháp lý nghiêm trọng hơn nhiều so với văn bản thông thường. Retrieval-Augmented Generation (RAG) [1] giải quyết đúng vấn đề này bằng cách buộc mô hình tra cứu văn bản gốc trước khi trả lời, thay vì chỉ dựa vào tri thức đã học lúc huấn luyện.</w:t>
      </w:r>
    </w:p>
    <w:p>
      <w:pPr>
        <w:spacing w:after="120"/>
        <w:jc w:val="both"/>
      </w:pPr>
      <w:r>
        <w:rPr>
          <w:rFonts w:ascii="Times New Roman" w:cs="Times New Roman" w:eastAsia="Times New Roman" w:hAnsi="Times New Roman"/>
          <w:sz w:val="20"/>
          <w:szCs w:val="20"/>
        </w:rPr>
        <w:t xml:space="preserve">Đóng góp của bài báo gồm: (1) một kho tri thức pháp luật đấu thầu Việt Nam thật, trích xuất nguyên văn và có kiểm soát chất lượng, bao gồm cả một văn bản chuyên ngành CNTT chỉ tồn tại dưới dạng bản scan ảnh ở nguồn chính thức; (2) một pipeline truy hồi lai kết hợp dense, BM25 và rerank, được đánh giá định lượng trên tập câu hỏi gán tay độc lập; (3) một cơ chế sinh có trích dẫn bắt buộc và kiểm tra số liệu tách biệt khỏi mô hình sinh, giảm rủi ro bịa đặt; và (4) một bộ đánh giá hai tầng (truy hồi và đầu ra) đo trực tiếp giá trị của RAG so với gọi LLM trần.</w:t>
      </w:r>
    </w:p>
    <w:p>
      <w:pPr>
        <w:spacing w:after="120" w:before="240"/>
        <w:jc w:val="center"/>
      </w:pPr>
      <w:r>
        <w:rPr>
          <w:rFonts w:ascii="Times New Roman" w:cs="Times New Roman" w:eastAsia="Times New Roman" w:hAnsi="Times New Roman"/>
          <w:b/>
          <w:bCs/>
          <w:sz w:val="20"/>
          <w:szCs w:val="20"/>
        </w:rPr>
        <w:t xml:space="preserve">II. CÔNG TRÌNH LIÊN QUAN</w:t>
      </w:r>
    </w:p>
    <w:p>
      <w:pPr>
        <w:spacing w:after="120"/>
        <w:jc w:val="both"/>
      </w:pPr>
      <w:r>
        <w:rPr>
          <w:rFonts w:ascii="Times New Roman" w:cs="Times New Roman" w:eastAsia="Times New Roman" w:hAnsi="Times New Roman"/>
          <w:sz w:val="20"/>
          <w:szCs w:val="20"/>
        </w:rPr>
        <w:t xml:space="preserve">RAG được Lewis và cộng sự [1] đề xuất nhằm kết hợp một retriever tham số hoá với một mô hình sinh, cho phép cập nhật tri thức bằng cách thay đổi kho dữ liệu thay vì huấn luyện lại. Sentence-BERT [2] chứng minh rằng biểu diễn câu học qua kiến trúc bi-encoder siamese cho phép so khớp ngữ nghĩa hiệu quả bằng khoảng cách cosine, là nền tảng cho truy hồi dense hiện đại. Cross-encoder, xử lý đồng thời cặp truy vấn-tài liệu qua một mô hình transformer duy nhất, cho độ chính xác cao hơn bi-encoder nhưng chi phí tính toán lớn hơn nhiều lần — thường dùng ở bước xếp hạng lại (rerank) sau một bước truy hồi thô rẻ hơn [3]. Với văn bản pháp lý, một số nghiên cứu dùng LLM làm giám khảo tự động (LLM-as-judge) để chấm điểm mức độ bám căn cứ (faithfulness) của văn bản sinh ra so với nguồn trích dẫn, thay cho việc gán nhãn thủ công tốn kém trên quy mô lớn.</w:t>
      </w:r>
    </w:p>
    <w:p>
      <w:pPr>
        <w:spacing w:after="120" w:before="240"/>
        <w:jc w:val="center"/>
      </w:pPr>
      <w:r>
        <w:rPr>
          <w:rFonts w:ascii="Times New Roman" w:cs="Times New Roman" w:eastAsia="Times New Roman" w:hAnsi="Times New Roman"/>
          <w:b/>
          <w:bCs/>
          <w:sz w:val="20"/>
          <w:szCs w:val="20"/>
        </w:rPr>
        <w:t xml:space="preserve">III. KIẾN TRÚC HỆ THỐNG</w:t>
      </w:r>
    </w:p>
    <w:p>
      <w:pPr>
        <w:spacing w:after="80" w:before="160"/>
      </w:pPr>
      <w:r>
        <w:rPr>
          <w:rFonts w:ascii="Times New Roman" w:cs="Times New Roman" w:eastAsia="Times New Roman" w:hAnsi="Times New Roman"/>
          <w:b/>
          <w:bCs/>
          <w:i/>
          <w:iCs/>
          <w:sz w:val="20"/>
          <w:szCs w:val="20"/>
        </w:rPr>
        <w:t xml:space="preserve">A. Dựng kho tri thức (offline)</w:t>
      </w:r>
    </w:p>
    <w:p>
      <w:pPr>
        <w:spacing w:after="120"/>
        <w:jc w:val="both"/>
      </w:pPr>
      <w:r>
        <w:rPr>
          <w:rFonts w:ascii="Times New Roman" w:cs="Times New Roman" w:eastAsia="Times New Roman" w:hAnsi="Times New Roman"/>
          <w:sz w:val="20"/>
          <w:szCs w:val="20"/>
        </w:rPr>
        <w:t xml:space="preserve">Kho tri thức được lấy nguyên văn từ 5 văn bản pháp luật thật: Luật Đấu thầu 22/2023/QH15 (bản hợp nhất với Luật 57/2024/QH15 và Luật 90/2025/QH15), Nghị định 214/2025/NĐ-CP, Thông tư 01/2024 và 22/2024/TT-BKHĐT, và Nghị định 45/2026/NĐ-CP — văn bản chuyên ngành quản lý đầu tư ứng dụng CNTT. Văn bản quy phạm pháp luật không thuộc đối tượng bảo hộ quyền tác giả theo Điều 15 Luật Sở hữu trí tuệ Việt Nam, cho phép lưu trữ nguyên văn hợp lệ trong một hệ RAG pháp lý.</w:t>
      </w:r>
    </w:p>
    <w:p>
      <w:pPr>
        <w:spacing w:after="120"/>
        <w:jc w:val="both"/>
      </w:pPr>
      <w:r>
        <w:rPr>
          <w:rFonts w:ascii="Times New Roman" w:cs="Times New Roman" w:eastAsia="Times New Roman" w:hAnsi="Times New Roman"/>
          <w:sz w:val="20"/>
          <w:szCs w:val="20"/>
        </w:rPr>
        <w:t xml:space="preserve">Với Nghị định 45/2026/NĐ-CP, bản PDF chính thức duy nhất tại cổng thông tin Chính phủ là văn bản scan ảnh — không có lớp text trích xuất được. Nhóm viết một trình phân tích cú pháp riêng cho cấu trúc HTML của một nguồn thay thế hiển thị cùng nội dung dạng văn bản thuần, nhận diện ranh giới Chương/Điều bằng biểu thức chính quy trên nội dung hiển thị thay vì dựa vào số thứ tự lớp CSS (vốn không nhất quán ý nghĩa giữa các văn bản khác nhau trên cùng nguồn), khôi phục đầy đủ 43/43 Điều.</w:t>
      </w:r>
    </w:p>
    <w:p>
      <w:pPr>
        <w:spacing w:after="120"/>
        <w:jc w:val="both"/>
      </w:pPr>
      <w:r>
        <w:rPr>
          <w:rFonts w:ascii="Times New Roman" w:cs="Times New Roman" w:eastAsia="Times New Roman" w:hAnsi="Times New Roman"/>
          <w:sz w:val="20"/>
          <w:szCs w:val="20"/>
        </w:rPr>
        <w:t xml:space="preserve">Văn bản được chia nhỏ (chunk) theo đơn vị Điều — mỗi Điều là một đơn vị pháp lý trọn vẹn, đủ ngữ cảnh cho trích dẫn chính xác; nếu một Điều vượt ngưỡng độ dài (400 từ), hệ thống cắt tiếp theo ranh giới Khoản thay vì cửa sổ trượt mù, tránh cắt giữa câu. Với các nguồn có lỗi biên soạn (tiêu đề Điều trùng lặp hoặc bị trộn nội dung với Điều liền kề), hệ thống loại bỏ toàn bộ Điều bị ảnh hưởng thay vì đoán bản đúng — ưu tiên nguyên tắc không trích dẫn sai hơn là đầy đủ. Kết quả cuối: 326 Điều, 684 đoạn (chunk), được embed bằng hai mô hình song song (Mục IV-C) và lập chỉ mục cả vector (FAISS) lẫn từ khóa (BM25).</w:t>
      </w:r>
    </w:p>
    <w:p>
      <w:pPr>
        <w:spacing w:after="80" w:before="160"/>
      </w:pPr>
      <w:r>
        <w:rPr>
          <w:rFonts w:ascii="Times New Roman" w:cs="Times New Roman" w:eastAsia="Times New Roman" w:hAnsi="Times New Roman"/>
          <w:b/>
          <w:bCs/>
          <w:i/>
          <w:iCs/>
          <w:sz w:val="20"/>
          <w:szCs w:val="20"/>
        </w:rPr>
        <w:t xml:space="preserve">B. Truy hồi và sinh văn bản (online)</w:t>
      </w:r>
    </w:p>
    <w:p>
      <w:pPr>
        <w:spacing w:after="120"/>
        <w:jc w:val="both"/>
      </w:pPr>
      <w:r>
        <w:rPr>
          <w:rFonts w:ascii="Times New Roman" w:cs="Times New Roman" w:eastAsia="Times New Roman" w:hAnsi="Times New Roman"/>
          <w:sz w:val="20"/>
          <w:szCs w:val="20"/>
        </w:rPr>
        <w:t xml:space="preserve">Khi soạn một mục HSMT, hệ thống truy hồi song song bằng embedding dense và BM25 (mỗi nhánh lấy top-50 ứng viên), hợp nhất hai danh sách bằng Reciprocal Rank Fusion, rồi xếp hạng lại top-50 bằng cross-encoder xuống top-5 làm ngữ cảnh cuối cùng cho bước sinh. Claude API soạn nội dung mục HSMT dựa trên ngữ cảnh đã truy hồi, bắt buộc trích dẫn Điều/Khoản căn cứ cho mọi khẳng định. Một bộ kiểm tra số liệu độc lập với mô hình (verify_numeric_consistency) so khớp mọi con số xuất hiện trong văn bản sinh ra — sau khi loại bỏ các số thuộc về trích dẫn căn cứ (vd "Điều 26", "Nghị định 214/2025") — với các trường dữ liệu đã trích xuất từ thông tin gói thầu người dùng nhập; số liệu lệch bị gắn cờ R4 để người duyệt xem lại, không để mô hình tự quyết định số liệu nghiệp vụ.</w:t>
      </w:r>
    </w:p>
    <w:p>
      <w:pPr>
        <w:spacing w:after="120"/>
        <w:jc w:val="both"/>
      </w:pPr>
      <w:r>
        <w:rPr>
          <w:rFonts w:ascii="Times New Roman" w:cs="Times New Roman" w:eastAsia="Times New Roman" w:hAnsi="Times New Roman"/>
          <w:sz w:val="20"/>
          <w:szCs w:val="20"/>
        </w:rPr>
        <w:t xml:space="preserve">Bước cuối kiểm tra tuân thủ: đối chiếu đủ thành phần bắt buộc theo Điều 44 (cờ R5 khi thiếu Chương III hoặc Chương V), và rà soát các dấu hiệu hạn chế cạnh tranh — yêu cầu nhãn hiệu cụ thể (R1), ngưỡng doanh thu bất hợp lý (R2), thông số kỹ thuật "may đo" cho một sản phẩm duy nhất (R3) — trước khi cho phép xuất bản dự thảo.</w:t>
      </w:r>
    </w:p>
    <w:p>
      <w:pPr>
        <w:spacing w:after="80" w:before="160"/>
      </w:pPr>
      <w:r>
        <w:rPr>
          <w:rFonts w:ascii="Times New Roman" w:cs="Times New Roman" w:eastAsia="Times New Roman" w:hAnsi="Times New Roman"/>
          <w:b/>
          <w:bCs/>
          <w:i/>
          <w:iCs/>
          <w:sz w:val="20"/>
          <w:szCs w:val="20"/>
        </w:rPr>
        <w:t xml:space="preserve">C. Ba mức kết quả</w:t>
      </w:r>
    </w:p>
    <w:p>
      <w:pPr>
        <w:spacing w:after="60"/>
        <w:ind w:left="260" w:hanging="200"/>
      </w:pPr>
      <w:r>
        <w:rPr>
          <w:rFonts w:ascii="Times New Roman" w:cs="Times New Roman" w:eastAsia="Times New Roman" w:hAnsi="Times New Roman"/>
          <w:sz w:val="20"/>
          <w:szCs w:val="20"/>
        </w:rPr>
        <w:t xml:space="preserve">• Mức 1 — Hỏi-đáp có trích dẫn: người dùng đặt câu hỏi tự do về quy định đấu thầu, hệ thống trả lời kèm đoạn trích dẫn Điều/Khoản thật.</w:t>
      </w:r>
    </w:p>
    <w:p>
      <w:pPr>
        <w:spacing w:after="60"/>
        <w:ind w:left="260" w:hanging="200"/>
      </w:pPr>
      <w:r>
        <w:rPr>
          <w:rFonts w:ascii="Times New Roman" w:cs="Times New Roman" w:eastAsia="Times New Roman" w:hAnsi="Times New Roman"/>
          <w:sz w:val="20"/>
          <w:szCs w:val="20"/>
        </w:rPr>
        <w:t xml:space="preserve">• Mức 2 — Soạn một mục HSMT: nhập thông tin gói thầu, hệ thống soạn một mục cụ thể (Chương III năng lực-kinh nghiệm, hoặc Chương V yêu cầu kỹ thuật) kèm trích dẫn và cờ tuân thủ.</w:t>
      </w:r>
    </w:p>
    <w:p>
      <w:pPr>
        <w:spacing w:after="60"/>
        <w:ind w:left="260" w:hanging="200"/>
      </w:pPr>
      <w:r>
        <w:rPr>
          <w:rFonts w:ascii="Times New Roman" w:cs="Times New Roman" w:eastAsia="Times New Roman" w:hAnsi="Times New Roman"/>
          <w:sz w:val="20"/>
          <w:szCs w:val="20"/>
        </w:rPr>
        <w:t xml:space="preserve">• Mức 3 — Ghép bản nháp một phần: các mục đã soạn được gộp thành một tài liệu xuất PDF/DOCX; hệ thống hiện chưa lắp các phần cố định (chỉ dẫn nhà thầu, bảng dữ liệu đấu thầu) do nằm ngoài phạm vi cốt lõi của đề tài.</w:t>
      </w:r>
    </w:p>
    <w:p>
      <w:pPr>
        <w:spacing w:after="120" w:before="240"/>
        <w:jc w:val="center"/>
      </w:pPr>
      <w:r>
        <w:rPr>
          <w:rFonts w:ascii="Times New Roman" w:cs="Times New Roman" w:eastAsia="Times New Roman" w:hAnsi="Times New Roman"/>
          <w:b/>
          <w:bCs/>
          <w:sz w:val="20"/>
          <w:szCs w:val="20"/>
        </w:rPr>
        <w:t xml:space="preserve">IV. NỀN TẢNG DEEP LEARNING</w:t>
      </w:r>
    </w:p>
    <w:p>
      <w:pPr>
        <w:spacing w:after="120"/>
        <w:jc w:val="both"/>
      </w:pPr>
      <w:r>
        <w:rPr>
          <w:rFonts w:ascii="Times New Roman" w:cs="Times New Roman" w:eastAsia="Times New Roman" w:hAnsi="Times New Roman"/>
          <w:sz w:val="20"/>
          <w:szCs w:val="20"/>
        </w:rPr>
        <w:t xml:space="preserve">Đề tài không bắt buộc tự huấn luyện mô hình; đóng góp Deep Learning nằm ở việc thiết kế, ghép nối và đánh giá định lượng các mạng nơ-ron pretrained được sử dụng trong pipeline — coi các thành phần này là đối tượng phân tích, không chỉ là công cụ gọi sẵn.</w:t>
      </w:r>
    </w:p>
    <w:p>
      <w:pPr>
        <w:spacing w:after="80" w:before="160"/>
      </w:pPr>
      <w:r>
        <w:rPr>
          <w:rFonts w:ascii="Times New Roman" w:cs="Times New Roman" w:eastAsia="Times New Roman" w:hAnsi="Times New Roman"/>
          <w:b/>
          <w:bCs/>
          <w:i/>
          <w:iCs/>
          <w:sz w:val="20"/>
          <w:szCs w:val="20"/>
        </w:rPr>
        <w:t xml:space="preserve">A. Kiến trúc mô hình biểu diễn</w:t>
      </w:r>
    </w:p>
    <w:p>
      <w:pPr>
        <w:spacing w:after="120"/>
        <w:jc w:val="both"/>
      </w:pPr>
      <w:r>
        <w:rPr>
          <w:rFonts w:ascii="Times New Roman" w:cs="Times New Roman" w:eastAsia="Times New Roman" w:hAnsi="Times New Roman"/>
          <w:sz w:val="20"/>
          <w:szCs w:val="20"/>
        </w:rPr>
        <w:t xml:space="preserve">Cả embedding model và cross-encoder reranker đều là mạng transformer encoder [4]. Với bi-encoder (dùng cho truy hồi dense), văn bản truy vấn và văn bản ứng viên được mã hoá ĐỘC LẬP qua cùng một encoder: mỗi token được biểu diễn qua nhiều lớp self-attention đa đầu (multi-head self-attention), cho phép mỗi vị trí tổng hợp thông tin có trọng số từ mọi vị trí khác trong chuỗi; sau lớp cuối, một phép pooling (mean-pooling trên toàn bộ token, có trọng số theo attention mask) nén chuỗi vector theo-token thành một vector câu duy nhất. Độ tương đồng ngữ nghĩa giữa truy vấn và tài liệu được đo bằng cosine similarity giữa hai vector câu này — phép toán rẻ, cho phép tính trước embedding của toàn bộ kho tri thức và tìm kiếm gần đúng ở thời điểm truy vấn.</w:t>
      </w:r>
    </w:p>
    <w:p>
      <w:pPr>
        <w:spacing w:after="120"/>
        <w:jc w:val="both"/>
      </w:pPr>
      <w:r>
        <w:rPr>
          <w:rFonts w:ascii="Times New Roman" w:cs="Times New Roman" w:eastAsia="Times New Roman" w:hAnsi="Times New Roman"/>
          <w:sz w:val="20"/>
          <w:szCs w:val="20"/>
        </w:rPr>
        <w:t xml:space="preserve">Cross-encoder xử lý khác biệt về cấu trúc: cặp (truy vấn, tài liệu) được nối thành MỘT chuỗi input duy nhất, đưa qua transformer, để self-attention có thể so khớp trực tiếp từng token của truy vấn với từng token của tài liệu ngay trong quá trình mã hoá, thay vì chỉ so hai vector đã nén sẵn. Điều này cho độ chính xác cao hơn bi-encoder vì không mất thông tin tương tác chi tiết, nhưng không tính trước được — phải chạy lại cho mọi cặp ứng viên tại thời điểm truy vấn, giải thích vì sao hệ thống chỉ dùng cross-encoder để xếp hạng lại một tập nhỏ (top-50) đã được bi-encoder/BM25 lọc thô trước, thay vì quét toàn bộ kho tri thức.</w:t>
      </w:r>
    </w:p>
    <w:p>
      <w:pPr>
        <w:spacing w:after="120"/>
        <w:jc w:val="both"/>
      </w:pPr>
      <w:r>
        <w:rPr>
          <w:rFonts w:ascii="Times New Roman" w:cs="Times New Roman" w:eastAsia="Times New Roman" w:hAnsi="Times New Roman"/>
          <w:sz w:val="20"/>
          <w:szCs w:val="20"/>
        </w:rPr>
        <w:t xml:space="preserve">Một hệ quả kiến trúc quan trọng: `vietnamese-bi-encoder` (nền RoBERTa/PhoBERT) có `max_position_embeddings=258` — giới hạn CỨNG do số vị trí embedding đã huấn luyện, không thể tăng qua tham số cấu hình (khác `multilingual_minilm`, nền BERT hỗ trợ kiến trúc tới 512 vị trí dù checkpoint công khai chỉ cấu hình dùng 128). Đo trực tiếp trên kho tri thức: 65% đoạn (447/684) dài hơn 256 token, trung bình 310, tối đa 568 — vượt xa ngân sách của bi-encoder. Hàm mã hoá mặc định của thư viện `sentence-transformers` CẮT ÂM THẦM phần vượt quá, không báo lỗi rõ ràng — chi tiết và cách khắc phục ở Mục V-B.</w:t>
      </w:r>
    </w:p>
    <w:p>
      <w:pPr>
        <w:spacing w:after="80" w:before="160"/>
      </w:pPr>
      <w:r>
        <w:rPr>
          <w:rFonts w:ascii="Times New Roman" w:cs="Times New Roman" w:eastAsia="Times New Roman" w:hAnsi="Times New Roman"/>
          <w:b/>
          <w:bCs/>
          <w:i/>
          <w:iCs/>
          <w:sz w:val="20"/>
          <w:szCs w:val="20"/>
        </w:rPr>
        <w:t xml:space="preserve">B. Khảo sát không gian embedding</w:t>
      </w:r>
    </w:p>
    <w:p>
      <w:pPr>
        <w:spacing w:after="120"/>
        <w:jc w:val="both"/>
      </w:pPr>
      <w:r>
        <w:rPr>
          <w:rFonts w:ascii="Times New Roman" w:cs="Times New Roman" w:eastAsia="Times New Roman" w:hAnsi="Times New Roman"/>
          <w:sz w:val="20"/>
          <w:szCs w:val="20"/>
        </w:rPr>
        <w:t xml:space="preserve">Để trực quan hoá cách không gian biểu diễn tổ chức nội dung pháp lý, các vector embedding của 684 đoạn trong kho tri thức được chiếu xuống 2 chiều bằng t-SNE và UMAP (Hình 1). Cả hai phép chiếu cho thấy một khối trung tâm lớn trộn lẫn giữa văn bản Luật và Nghị định — hợp lý vì Nghị định là văn bản chi tiết hoá của Luật, dùng chung nhiều thuật ngữ — cùng một số cụm nhỏ tách biệt rõ ở rìa, khớp với quan sát thủ công rằng nhiều Điều của Nghị định 214/2025 dùng lại gần như nguyên văn cấu trúc/tiêu đề cho các loại gói thầu khác nhau (hàng hoá, xây lắp, dịch vụ), tạo thành các nhóm văn bản gần giống hệt nhau về mặt ngữ nghĩa.</w:t>
      </w:r>
    </w:p>
    <w:p>
      <w:pPr>
        <w:jc w:val="center"/>
      </w:pPr>
      <w:r>
        <w:drawing>
          <wp:inline distT="0" distB="0" distL="0" distR="0">
            <wp:extent cx="2476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905000"/>
                    </a:xfrm>
                    <a:prstGeom prst="rect">
                      <a:avLst/>
                    </a:prstGeom>
                  </pic:spPr>
                </pic:pic>
              </a:graphicData>
            </a:graphic>
          </wp:inline>
        </w:drawing>
      </w:r>
    </w:p>
    <w:p>
      <w:pPr>
        <w:spacing w:after="160" w:before="80"/>
        <w:jc w:val="center"/>
      </w:pPr>
      <w:r>
        <w:rPr>
          <w:rFonts w:ascii="Times New Roman" w:cs="Times New Roman" w:eastAsia="Times New Roman" w:hAnsi="Times New Roman"/>
          <w:sz w:val="16"/>
          <w:szCs w:val="16"/>
        </w:rPr>
        <w:t xml:space="preserve">Hình 1. Chiếu t-SNE không gian embedding của vi_bi_encoder trên 684 đoạn kho tri thức, tô màu theo văn bản nguồn.</w:t>
      </w:r>
    </w:p>
    <w:p>
      <w:pPr>
        <w:spacing w:after="80" w:before="160"/>
      </w:pPr>
      <w:r>
        <w:rPr>
          <w:rFonts w:ascii="Times New Roman" w:cs="Times New Roman" w:eastAsia="Times New Roman" w:hAnsi="Times New Roman"/>
          <w:b/>
          <w:bCs/>
          <w:i/>
          <w:iCs/>
          <w:sz w:val="20"/>
          <w:szCs w:val="20"/>
        </w:rPr>
        <w:t xml:space="preserve">C. So sánh mô hình embedding</w:t>
      </w:r>
    </w:p>
    <w:p>
      <w:pPr>
        <w:spacing w:after="120"/>
        <w:jc w:val="both"/>
      </w:pPr>
      <w:r>
        <w:rPr>
          <w:rFonts w:ascii="Times New Roman" w:cs="Times New Roman" w:eastAsia="Times New Roman" w:hAnsi="Times New Roman"/>
          <w:sz w:val="20"/>
          <w:szCs w:val="20"/>
        </w:rPr>
        <w:t xml:space="preserve">Hai mô hình được so sánh: vi_bi_encoder (bkai-foundation-models/vietnamese-bi-encoder, fine-tune SimCSE trên PhoBERT/XLM-R với dữ liệu tiếng Việt, 768 chiều) và multilingual_minilm (sentence-transformers/paraphrase-multilingual-MiniLM-L12-v2, đa ngôn ngữ, 384 chiều). Để đo định lượng chất lượng phân biệt của mỗi không gian embedding mà không cần tập câu hỏi gán nhãn, nhóm định nghĩa "độ tách biệt" = cosine similarity trung bình giữa các đoạn CÙNG một Điều (intra) trừ similarity trung bình giữa các đoạn KHÁC Điều (inter). Số liệu Bảng I đo SAU khi sửa lỗi mã hoá văn bản dài ở Mục V-B — trước đó độ tách biệt chỉ đạt 0.1595 (vi_bi_encoder) và 0.1477 (multilingual_minilm), tăng lần lượt +15% và +13% sau khi embedding phản ánh đúng toàn bộ nội dung đoạn thay vì chỉ phần đầu bị cắt. Bảng I cho thấy dù model đa ngôn ngữ có similarity tuyệt đối cao hơn ở cả hai nhóm (dấu hiệu embedding "co cụm" hơn, kém phân biệt hơn theo nghĩa tuyệt đối), model tiếng Việt chuyên biệt có độ tách biệt tương đối cao hơn (0.1836 so với 0.1674) — phân biệt tốt hơn giữa các chủ đề pháp lý khác nhau. Kết quả này khớp với bảng Recall@k đo trực tiếp qua truy vấn thật (Mục V-A, vi_bi_encoder đạt Recall@5 = 0.696 ở chế độ dense-only) — hai phép đo độc lập, một dựa trên cấu trúc không gian embedding, một dựa trên truy vấn thật, đều ủng hộ cùng kết luận.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000"/>
        <w:gridCol w:w="1000"/>
      </w:tblGrid>
      <w:tr>
        <w:tc>
          <w:tcPr>
            <w:tcW w:type="dxa" w:w="15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Model</w:t>
            </w:r>
          </w:p>
        </w:tc>
        <w:tc>
          <w:tcPr>
            <w:tcW w:type="dxa" w:w="13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intra-Điều</w:t>
            </w:r>
          </w:p>
        </w:tc>
        <w:tc>
          <w:tcPr>
            <w:tcW w:type="dxa" w:w="10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inter-Điều</w:t>
            </w:r>
          </w:p>
        </w:tc>
        <w:tc>
          <w:tcPr>
            <w:tcW w:type="dxa" w:w="10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Tách biệt</w:t>
            </w:r>
          </w:p>
        </w:tc>
      </w:tr>
      <w:tr>
        <w:tc>
          <w:tcPr>
            <w:tcW w:type="dxa" w:w="1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6"/>
                <w:szCs w:val="16"/>
              </w:rPr>
              <w:t xml:space="preserve">vi_bi_encoder</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0.5320</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0.3483</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0.1836</w:t>
            </w:r>
          </w:p>
        </w:tc>
      </w:tr>
      <w:tr>
        <w:tc>
          <w:tcPr>
            <w:tcW w:type="dxa" w:w="15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6"/>
                <w:szCs w:val="16"/>
              </w:rPr>
              <w:t xml:space="preserve">multilingual_minilm</w:t>
            </w:r>
          </w:p>
        </w:tc>
        <w:tc>
          <w:tcPr>
            <w:tcW w:type="dxa" w:w="13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0.7480</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0.5806</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0.1674</w:t>
            </w:r>
          </w:p>
        </w:tc>
      </w:tr>
    </w:tbl>
    <w:p>
      <w:pPr>
        <w:spacing w:after="160" w:before="80"/>
        <w:jc w:val="center"/>
      </w:pPr>
      <w:r>
        <w:rPr>
          <w:rFonts w:ascii="Times New Roman" w:cs="Times New Roman" w:eastAsia="Times New Roman" w:hAnsi="Times New Roman"/>
          <w:sz w:val="16"/>
          <w:szCs w:val="16"/>
        </w:rPr>
        <w:t xml:space="preserve">BẢNG I. SO SÁNH ĐỘ TÁCH BIỆT KHÔNG GIAN EMBEDDING (684 ĐOẠN)</w:t>
      </w:r>
    </w:p>
    <w:p>
      <w:pPr>
        <w:spacing w:after="80" w:before="160"/>
      </w:pPr>
      <w:r>
        <w:rPr>
          <w:rFonts w:ascii="Times New Roman" w:cs="Times New Roman" w:eastAsia="Times New Roman" w:hAnsi="Times New Roman"/>
          <w:b/>
          <w:bCs/>
          <w:i/>
          <w:iCs/>
          <w:sz w:val="20"/>
          <w:szCs w:val="20"/>
        </w:rPr>
        <w:t xml:space="preserve">D. Phân tích lỗi theo góc biểu diễn</w:t>
      </w:r>
    </w:p>
    <w:p>
      <w:pPr>
        <w:spacing w:after="120"/>
        <w:jc w:val="both"/>
      </w:pPr>
      <w:r>
        <w:rPr>
          <w:rFonts w:ascii="Times New Roman" w:cs="Times New Roman" w:eastAsia="Times New Roman" w:hAnsi="Times New Roman"/>
          <w:sz w:val="20"/>
          <w:szCs w:val="20"/>
        </w:rPr>
        <w:t xml:space="preserve">Quan sát định tính từ Hình 1 quy lỗi truy hồi tiềm ẩn về giới hạn của không gian biểu diễn thay vì chỉ mô tả "tìm sai": khi nhiều Điều khác nhau (áp dụng cho các loại gói thầu khác nhau) chia sẻ gần như nguyên văn cùng một cấu trúc câu, bi-encoder — vốn nén toàn bộ câu thành một vector duy nhất — khó tách biệt chúng bằng cosine similarity, vì phần lớn nội dung từ vựng trùng nhau lấn át phần khác biệt (thường chỉ một vài từ chỉ loại gói thầu). Đây chính là trường hợp mà cross-encoder — so khớp token-với-token thay vì vector-với-vector — có lợi thế rõ rệt, giải thích phần lớn mức cải thiện Recall@5 khi thêm bước rerank (Mục V-A).</w:t>
      </w:r>
    </w:p>
    <w:p>
      <w:pPr>
        <w:spacing w:after="80" w:before="160"/>
      </w:pPr>
      <w:r>
        <w:rPr>
          <w:rFonts w:ascii="Times New Roman" w:cs="Times New Roman" w:eastAsia="Times New Roman" w:hAnsi="Times New Roman"/>
          <w:b/>
          <w:bCs/>
          <w:i/>
          <w:iCs/>
          <w:sz w:val="20"/>
          <w:szCs w:val="20"/>
        </w:rPr>
        <w:t xml:space="preserve">E. Cơ chế sinh của LLM và in-context learning</w:t>
      </w:r>
    </w:p>
    <w:p>
      <w:pPr>
        <w:spacing w:after="120"/>
        <w:jc w:val="both"/>
      </w:pPr>
      <w:r>
        <w:rPr>
          <w:rFonts w:ascii="Times New Roman" w:cs="Times New Roman" w:eastAsia="Times New Roman" w:hAnsi="Times New Roman"/>
          <w:sz w:val="20"/>
          <w:szCs w:val="20"/>
        </w:rPr>
        <w:t xml:space="preserve">Claude, mô hình sinh chính của hệ thống, là một transformer decoder tự hồi quy (autoregressive): tại mỗi bước, mô hình dự đoán token tiếp theo dựa trên toàn bộ chuỗi token đã có trước đó (bao gồm cả prompt lẫn phần đã tự sinh ra), qua cơ chế self-attention có mặt nạ nhân quả (causal mask) chỉ cho phép mỗi vị trí nhìn về các vị trí trước nó. Tri thức của mô hình về thế giới được nén vào trọng số trong quá trình huấn luyện trước (pretraining) và cố định tại thời điểm suy luận — mô hình không có cách nào "biết" nội dung một Điều luật cụ thể ban hành sau thời điểm huấn luyện, hoặc một văn bản nội bộ chưa từng công khai.</w:t>
      </w:r>
    </w:p>
    <w:p>
      <w:pPr>
        <w:spacing w:after="120"/>
        <w:jc w:val="both"/>
      </w:pPr>
      <w:r>
        <w:rPr>
          <w:rFonts w:ascii="Times New Roman" w:cs="Times New Roman" w:eastAsia="Times New Roman" w:hAnsi="Times New Roman"/>
          <w:sz w:val="20"/>
          <w:szCs w:val="20"/>
        </w:rPr>
        <w:t xml:space="preserve">RAG khai thác khả năng in-context learning của transformer: khi các đoạn trích dẫn thật được chèn trực tiếp vào chuỗi input (prompt) trước khi mô hình sinh câu trả lời, cơ chế self-attention cho phép mô hình "chú ý" đến các đoạn này ở MỌI bước sinh tiếp theo — hiệu quả tương đương một dạng suy luận few-shot dựa trên ngữ cảnh, không cần cập nhật trọng số. Vì token dự đoán ở mỗi bước bị ràng buộc bởi toàn bộ ngữ cảnh (bao gồm cả đoạn trích dẫn), việc cung cấp đúng ngữ cảnh làm giảm xác suất mô hình "trôi" về tri thức nội tại không chính xác — đây là cơ chế thần kinh (không chỉ là quy ước prompt) giải thích tại sao RAG giảm ảo giác so với gọi LLM trần. Kết quả thực nghiệm ở Mục V-C (faithfulness 0.41 → 0.94) là bằng chứng định lượng trực tiếp cho lập luận lý thuyết này.</w:t>
      </w:r>
    </w:p>
    <w:p>
      <w:pPr>
        <w:spacing w:after="120" w:before="240"/>
        <w:jc w:val="center"/>
      </w:pPr>
      <w:r>
        <w:rPr>
          <w:rFonts w:ascii="Times New Roman" w:cs="Times New Roman" w:eastAsia="Times New Roman" w:hAnsi="Times New Roman"/>
          <w:b/>
          <w:bCs/>
          <w:sz w:val="20"/>
          <w:szCs w:val="20"/>
        </w:rPr>
        <w:t xml:space="preserve">V. THỰC NGHIỆM VÀ KẾT QUẢ</w:t>
      </w:r>
    </w:p>
    <w:p>
      <w:pPr>
        <w:spacing w:after="80" w:before="160"/>
      </w:pPr>
      <w:r>
        <w:rPr>
          <w:rFonts w:ascii="Times New Roman" w:cs="Times New Roman" w:eastAsia="Times New Roman" w:hAnsi="Times New Roman"/>
          <w:b/>
          <w:bCs/>
          <w:i/>
          <w:iCs/>
          <w:sz w:val="20"/>
          <w:szCs w:val="20"/>
        </w:rPr>
        <w:t xml:space="preserve">A. Đánh giá truy hồi</w:t>
      </w:r>
    </w:p>
    <w:p>
      <w:pPr>
        <w:spacing w:after="120"/>
        <w:jc w:val="both"/>
      </w:pPr>
      <w:r>
        <w:rPr>
          <w:rFonts w:ascii="Times New Roman" w:cs="Times New Roman" w:eastAsia="Times New Roman" w:hAnsi="Times New Roman"/>
          <w:sz w:val="20"/>
          <w:szCs w:val="20"/>
        </w:rPr>
        <w:t xml:space="preserve">Trên 46 câu hỏi gán tay (mỗi câu gán nhãn Điều đúng cần truy xuất, bao gồm 8 câu nhắm riêng vào nội dung Nghị định 45/2026/NĐ-CP để đảm bảo phần mở rộng kho tri thức thật sự được đánh giá), Bảng II so sánh 4 chế độ truy hồi. BM25 đơn lẻ yếu nhất — không hiểu ngữ nghĩa, chỉ khớp từ khoá; dense đơn lẻ cải thiện rõ rệt; kết hợp hybrid RRF không vượt dense-only trên tập câu hỏi này (BM25 đôi khi đẩy kết quả đúng ra xa vị trí đầu dù vẫn giữ trong top-5, kéo MRR/nDCG@5 xuống); rerank bằng cross-encoder vẫn cải thiện nhiều nhất trên mọi chỉ số, đúng với phân tích ở Mục IV-D, với chi phí thời gian ~7.6 giây/câu (sau 2 fix hiệu năng ở Mục V-B, giảm từ ~19.7 giây/câu ban đầu) so với ~0.3 giây/câu của hybrid không rerank — một đánh đổi thực tế cần cân nhắc giữa Mức 1 (tương tác thời gian thực) và Mức 2 (chấp nhận độ trễ cao hơn).</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000"/>
        <w:gridCol w:w="1100"/>
      </w:tblGrid>
      <w:tr>
        <w:tc>
          <w:tcPr>
            <w:tcW w:type="dxa" w:w="1700"/>
            <w:shd w:fill="D9D4C5" w:val="clear"/>
            <w:tcMar>
              <w:top w:type="dxa" w:w="60"/>
              <w:left w:type="dxa" w:w="80"/>
              <w:bottom w:type="dxa" w:w="60"/>
              <w:right w:type="dxa" w:w="80"/>
            </w:tcMar>
            <w:vAlign w:val="center"/>
          </w:tcPr>
          <w:p>
            <w:pPr>
              <w:jc w:val="left"/>
            </w:pPr>
            <w:r>
              <w:rPr>
                <w:rFonts w:ascii="Times New Roman" w:cs="Times New Roman" w:eastAsia="Times New Roman" w:hAnsi="Times New Roman"/>
                <w:b/>
                <w:bCs/>
                <w:sz w:val="16"/>
                <w:szCs w:val="16"/>
              </w:rPr>
              <w:t xml:space="preserve">Chế độ</w:t>
            </w:r>
          </w:p>
        </w:tc>
        <w:tc>
          <w:tcPr>
            <w:tcW w:type="dxa" w:w="10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Recall@5</w:t>
            </w:r>
          </w:p>
        </w:tc>
        <w:tc>
          <w:tcPr>
            <w:tcW w:type="dxa" w:w="10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MRR</w:t>
            </w:r>
          </w:p>
        </w:tc>
        <w:tc>
          <w:tcPr>
            <w:tcW w:type="dxa" w:w="11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nDCG@5</w:t>
            </w:r>
          </w:p>
        </w:tc>
      </w:tr>
      <w:tr>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6"/>
                <w:szCs w:val="16"/>
              </w:rPr>
              <w:t xml:space="preserve">BM25 (sparse)</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0.565</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0.385</w:t>
            </w:r>
          </w:p>
        </w:tc>
        <w:tc>
          <w:tcPr>
            <w:tcW w:type="dxa" w:w="1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0.426</w:t>
            </w:r>
          </w:p>
        </w:tc>
      </w:tr>
      <w:tr>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6"/>
                <w:szCs w:val="16"/>
              </w:rPr>
              <w:t xml:space="preserve">Dense (bi-encoder)</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0.696</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0.546</w:t>
            </w:r>
          </w:p>
        </w:tc>
        <w:tc>
          <w:tcPr>
            <w:tcW w:type="dxa" w:w="1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0.580</w:t>
            </w:r>
          </w:p>
        </w:tc>
      </w:tr>
      <w:tr>
        <w:tc>
          <w:tcPr>
            <w:tcW w:type="dxa" w:w="17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6"/>
                <w:szCs w:val="16"/>
              </w:rPr>
              <w:t xml:space="preserve">Hybrid RRF</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0.674</w:t>
            </w:r>
          </w:p>
        </w:tc>
        <w:tc>
          <w:tcPr>
            <w:tcW w:type="dxa" w:w="10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0.537</w:t>
            </w:r>
          </w:p>
        </w:tc>
        <w:tc>
          <w:tcPr>
            <w:tcW w:type="dxa" w:w="11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0.564</w:t>
            </w:r>
          </w:p>
        </w:tc>
      </w:tr>
      <w:tr>
        <w:tc>
          <w:tcPr>
            <w:tcW w:type="dxa" w:w="1700"/>
            <w:shd w:fill="D9D4C5" w:val="clear"/>
            <w:tcMar>
              <w:top w:type="dxa" w:w="60"/>
              <w:left w:type="dxa" w:w="80"/>
              <w:bottom w:type="dxa" w:w="60"/>
              <w:right w:type="dxa" w:w="80"/>
            </w:tcMar>
            <w:vAlign w:val="center"/>
          </w:tcPr>
          <w:p>
            <w:pPr>
              <w:jc w:val="left"/>
            </w:pPr>
            <w:r>
              <w:rPr>
                <w:rFonts w:ascii="Times New Roman" w:cs="Times New Roman" w:eastAsia="Times New Roman" w:hAnsi="Times New Roman"/>
                <w:b/>
                <w:bCs/>
                <w:sz w:val="16"/>
                <w:szCs w:val="16"/>
              </w:rPr>
              <w:t xml:space="preserve">Hybrid RRF + rerank</w:t>
            </w:r>
          </w:p>
        </w:tc>
        <w:tc>
          <w:tcPr>
            <w:tcW w:type="dxa" w:w="10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0.761</w:t>
            </w:r>
          </w:p>
        </w:tc>
        <w:tc>
          <w:tcPr>
            <w:tcW w:type="dxa" w:w="10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0.587</w:t>
            </w:r>
          </w:p>
        </w:tc>
        <w:tc>
          <w:tcPr>
            <w:tcW w:type="dxa" w:w="110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0.627</w:t>
            </w:r>
          </w:p>
        </w:tc>
      </w:tr>
    </w:tbl>
    <w:p>
      <w:pPr>
        <w:spacing w:after="160" w:before="80"/>
        <w:jc w:val="center"/>
      </w:pPr>
      <w:r>
        <w:rPr>
          <w:rFonts w:ascii="Times New Roman" w:cs="Times New Roman" w:eastAsia="Times New Roman" w:hAnsi="Times New Roman"/>
          <w:sz w:val="16"/>
          <w:szCs w:val="16"/>
        </w:rPr>
        <w:t xml:space="preserve">BẢNG II. KẾT QUẢ TRUY HỒI TRÊN 46 CÂU HỎI GÁN TAY (SAU 3 FIX Ở MỤC V-B)</w:t>
      </w:r>
    </w:p>
    <w:p>
      <w:pPr>
        <w:spacing w:after="80" w:before="160"/>
      </w:pPr>
      <w:r>
        <w:rPr>
          <w:rFonts w:ascii="Times New Roman" w:cs="Times New Roman" w:eastAsia="Times New Roman" w:hAnsi="Times New Roman"/>
          <w:b/>
          <w:bCs/>
          <w:i/>
          <w:iCs/>
          <w:sz w:val="20"/>
          <w:szCs w:val="20"/>
        </w:rPr>
        <w:t xml:space="preserve">B. Ba lỗi kỹ thuật phát hiện qua rà soát pipeline</w:t>
      </w:r>
    </w:p>
    <w:p>
      <w:pPr>
        <w:spacing w:after="120"/>
        <w:jc w:val="both"/>
      </w:pPr>
      <w:r>
        <w:rPr>
          <w:rFonts w:ascii="Times New Roman" w:cs="Times New Roman" w:eastAsia="Times New Roman" w:hAnsi="Times New Roman"/>
          <w:sz w:val="20"/>
          <w:szCs w:val="20"/>
        </w:rPr>
        <w:t xml:space="preserve">Rà soát trực tiếp mã nguồn (không chỉ tài liệu thiết kế) theo 6 hạng mục — kiến trúc RAG, xử lý embedding, mã hoá/giải mã vector, sử dụng LLM transformer, chiến lược chunking, nhánh indexing — phát hiện 3 lỗi thật, đo tác động trước/sau thay vì chỉ sửa theo suy đoán:</w:t>
      </w:r>
    </w:p>
    <w:p>
      <w:pPr>
        <w:spacing w:after="60"/>
        <w:ind w:left="260" w:hanging="200"/>
      </w:pPr>
      <w:r>
        <w:rPr>
          <w:rFonts w:ascii="Times New Roman" w:cs="Times New Roman" w:eastAsia="Times New Roman" w:hAnsi="Times New Roman"/>
          <w:sz w:val="20"/>
          <w:szCs w:val="20"/>
        </w:rPr>
        <w:t xml:space="preserve">• Cross-encoder rerank bị khởi tạo lại từ đầu ở MỖI lượt gọi thay vì cache theo tên model — đo thực tế: tải model tốn ~6-7 giây, trong khi inference thật trên văn bản luật dài chỉ ~0.2-0.4 giây. Thêm cache module-level (cùng nguyên tắc lazy-cache đã dùng cho bi-encoder) giảm 57% tổng thời gian rerank trên 46 câu (908s→391s).</w:t>
      </w:r>
    </w:p>
    <w:p>
      <w:pPr>
        <w:spacing w:after="60"/>
        <w:ind w:left="260" w:hanging="200"/>
      </w:pPr>
      <w:r>
        <w:rPr>
          <w:rFonts w:ascii="Times New Roman" w:cs="Times New Roman" w:eastAsia="Times New Roman" w:hAnsi="Times New Roman"/>
          <w:sz w:val="20"/>
          <w:szCs w:val="20"/>
        </w:rPr>
        <w:t xml:space="preserve">• Bước hợp nhất RRF (dense+sparse) trả về TẬP HỢP có thể vượt quá số ứng viên khai báo trước khi rerank — đo thực tế: 82 ứng viên thay vì 50 trên corpus 684 đoạn (tăng 64% khối lượng tính không cần thiết). Cắt đúng về `candidate_k` trước khi đưa vào cross-encoder.</w:t>
      </w:r>
    </w:p>
    <w:p>
      <w:pPr>
        <w:spacing w:after="60"/>
        <w:ind w:left="260" w:hanging="200"/>
      </w:pPr>
      <w:r>
        <w:rPr>
          <w:rFonts w:ascii="Times New Roman" w:cs="Times New Roman" w:eastAsia="Times New Roman" w:hAnsi="Times New Roman"/>
          <w:sz w:val="20"/>
          <w:szCs w:val="20"/>
        </w:rPr>
        <w:t xml:space="preserve">• Lỗi quan trọng nhất (Mục IV-A): 65% đoạn kho tri thức (447/684) bị `SentenceTransformer.encode()` CẮT ÂM THẦM khi vượt quá `max_seq_length` — không có cảnh báo rõ ràng cho người phát triển. Viết hàm `encode_texts` xử lý bằng sliding-window mean-pooling dựa trên tokenizer thật của từng model, áp dụng nhất quán ở cả lúc dựng index lẫn lúc mã hoá câu truy vấn.</w:t>
      </w:r>
    </w:p>
    <w:p>
      <w:pPr>
        <w:spacing w:after="120"/>
        <w:jc w:val="both"/>
      </w:pPr>
      <w:r>
        <w:rPr>
          <w:rFonts w:ascii="Times New Roman" w:cs="Times New Roman" w:eastAsia="Times New Roman" w:hAnsi="Times New Roman"/>
          <w:sz w:val="20"/>
          <w:szCs w:val="20"/>
        </w:rPr>
        <w:t xml:space="preserve">Kết quả sau khi áp dụng cả 3 fix: độ tách biệt không gian embedding tăng 13-15% (Bảng I, bằng chứng độc lập không phụ thuộc tập câu hỏi), dense/hybrid-only cải thiện nhẹ MRR/nDCG@5, nhưng chỉ số SAU rerank trên tập 46 câu lại giảm nhẹ so với trước (Recall@5 0.804→0.761) — nhiều khả năng do embedding chính xác hơn làm thay đổi thành phần tập ứng viên top-50 đưa vào cross-encoder theo cách không đơn điệu, với cỡ mẫu 46 câu chưa đủ để phân biệt xu hướng thật với nhiễu thống kê. Quyết định giữ nguyên fix: cắt âm thầm dữ liệu là lỗi đúng-sai rõ ràng, không phải một lựa chọn thiết kế có thể đánh đổi lấy điểm số cao hơn trên một tập đánh giá nhỏ.</w:t>
      </w:r>
    </w:p>
    <w:p>
      <w:pPr>
        <w:spacing w:after="80" w:before="160"/>
      </w:pPr>
      <w:r>
        <w:rPr>
          <w:rFonts w:ascii="Times New Roman" w:cs="Times New Roman" w:eastAsia="Times New Roman" w:hAnsi="Times New Roman"/>
          <w:b/>
          <w:bCs/>
          <w:i/>
          <w:iCs/>
          <w:sz w:val="20"/>
          <w:szCs w:val="20"/>
        </w:rPr>
        <w:t xml:space="preserve">C. Đánh giá sinh văn bản: RAG so với LLM trần</w:t>
      </w:r>
    </w:p>
    <w:p>
      <w:pPr>
        <w:spacing w:after="120"/>
        <w:jc w:val="both"/>
      </w:pPr>
      <w:r>
        <w:rPr>
          <w:rFonts w:ascii="Times New Roman" w:cs="Times New Roman" w:eastAsia="Times New Roman" w:hAnsi="Times New Roman"/>
          <w:sz w:val="20"/>
          <w:szCs w:val="20"/>
        </w:rPr>
        <w:t xml:space="preserve">Trên 8 câu hỏi soạn mục HSMT thật, mỗi câu trả lời được chấm bằng LLM-as-judge (Claude, cùng họ mô hình với mô hình sinh — một giới hạn được thảo luận ở Mục VI) theo hai chiều: faithfulness (mọi khẳng định có bám căn cứ pháp lý trích dẫn được hay không) và completeness (nội dung có đầy đủ so với yêu cầu mục hay không). Bảng III cho thấy chênh lệch rõ rệt: không có truy hồi, faithfulness chỉ đạt 0.41 và completeness 0.44 (LLM tự suy diễn nội dung, một số câu giám khảo từ chối chấm hoàn toàn vì không có căn cứ nào để đối chiếu — chỉ 6/8 câu chấm được); có truy hồi, faithfulness đạt 0.94 và completeness 0.87, toàn bộ 8/8 câu chấm được. Đây là bằng chứng thực nghiệm trực tiếp cho luận điểm lý thuyết ở Mục IV-E.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900"/>
        <w:gridCol w:w="1450"/>
        <w:gridCol w:w="1450"/>
      </w:tblGrid>
      <w:tr>
        <w:tc>
          <w:tcPr>
            <w:tcW w:type="dxa" w:w="1900"/>
            <w:shd w:fill="D9D4C5" w:val="clear"/>
            <w:tcMar>
              <w:top w:type="dxa" w:w="60"/>
              <w:left w:type="dxa" w:w="80"/>
              <w:bottom w:type="dxa" w:w="60"/>
              <w:right w:type="dxa" w:w="80"/>
            </w:tcMar>
            <w:vAlign w:val="center"/>
          </w:tcPr>
          <w:p>
            <w:pPr>
              <w:jc w:val="left"/>
            </w:pPr>
            <w:r>
              <w:rPr>
                <w:rFonts w:ascii="Times New Roman" w:cs="Times New Roman" w:eastAsia="Times New Roman" w:hAnsi="Times New Roman"/>
                <w:b/>
                <w:bCs/>
                <w:sz w:val="16"/>
                <w:szCs w:val="16"/>
              </w:rPr>
              <w:t xml:space="preserve">Điều kiện</w:t>
            </w:r>
          </w:p>
        </w:tc>
        <w:tc>
          <w:tcPr>
            <w:tcW w:type="dxa" w:w="145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Faithfulness</w:t>
            </w:r>
          </w:p>
        </w:tc>
        <w:tc>
          <w:tcPr>
            <w:tcW w:type="dxa" w:w="145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Completeness</w:t>
            </w:r>
          </w:p>
        </w:tc>
      </w:tr>
      <w:tr>
        <w:tc>
          <w:tcPr>
            <w:tcW w:type="dxa" w:w="190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6"/>
                <w:szCs w:val="16"/>
              </w:rPr>
              <w:t xml:space="preserve">LLM-only (không RAG)</w:t>
            </w:r>
          </w:p>
        </w:tc>
        <w:tc>
          <w:tcPr>
            <w:tcW w:type="dxa" w:w="1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0.41</w:t>
            </w:r>
          </w:p>
        </w:tc>
        <w:tc>
          <w:tcPr>
            <w:tcW w:type="dxa" w:w="14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6"/>
                <w:szCs w:val="16"/>
              </w:rPr>
              <w:t xml:space="preserve">0.44</w:t>
            </w:r>
          </w:p>
        </w:tc>
      </w:tr>
      <w:tr>
        <w:tc>
          <w:tcPr>
            <w:tcW w:type="dxa" w:w="1900"/>
            <w:shd w:fill="D9D4C5" w:val="clear"/>
            <w:tcMar>
              <w:top w:type="dxa" w:w="60"/>
              <w:left w:type="dxa" w:w="80"/>
              <w:bottom w:type="dxa" w:w="60"/>
              <w:right w:type="dxa" w:w="80"/>
            </w:tcMar>
            <w:vAlign w:val="center"/>
          </w:tcPr>
          <w:p>
            <w:pPr>
              <w:jc w:val="left"/>
            </w:pPr>
            <w:r>
              <w:rPr>
                <w:rFonts w:ascii="Times New Roman" w:cs="Times New Roman" w:eastAsia="Times New Roman" w:hAnsi="Times New Roman"/>
                <w:b/>
                <w:bCs/>
                <w:sz w:val="16"/>
                <w:szCs w:val="16"/>
              </w:rPr>
              <w:t xml:space="preserve">RAG (có trích dẫn thật)</w:t>
            </w:r>
          </w:p>
        </w:tc>
        <w:tc>
          <w:tcPr>
            <w:tcW w:type="dxa" w:w="145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0.94</w:t>
            </w:r>
          </w:p>
        </w:tc>
        <w:tc>
          <w:tcPr>
            <w:tcW w:type="dxa" w:w="1450"/>
            <w:shd w:fill="D9D4C5"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6"/>
                <w:szCs w:val="16"/>
              </w:rPr>
              <w:t xml:space="preserve">0.87</w:t>
            </w:r>
          </w:p>
        </w:tc>
      </w:tr>
    </w:tbl>
    <w:p>
      <w:pPr>
        <w:spacing w:after="160" w:before="80"/>
        <w:jc w:val="center"/>
      </w:pPr>
      <w:r>
        <w:rPr>
          <w:rFonts w:ascii="Times New Roman" w:cs="Times New Roman" w:eastAsia="Times New Roman" w:hAnsi="Times New Roman"/>
          <w:sz w:val="16"/>
          <w:szCs w:val="16"/>
        </w:rPr>
        <w:t xml:space="preserve">BẢNG III. ABLATION LLM-ONLY SO VỚI RAG (8 CÂU HỎI, LLM-AS-JUDGE)</w:t>
      </w:r>
    </w:p>
    <w:p>
      <w:pPr>
        <w:spacing w:after="120" w:before="240"/>
        <w:jc w:val="center"/>
      </w:pPr>
      <w:r>
        <w:rPr>
          <w:rFonts w:ascii="Times New Roman" w:cs="Times New Roman" w:eastAsia="Times New Roman" w:hAnsi="Times New Roman"/>
          <w:b/>
          <w:bCs/>
          <w:sz w:val="20"/>
          <w:szCs w:val="20"/>
        </w:rPr>
        <w:t xml:space="preserve">VI. THẢO LUẬN VÀ GIỚI HẠN</w:t>
      </w:r>
    </w:p>
    <w:p>
      <w:pPr>
        <w:spacing w:after="60"/>
        <w:ind w:left="260" w:hanging="200"/>
      </w:pPr>
      <w:r>
        <w:rPr>
          <w:rFonts w:ascii="Times New Roman" w:cs="Times New Roman" w:eastAsia="Times New Roman" w:hAnsi="Times New Roman"/>
          <w:sz w:val="20"/>
          <w:szCs w:val="20"/>
        </w:rPr>
        <w:t xml:space="preserve">• Giám khảo tự động (LLM-as-judge) dùng cùng họ mô hình (Claude) với mô hình sinh, có thể thiên lệch tự ưu ái — kết quả Bảng III nên được đọc như bằng chứng định hướng, chưa phải kết luận thống kê độc lập hoàn toàn.</w:t>
      </w:r>
    </w:p>
    <w:p>
      <w:pPr>
        <w:spacing w:after="60"/>
        <w:ind w:left="260" w:hanging="200"/>
      </w:pPr>
      <w:r>
        <w:rPr>
          <w:rFonts w:ascii="Times New Roman" w:cs="Times New Roman" w:eastAsia="Times New Roman" w:hAnsi="Times New Roman"/>
          <w:sz w:val="20"/>
          <w:szCs w:val="20"/>
        </w:rPr>
        <w:t xml:space="preserve">• Cỡ mẫu đánh giá sinh văn bản (n=8) nhỏ; cần mở rộng để có ý nghĩa thống kê chặt hơn.</w:t>
      </w:r>
    </w:p>
    <w:p>
      <w:pPr>
        <w:spacing w:after="60"/>
        <w:ind w:left="260" w:hanging="200"/>
      </w:pPr>
      <w:r>
        <w:rPr>
          <w:rFonts w:ascii="Times New Roman" w:cs="Times New Roman" w:eastAsia="Times New Roman" w:hAnsi="Times New Roman"/>
          <w:sz w:val="20"/>
          <w:szCs w:val="20"/>
        </w:rPr>
        <w:t xml:space="preserve">• Kho tri thức chưa có HSMT thật đã phê duyệt — hệ thống mạng đấu thầu quốc gia yêu cầu đăng nhập và phần mềm Client Agent chỉ chạy trên Windows để tải file đính kèm, một rào cản kỹ thuật đã xác nhận qua thực nghiệm, không phải giả định.</w:t>
      </w:r>
    </w:p>
    <w:p>
      <w:pPr>
        <w:spacing w:after="60"/>
        <w:ind w:left="260" w:hanging="200"/>
      </w:pPr>
      <w:r>
        <w:rPr>
          <w:rFonts w:ascii="Times New Roman" w:cs="Times New Roman" w:eastAsia="Times New Roman" w:hAnsi="Times New Roman"/>
          <w:sz w:val="20"/>
          <w:szCs w:val="20"/>
        </w:rPr>
        <w:t xml:space="preserve">• Mức 3 (ghép bản nháp) mới ghép được các mục do AI soạn, chưa lắp khung cố định (chỉ dẫn nhà thầu, bảng dữ liệu đấu thầu) của một bộ HSMT đầy đủ.</w:t>
      </w:r>
    </w:p>
    <w:p>
      <w:pPr>
        <w:spacing w:after="60"/>
        <w:ind w:left="260" w:hanging="200"/>
      </w:pPr>
      <w:r>
        <w:rPr>
          <w:rFonts w:ascii="Times New Roman" w:cs="Times New Roman" w:eastAsia="Times New Roman" w:hAnsi="Times New Roman"/>
          <w:sz w:val="20"/>
          <w:szCs w:val="20"/>
        </w:rPr>
        <w:t xml:space="preserve">• Rerank bằng cross-encoder cải thiện chất lượng truy hồi rõ rệt nhưng vẫn còn độ trễ đáng kể (~7.6 giây/câu sau khi sửa lỗi tải lại model, giảm từ ~20 giây/câu ban đầu), cần cân nhắc kỹ khi triển khai cho luồng tương tác thời gian thực.</w:t>
      </w:r>
    </w:p>
    <w:p>
      <w:pPr>
        <w:spacing w:after="60"/>
        <w:ind w:left="260" w:hanging="200"/>
      </w:pPr>
      <w:r>
        <w:rPr>
          <w:rFonts w:ascii="Times New Roman" w:cs="Times New Roman" w:eastAsia="Times New Roman" w:hAnsi="Times New Roman"/>
          <w:sz w:val="20"/>
          <w:szCs w:val="20"/>
        </w:rPr>
        <w:t xml:space="preserve">• Kết quả Recall@5 sau rerank giảm nhẹ sau khi sửa lỗi mã hoá văn bản dài (Mục V-B) — cỡ mẫu 46 câu hỏi chưa đủ lớn để phân biệt đây là xu hướng thật (tương tác giữa embedding chính xác hơn và thành phần tập ứng viên đưa vào cross-encoder) hay nhiễu thống kê; cần tập câu hỏi lớn hơn để đánh giá lại một cách đáng tin cậy.</w:t>
      </w:r>
    </w:p>
    <w:p>
      <w:pPr>
        <w:spacing w:after="120" w:before="240"/>
        <w:jc w:val="center"/>
      </w:pPr>
      <w:r>
        <w:rPr>
          <w:rFonts w:ascii="Times New Roman" w:cs="Times New Roman" w:eastAsia="Times New Roman" w:hAnsi="Times New Roman"/>
          <w:b/>
          <w:bCs/>
          <w:sz w:val="20"/>
          <w:szCs w:val="20"/>
        </w:rPr>
        <w:t xml:space="preserve">VII. KẾT LUẬN</w:t>
      </w:r>
    </w:p>
    <w:p>
      <w:pPr>
        <w:spacing w:after="120"/>
        <w:jc w:val="both"/>
      </w:pPr>
      <w:r>
        <w:rPr>
          <w:rFonts w:ascii="Times New Roman" w:cs="Times New Roman" w:eastAsia="Times New Roman" w:hAnsi="Times New Roman"/>
          <w:sz w:val="20"/>
          <w:szCs w:val="20"/>
        </w:rPr>
        <w:t xml:space="preserve">Bài báo trình bày AutoTender-VN, một hệ thống RAG chuyên biệt cho việc soạn thảo HSMT gói thầu phần mềm/CNTT tại Việt Nam, dựng trên kho tri thức pháp luật thật 326 Điều — bao gồm cả một văn bản chuyên ngành CNTT được khôi phục thành công từ nguồn thay thế sau khi nguồn chính thức chỉ có bản scan ảnh. Thực nghiệm định lượng trên cả hai tầng (truy hồi và sinh văn bản) xác nhận giá trị của kiến trúc RAG: truy hồi lai kết hợp rerank vượt trội mọi phương án đơn lẻ (Recall@5 = 0.761), và việc cấp ngữ cảnh trích dẫn thật nâng độ bám căn cứ pháp lý của văn bản sinh ra từ 0.41 lên 0.94. Một đợt rà soát kỹ thuật độc lập trên chính mã nguồn pipeline (Mục V-B) phát hiện và sửa 3 lỗi thật — đáng chú ý nhất là lỗi cắt âm thầm 65% nội dung kho tri thức khi mã hoá — minh hoạ giá trị của việc kiểm chứng bằng đo đạc thực tế thay vì chỉ tin vào thiết kế trên giấy. Các kết quả này, cùng phân tích kiến trúc biểu diễn và cơ chế sinh tự hồi quy trình bày ở Mục IV, cho thấy đóng góp chính của đề tài nằm ở việc thiết kế, ghép nối và đánh giá nghiêm túc các thành phần mạng nơ-ron pretrained cho một miền ứng dụng cụ thể — đúng định hướng "RAG + LLM" mà đề cương môn học đặt ra, thay vì tự huấn luyện mô hình từ đầu.</w:t>
      </w:r>
    </w:p>
    <w:p>
      <w:pPr>
        <w:spacing w:after="120" w:before="240"/>
        <w:jc w:val="center"/>
      </w:pPr>
      <w:r>
        <w:rPr>
          <w:rFonts w:ascii="Times New Roman" w:cs="Times New Roman" w:eastAsia="Times New Roman" w:hAnsi="Times New Roman"/>
          <w:b/>
          <w:bCs/>
          <w:sz w:val="20"/>
          <w:szCs w:val="20"/>
        </w:rPr>
        <w:t xml:space="preserve">TÀI LIỆU THAM KHẢO</w:t>
      </w:r>
    </w:p>
    <w:p>
      <w:pPr>
        <w:spacing w:after="60"/>
        <w:ind w:left="260" w:hanging="260"/>
      </w:pPr>
      <w:r>
        <w:rPr>
          <w:rFonts w:ascii="Times New Roman" w:cs="Times New Roman" w:eastAsia="Times New Roman" w:hAnsi="Times New Roman"/>
          <w:sz w:val="16"/>
          <w:szCs w:val="16"/>
        </w:rPr>
        <w:t xml:space="preserve">[1] P. Lewis et al., "Retrieval-Augmented Generation for Knowledge-Intensive NLP Tasks," in Advances in Neural Information Processing Systems (NeurIPS), 2020.</w:t>
      </w:r>
    </w:p>
    <w:p>
      <w:pPr>
        <w:spacing w:after="60"/>
        <w:ind w:left="260" w:hanging="260"/>
      </w:pPr>
      <w:r>
        <w:rPr>
          <w:rFonts w:ascii="Times New Roman" w:cs="Times New Roman" w:eastAsia="Times New Roman" w:hAnsi="Times New Roman"/>
          <w:sz w:val="16"/>
          <w:szCs w:val="16"/>
        </w:rPr>
        <w:t xml:space="preserve">[2] N. Reimers and I. Gurevych, "Sentence-BERT: Sentence Embeddings using Siamese BERT-Networks," in Proc. EMNLP-IJCNLP, 2019.</w:t>
      </w:r>
    </w:p>
    <w:p>
      <w:pPr>
        <w:spacing w:after="60"/>
        <w:ind w:left="260" w:hanging="260"/>
      </w:pPr>
      <w:r>
        <w:rPr>
          <w:rFonts w:ascii="Times New Roman" w:cs="Times New Roman" w:eastAsia="Times New Roman" w:hAnsi="Times New Roman"/>
          <w:sz w:val="16"/>
          <w:szCs w:val="16"/>
        </w:rPr>
        <w:t xml:space="preserve">[3] R. Nogueira and K. Cho, "Passage Re-ranking with BERT," arXiv:1901.04085, 2019.</w:t>
      </w:r>
    </w:p>
    <w:p>
      <w:pPr>
        <w:spacing w:after="60"/>
        <w:ind w:left="260" w:hanging="260"/>
      </w:pPr>
      <w:r>
        <w:rPr>
          <w:rFonts w:ascii="Times New Roman" w:cs="Times New Roman" w:eastAsia="Times New Roman" w:hAnsi="Times New Roman"/>
          <w:sz w:val="16"/>
          <w:szCs w:val="16"/>
        </w:rPr>
        <w:t xml:space="preserve">[4] A. Vaswani et al., "Attention Is All You Need," in Advances in Neural Information Processing Systems (NeurIPS), 2017.</w:t>
      </w:r>
    </w:p>
    <w:p>
      <w:pPr>
        <w:spacing w:after="60"/>
        <w:ind w:left="260" w:hanging="260"/>
      </w:pPr>
      <w:r>
        <w:rPr>
          <w:rFonts w:ascii="Times New Roman" w:cs="Times New Roman" w:eastAsia="Times New Roman" w:hAnsi="Times New Roman"/>
          <w:sz w:val="16"/>
          <w:szCs w:val="16"/>
        </w:rPr>
        <w:t xml:space="preserve">[5] Quốc hội, Luật Đấu thầu số 22/2023/QH15, ban hành 23/6/2023.</w:t>
      </w:r>
    </w:p>
    <w:p>
      <w:pPr>
        <w:spacing w:after="60"/>
        <w:ind w:left="260" w:hanging="260"/>
      </w:pPr>
      <w:r>
        <w:rPr>
          <w:rFonts w:ascii="Times New Roman" w:cs="Times New Roman" w:eastAsia="Times New Roman" w:hAnsi="Times New Roman"/>
          <w:sz w:val="16"/>
          <w:szCs w:val="16"/>
        </w:rPr>
        <w:t xml:space="preserve">[6] Chính phủ, Nghị định số 214/2025/NĐ-CP quy định chi tiết một số điều và biện pháp thi hành Luật Đấu thầu.</w:t>
      </w:r>
    </w:p>
    <w:p>
      <w:pPr>
        <w:spacing w:after="60"/>
        <w:ind w:left="260" w:hanging="260"/>
      </w:pPr>
      <w:r>
        <w:rPr>
          <w:rFonts w:ascii="Times New Roman" w:cs="Times New Roman" w:eastAsia="Times New Roman" w:hAnsi="Times New Roman"/>
          <w:sz w:val="16"/>
          <w:szCs w:val="16"/>
        </w:rPr>
        <w:t xml:space="preserve">[7] Chính phủ, Nghị định số 45/2026/NĐ-CP quy định quản lý đầu tư ứng dụng công nghệ thông tin sử dụng nguồn vốn ngân sách nhà nước, ban hành 26/1/2026.</w:t>
      </w:r>
    </w:p>
    <w:p>
      <w:pPr>
        <w:spacing w:after="60"/>
        <w:ind w:left="260" w:hanging="260"/>
      </w:pPr>
      <w:r>
        <w:rPr>
          <w:rFonts w:ascii="Times New Roman" w:cs="Times New Roman" w:eastAsia="Times New Roman" w:hAnsi="Times New Roman"/>
          <w:sz w:val="16"/>
          <w:szCs w:val="16"/>
        </w:rPr>
        <w:t xml:space="preserve">[8] Bộ Kế hoạch và Đầu tư, Thông tư số 01/2024/TT-BKHĐT và Thông tư số 22/2024/TT-BKHĐT hướng dẫn cung cấp, đăng tải thông tin đấu thầu và mẫu hồ sơ.</w:t>
      </w:r>
    </w:p>
    <w:p>
      <w:pPr>
        <w:spacing w:after="60"/>
        <w:ind w:left="260" w:hanging="260"/>
      </w:pPr>
      <w:r>
        <w:rPr>
          <w:rFonts w:ascii="Times New Roman" w:cs="Times New Roman" w:eastAsia="Times New Roman" w:hAnsi="Times New Roman"/>
          <w:sz w:val="16"/>
          <w:szCs w:val="16"/>
        </w:rPr>
        <w:t xml:space="preserve">[9] Anthropic, "Claude," mô hình ngôn ngữ lớn dùng làm mô-đun sinh chính, docs.anthropic.com, 2026.</w:t>
      </w:r>
    </w:p>
    <w:sectPr>
      <w:pgSz w:w="12240" w:h="15840" w:orient="portrait"/>
      <w:pgMar w:top="1440" w:right="1080" w:bottom="144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0ab618acb8fa53b6779d032fbbf0a28a411a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2026-08-08T06:27:51.906Z</dcterms:created>
  <dcterms:modified xsi:type="dcterms:W3CDTF">2026-08-08T06:27:51.916Z</dcterms:modified>
</cp:coreProperties>
</file>

<file path=docProps/custom.xml><?xml version="1.0" encoding="utf-8"?>
<Properties xmlns="http://schemas.openxmlformats.org/officeDocument/2006/custom-properties" xmlns:vt="http://schemas.openxmlformats.org/officeDocument/2006/docPropsVTypes"/>
</file>