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Title"/>
        <w:jc w:val="center"/>
      </w:pPr>
      <w:r>
        <w:t>Danni Peng</w:t>
      </w:r>
    </w:p>
    <w:p>
      <w:pPr>
        <w:pStyle w:val="CVSubtitle"/>
        <w:jc w:val="center"/>
      </w:pPr>
      <w:r>
        <w:t>PhD Candidate in Mathematics | IMPA, Instituto de Matemática Pura e Aplicada</w:t>
      </w:r>
    </w:p>
    <w:p>
      <w:pPr>
        <w:pStyle w:val="CVSubtitle"/>
        <w:jc w:val="center"/>
      </w:pPr>
      <w:r>
        <w:t>danni.peng@impa.br | dannipeng49@gmail.com | Office 427</w:t>
      </w:r>
    </w:p>
    <w:p>
      <w:pPr>
        <w:pStyle w:val="CVSubtitle"/>
        <w:jc w:val="center"/>
      </w:pPr>
      <w:r>
        <w:t>Estrada Dona Castorina, 110, Jardim Botânico, Rio de Janeiro, Brasil</w:t>
      </w:r>
    </w:p>
    <w:p>
      <w:pPr>
        <w:pStyle w:val="SectionHeading"/>
      </w:pPr>
      <w:r>
        <w:rPr>
          <w:b/>
        </w:rPr>
        <w:t>EDUCATION</w:t>
      </w:r>
    </w:p>
    <w:p>
      <w:pPr>
        <w:pStyle w:val="Entry"/>
      </w:pPr>
      <w:r>
        <w:rPr>
          <w:b/>
        </w:rPr>
        <w:t>PhD in Mathematics, IMPA</w:t>
      </w:r>
      <w:r>
        <w:rPr>
          <w:i/>
        </w:rPr>
        <w:t xml:space="preserve">    in progress</w:t>
      </w:r>
    </w:p>
    <w:p>
      <w:pPr>
        <w:pStyle w:val="Detail"/>
      </w:pPr>
      <w:r>
        <w:t>Advisor: Rob Morris.</w:t>
      </w:r>
    </w:p>
    <w:p>
      <w:pPr>
        <w:pStyle w:val="Entry"/>
      </w:pPr>
      <w:r>
        <w:rPr>
          <w:b/>
        </w:rPr>
        <w:t>MSc in Mathematics, Center for Combinatorics, Nankai University</w:t>
      </w:r>
      <w:r>
        <w:rPr>
          <w:i/>
        </w:rPr>
        <w:t xml:space="preserve">    2020-2023</w:t>
      </w:r>
    </w:p>
    <w:p>
      <w:pPr>
        <w:pStyle w:val="Detail"/>
      </w:pPr>
      <w:r>
        <w:t>Advisor: Xueliang Li.</w:t>
      </w:r>
    </w:p>
    <w:p>
      <w:pPr>
        <w:pStyle w:val="SectionHeading"/>
      </w:pPr>
      <w:r>
        <w:rPr>
          <w:b/>
        </w:rPr>
        <w:t>RESEARCH INTERESTS</w:t>
      </w:r>
    </w:p>
    <w:p>
      <w:pPr>
        <w:pStyle w:val="Entry"/>
      </w:pPr>
      <w:r>
        <w:t>Extremal and probabilistic combinatorics; graph theory; Ramsey-type problems.</w:t>
      </w:r>
    </w:p>
    <w:p>
      <w:pPr>
        <w:pStyle w:val="SectionHeading"/>
      </w:pPr>
      <w:r>
        <w:rPr>
          <w:b/>
        </w:rPr>
        <w:t>PUBLICATIONS AND PREPRINTS</w:t>
      </w:r>
    </w:p>
    <w:p>
      <w:pPr>
        <w:pStyle w:val="Entry"/>
      </w:pPr>
      <w:r>
        <w:rPr>
          <w:b/>
        </w:rPr>
        <w:t xml:space="preserve">1. </w:t>
      </w:r>
      <w:r>
        <w:t xml:space="preserve">Cristina G. Fernandes, Carlos Hoppen, George Kontogeorgiou, Guilherme Oliveira Mota, and Danni Peng. </w:t>
      </w:r>
      <w:r>
        <w:rPr>
          <w:i/>
        </w:rPr>
        <w:t xml:space="preserve">Separating path systems for cubic graphs and for complete bipartite graphs. </w:t>
      </w:r>
      <w:r>
        <w:t>Discrete Mathematics 349 (2026), no. 9, 115100. doi:10.1016/j.disc.2026.115100</w:t>
      </w:r>
    </w:p>
    <w:p>
      <w:pPr>
        <w:pStyle w:val="Entry"/>
      </w:pPr>
      <w:r>
        <w:rPr>
          <w:b/>
        </w:rPr>
        <w:t xml:space="preserve">2. </w:t>
      </w:r>
      <w:r>
        <w:t xml:space="preserve">Xiao-Chuan Liu, Danni Peng, and Xu Yang. </w:t>
      </w:r>
      <w:r>
        <w:rPr>
          <w:i/>
        </w:rPr>
        <w:t xml:space="preserve">Turán numbers of subdivisions of multipartite graphs. </w:t>
      </w:r>
      <w:r>
        <w:t>Discussiones Mathematicae Graph Theory, 2026. doi:10.7151/dmgt.2631</w:t>
      </w:r>
    </w:p>
    <w:p>
      <w:pPr>
        <w:pStyle w:val="Entry"/>
      </w:pPr>
      <w:r>
        <w:rPr>
          <w:b/>
        </w:rPr>
        <w:t xml:space="preserve">3. </w:t>
      </w:r>
      <w:r>
        <w:t xml:space="preserve">Xiao-Chuan Liu, Danni Peng, and Xu Yang. </w:t>
      </w:r>
      <w:r>
        <w:rPr>
          <w:i/>
        </w:rPr>
        <w:t xml:space="preserve">More on rainbow cliques in edge-colored graphs. </w:t>
      </w:r>
      <w:r>
        <w:t>European Journal of Combinatorics 124 (2025), 104088. doi:10.1016/j.ejc.2024.104088</w:t>
      </w:r>
    </w:p>
    <w:p>
      <w:pPr>
        <w:pStyle w:val="Entry"/>
      </w:pPr>
      <w:r>
        <w:rPr>
          <w:b/>
        </w:rPr>
        <w:t xml:space="preserve">4. </w:t>
      </w:r>
      <w:r>
        <w:t xml:space="preserve">Danni Peng and Zhifei Yan. </w:t>
      </w:r>
      <w:r>
        <w:rPr>
          <w:i/>
        </w:rPr>
        <w:t xml:space="preserve">Near rainbow Hamilton cycles in dense graphs. </w:t>
      </w:r>
      <w:r>
        <w:t>Accepted. arXiv:2411.18743.</w:t>
      </w:r>
    </w:p>
    <w:p>
      <w:pPr>
        <w:pStyle w:val="Entry"/>
      </w:pPr>
      <w:r>
        <w:rPr>
          <w:b/>
        </w:rPr>
        <w:t xml:space="preserve">5. </w:t>
      </w:r>
      <w:r>
        <w:t xml:space="preserve">Lucas Aragão, Xinbu Cheng, Rafael Filipe, Rafael Miyazaki, Danni Peng, and Zhifei Yan. </w:t>
      </w:r>
      <w:r>
        <w:rPr>
          <w:i/>
        </w:rPr>
        <w:t xml:space="preserve">Ramsey properties for tilings in random graphs. </w:t>
      </w:r>
      <w:r>
        <w:t>arXiv:2605.21471, 2026.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6"/>
      </w:rPr>
      <w:t>Danni Peng -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Title">
    <w:name w:val="CV Title"/>
    <w:pPr>
      <w:spacing w:after="20"/>
    </w:pPr>
    <w:rPr>
      <w:rFonts w:ascii="Calibri" w:hAnsi="Calibri" w:eastAsia="Calibri"/>
      <w:b/>
      <w:color w:val="17211B"/>
      <w:sz w:val="44"/>
    </w:rPr>
  </w:style>
  <w:style w:type="paragraph" w:customStyle="1" w:styleId="CVSubtitle">
    <w:name w:val="CV Subtitle"/>
    <w:pPr>
      <w:spacing w:after="160"/>
    </w:pPr>
    <w:rPr>
      <w:rFonts w:ascii="Calibri" w:hAnsi="Calibri" w:eastAsia="Calibri"/>
      <w:color w:val="555555"/>
      <w:sz w:val="20"/>
    </w:rPr>
  </w:style>
  <w:style w:type="paragraph" w:customStyle="1" w:styleId="SectionHeading">
    <w:name w:val="Section Heading"/>
    <w:pPr>
      <w:spacing w:before="180" w:after="40"/>
    </w:pPr>
    <w:rPr>
      <w:rFonts w:ascii="Calibri" w:hAnsi="Calibri" w:eastAsia="Calibri"/>
      <w:b/>
      <w:color w:val="0F6B56"/>
      <w:sz w:val="22"/>
    </w:rPr>
  </w:style>
  <w:style w:type="paragraph" w:customStyle="1" w:styleId="Entry">
    <w:name w:val="Entry"/>
    <w:pPr>
      <w:spacing w:before="40" w:after="20"/>
    </w:pPr>
    <w:rPr>
      <w:rFonts w:ascii="Calibri" w:hAnsi="Calibri" w:eastAsia="Calibri"/>
      <w:sz w:val="21"/>
    </w:rPr>
  </w:style>
  <w:style w:type="paragraph" w:customStyle="1" w:styleId="Detail">
    <w:name w:val="Detail"/>
    <w:pPr>
      <w:spacing w:after="40" w:line="252" w:lineRule="auto"/>
      <w:ind w:left="259"/>
    </w:pPr>
    <w:rPr>
      <w:rFonts w:ascii="Calibri" w:hAnsi="Calibri" w:eastAsia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